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7" w:rsidRPr="000A3B9D" w:rsidRDefault="00FE5AD7" w:rsidP="00FE5AD7">
      <w:pPr>
        <w:jc w:val="center"/>
        <w:rPr>
          <w:rFonts w:ascii="华文中宋" w:eastAsia="华文中宋" w:hAnsi="华文中宋" w:cs="Times New Roman"/>
          <w:color w:val="FF00FF"/>
          <w:spacing w:val="-60"/>
          <w:w w:val="50"/>
          <w:sz w:val="144"/>
          <w:szCs w:val="144"/>
        </w:rPr>
      </w:pPr>
      <w:r w:rsidRPr="000A3B9D">
        <w:rPr>
          <w:rFonts w:ascii="华文中宋" w:eastAsia="华文中宋" w:hAnsi="华文中宋" w:cs="Times New Roman" w:hint="eastAsia"/>
          <w:color w:val="FF00FF"/>
          <w:spacing w:val="-60"/>
          <w:w w:val="50"/>
          <w:sz w:val="144"/>
          <w:szCs w:val="144"/>
        </w:rPr>
        <w:t xml:space="preserve">中 国 </w:t>
      </w:r>
      <w:proofErr w:type="gramStart"/>
      <w:r w:rsidRPr="000A3B9D">
        <w:rPr>
          <w:rFonts w:ascii="华文中宋" w:eastAsia="华文中宋" w:hAnsi="华文中宋" w:cs="Times New Roman" w:hint="eastAsia"/>
          <w:color w:val="FF00FF"/>
          <w:spacing w:val="-60"/>
          <w:w w:val="50"/>
          <w:sz w:val="144"/>
          <w:szCs w:val="144"/>
        </w:rPr>
        <w:t>劳</w:t>
      </w:r>
      <w:proofErr w:type="gramEnd"/>
      <w:r w:rsidRPr="000A3B9D">
        <w:rPr>
          <w:rFonts w:ascii="华文中宋" w:eastAsia="华文中宋" w:hAnsi="华文中宋" w:cs="Times New Roman" w:hint="eastAsia"/>
          <w:color w:val="FF00FF"/>
          <w:spacing w:val="-60"/>
          <w:w w:val="50"/>
          <w:sz w:val="144"/>
          <w:szCs w:val="144"/>
        </w:rPr>
        <w:t xml:space="preserve"> 动 关 系 学 院 文 件</w:t>
      </w:r>
    </w:p>
    <w:p w:rsidR="00FE5AD7" w:rsidRPr="000A3B9D" w:rsidRDefault="00FE5AD7" w:rsidP="00FE5AD7">
      <w:pPr>
        <w:spacing w:line="880" w:lineRule="exact"/>
        <w:rPr>
          <w:rFonts w:ascii="Times New Roman" w:eastAsia="宋体" w:hAnsi="Times New Roman" w:cs="Times New Roman"/>
          <w:szCs w:val="32"/>
        </w:rPr>
      </w:pPr>
    </w:p>
    <w:p w:rsidR="00FE5AD7" w:rsidRPr="000A3B9D" w:rsidRDefault="00FE5AD7" w:rsidP="00FE5AD7">
      <w:pPr>
        <w:jc w:val="center"/>
        <w:rPr>
          <w:rFonts w:ascii="黑体" w:eastAsia="黑体" w:hAnsi="华文中宋" w:cs="Times New Roman"/>
          <w:szCs w:val="32"/>
        </w:rPr>
      </w:pPr>
      <w:bookmarkStart w:id="0" w:name="doc_mark"/>
      <w:r w:rsidRPr="000A3B9D">
        <w:rPr>
          <w:rFonts w:ascii="黑体" w:eastAsia="黑体" w:hAnsi="华文中宋" w:cs="Times New Roman" w:hint="eastAsia"/>
          <w:szCs w:val="32"/>
        </w:rPr>
        <w:t>校字〔</w:t>
      </w:r>
      <w:r w:rsidRPr="000A3B9D">
        <w:rPr>
          <w:rFonts w:ascii="黑体" w:eastAsia="黑体" w:hAnsi="华文中宋" w:cs="Times New Roman"/>
          <w:szCs w:val="32"/>
        </w:rPr>
        <w:t>2019〕</w:t>
      </w:r>
      <w:r w:rsidRPr="000A3B9D">
        <w:rPr>
          <w:rFonts w:ascii="黑体" w:eastAsia="黑体" w:hAnsi="华文中宋" w:cs="Times New Roman" w:hint="eastAsia"/>
          <w:szCs w:val="32"/>
        </w:rPr>
        <w:t>2</w:t>
      </w:r>
      <w:r>
        <w:rPr>
          <w:rFonts w:ascii="黑体" w:eastAsia="黑体" w:hAnsi="华文中宋" w:cs="Times New Roman" w:hint="eastAsia"/>
          <w:szCs w:val="32"/>
        </w:rPr>
        <w:t>6</w:t>
      </w:r>
      <w:r w:rsidRPr="000A3B9D">
        <w:rPr>
          <w:rFonts w:ascii="黑体" w:eastAsia="黑体" w:hAnsi="华文中宋" w:cs="Times New Roman"/>
          <w:szCs w:val="32"/>
        </w:rPr>
        <w:t>号</w:t>
      </w:r>
      <w:bookmarkEnd w:id="0"/>
    </w:p>
    <w:tbl>
      <w:tblPr>
        <w:tblW w:w="0" w:type="auto"/>
        <w:tblInd w:w="108" w:type="dxa"/>
        <w:tblBorders>
          <w:top w:val="single" w:sz="18" w:space="0" w:color="FF00FF"/>
        </w:tblBorders>
        <w:tblLayout w:type="fixed"/>
        <w:tblLook w:val="0000" w:firstRow="0" w:lastRow="0" w:firstColumn="0" w:lastColumn="0" w:noHBand="0" w:noVBand="0"/>
      </w:tblPr>
      <w:tblGrid>
        <w:gridCol w:w="8833"/>
      </w:tblGrid>
      <w:tr w:rsidR="00FE5AD7" w:rsidRPr="000A3B9D" w:rsidTr="008024D0">
        <w:trPr>
          <w:trHeight w:val="945"/>
        </w:trPr>
        <w:tc>
          <w:tcPr>
            <w:tcW w:w="8833" w:type="dxa"/>
          </w:tcPr>
          <w:p w:rsidR="00FE5AD7" w:rsidRPr="000A3B9D" w:rsidRDefault="00FE5AD7" w:rsidP="008024D0">
            <w:pPr>
              <w:rPr>
                <w:rFonts w:ascii="Times New Roman" w:eastAsia="宋体" w:hAnsi="Times New Roman" w:cs="Times New Roman"/>
                <w:color w:val="FF00FF"/>
                <w:szCs w:val="32"/>
                <w:u w:val="single"/>
              </w:rPr>
            </w:pPr>
          </w:p>
        </w:tc>
      </w:tr>
    </w:tbl>
    <w:p w:rsidR="00FE5AD7" w:rsidRDefault="0042086C" w:rsidP="00FE5AD7">
      <w:pPr>
        <w:widowControl/>
        <w:spacing w:line="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E5AD7">
        <w:rPr>
          <w:rFonts w:ascii="方正小标宋简体" w:eastAsia="方正小标宋简体" w:hAnsiTheme="majorEastAsia" w:hint="eastAsia"/>
          <w:sz w:val="44"/>
          <w:szCs w:val="44"/>
        </w:rPr>
        <w:t>关于印发</w:t>
      </w:r>
      <w:proofErr w:type="gramStart"/>
      <w:r w:rsidR="005F5614" w:rsidRPr="00FE5AD7">
        <w:rPr>
          <w:rFonts w:ascii="方正小标宋简体" w:eastAsia="方正小标宋简体" w:hAnsiTheme="majorEastAsia" w:hint="eastAsia"/>
          <w:sz w:val="44"/>
          <w:szCs w:val="44"/>
        </w:rPr>
        <w:t>《</w:t>
      </w:r>
      <w:proofErr w:type="gramEnd"/>
      <w:r w:rsidR="005F5614" w:rsidRPr="00FE5AD7">
        <w:rPr>
          <w:rFonts w:ascii="方正小标宋简体" w:eastAsia="方正小标宋简体" w:hAnsiTheme="majorEastAsia" w:hint="eastAsia"/>
          <w:sz w:val="44"/>
          <w:szCs w:val="44"/>
        </w:rPr>
        <w:t>中国劳动关系学院劳务酬金管理</w:t>
      </w:r>
    </w:p>
    <w:p w:rsidR="005F5614" w:rsidRPr="00FE5AD7" w:rsidRDefault="005F5614" w:rsidP="00FE5AD7">
      <w:pPr>
        <w:widowControl/>
        <w:spacing w:line="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E5AD7">
        <w:rPr>
          <w:rFonts w:ascii="方正小标宋简体" w:eastAsia="方正小标宋简体" w:hAnsiTheme="majorEastAsia" w:hint="eastAsia"/>
          <w:sz w:val="44"/>
          <w:szCs w:val="44"/>
        </w:rPr>
        <w:t>办法（试行）</w:t>
      </w:r>
      <w:proofErr w:type="gramStart"/>
      <w:r w:rsidRPr="00FE5AD7">
        <w:rPr>
          <w:rFonts w:ascii="方正小标宋简体" w:eastAsia="方正小标宋简体" w:hAnsiTheme="majorEastAsia" w:hint="eastAsia"/>
          <w:sz w:val="44"/>
          <w:szCs w:val="44"/>
        </w:rPr>
        <w:t>》</w:t>
      </w:r>
      <w:proofErr w:type="gramEnd"/>
      <w:r w:rsidRPr="00FE5AD7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5F5614" w:rsidRPr="00FE5AD7" w:rsidRDefault="005F5614" w:rsidP="009176B8">
      <w:pPr>
        <w:widowControl/>
        <w:spacing w:line="600" w:lineRule="exact"/>
        <w:jc w:val="left"/>
        <w:rPr>
          <w:rFonts w:ascii="仿宋" w:eastAsia="仿宋" w:hAnsi="仿宋"/>
          <w:b/>
          <w:sz w:val="36"/>
          <w:szCs w:val="32"/>
        </w:rPr>
      </w:pPr>
    </w:p>
    <w:p w:rsidR="00597C47" w:rsidRPr="00FE5AD7" w:rsidRDefault="00597C47" w:rsidP="009176B8">
      <w:pPr>
        <w:widowControl/>
        <w:spacing w:line="600" w:lineRule="exact"/>
        <w:jc w:val="left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各院、部、处：</w:t>
      </w:r>
    </w:p>
    <w:p w:rsidR="00F97C3F" w:rsidRPr="00FE5AD7" w:rsidRDefault="00AA174A" w:rsidP="00D36A25">
      <w:pPr>
        <w:widowControl/>
        <w:spacing w:line="600" w:lineRule="exact"/>
        <w:ind w:firstLineChars="200" w:firstLine="632"/>
        <w:jc w:val="left"/>
        <w:rPr>
          <w:rFonts w:ascii="仿宋" w:eastAsia="仿宋" w:hAnsi="仿宋"/>
          <w:szCs w:val="32"/>
        </w:rPr>
      </w:pPr>
      <w:bookmarkStart w:id="1" w:name="_GoBack"/>
      <w:bookmarkEnd w:id="1"/>
      <w:r w:rsidRPr="00FE5AD7">
        <w:rPr>
          <w:rFonts w:ascii="仿宋" w:eastAsia="仿宋" w:hAnsi="仿宋" w:hint="eastAsia"/>
          <w:szCs w:val="32"/>
        </w:rPr>
        <w:t>为进一步</w:t>
      </w:r>
      <w:r w:rsidR="00413C29" w:rsidRPr="00FE5AD7">
        <w:rPr>
          <w:rFonts w:ascii="仿宋" w:eastAsia="仿宋" w:hAnsi="仿宋" w:hint="eastAsia"/>
          <w:szCs w:val="32"/>
        </w:rPr>
        <w:t>加强学校管理工作，规范学校各类劳务活动</w:t>
      </w:r>
      <w:r w:rsidR="00636D28" w:rsidRPr="00FE5AD7">
        <w:rPr>
          <w:rFonts w:ascii="仿宋" w:eastAsia="仿宋" w:hAnsi="仿宋" w:hint="eastAsia"/>
          <w:szCs w:val="32"/>
        </w:rPr>
        <w:t>开展，有效、合理使用学校办学经费，根据有关规定，结合学校的实际情况，经学校党委常委会审议通过，特制定本办法</w:t>
      </w:r>
      <w:r w:rsidR="00F97C3F" w:rsidRPr="00FE5AD7">
        <w:rPr>
          <w:rFonts w:ascii="仿宋" w:eastAsia="仿宋" w:hAnsi="仿宋" w:hint="eastAsia"/>
          <w:szCs w:val="32"/>
        </w:rPr>
        <w:t>，现印发给你们，请遵照执行。</w:t>
      </w:r>
    </w:p>
    <w:p w:rsidR="00F97C3F" w:rsidRDefault="00F97C3F" w:rsidP="009176B8">
      <w:pPr>
        <w:widowControl/>
        <w:spacing w:line="600" w:lineRule="exact"/>
        <w:ind w:firstLine="660"/>
        <w:jc w:val="left"/>
        <w:rPr>
          <w:rFonts w:ascii="仿宋" w:eastAsia="仿宋" w:hAnsi="仿宋"/>
          <w:szCs w:val="32"/>
        </w:rPr>
      </w:pPr>
    </w:p>
    <w:p w:rsidR="009176B8" w:rsidRPr="00FE5AD7" w:rsidRDefault="009176B8" w:rsidP="009176B8">
      <w:pPr>
        <w:widowControl/>
        <w:spacing w:line="600" w:lineRule="exact"/>
        <w:ind w:firstLine="660"/>
        <w:jc w:val="left"/>
        <w:rPr>
          <w:rFonts w:ascii="仿宋" w:eastAsia="仿宋" w:hAnsi="仿宋"/>
          <w:szCs w:val="32"/>
        </w:rPr>
      </w:pPr>
    </w:p>
    <w:p w:rsidR="00F97C3F" w:rsidRPr="00FE5AD7" w:rsidRDefault="00B542A8" w:rsidP="00B542A8">
      <w:pPr>
        <w:widowControl/>
        <w:spacing w:line="600" w:lineRule="exact"/>
        <w:ind w:firstLine="66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</w:t>
      </w:r>
      <w:r w:rsidR="00F97C3F" w:rsidRPr="00FE5AD7">
        <w:rPr>
          <w:rFonts w:ascii="仿宋" w:eastAsia="仿宋" w:hAnsi="仿宋" w:hint="eastAsia"/>
          <w:szCs w:val="32"/>
        </w:rPr>
        <w:t>中国劳动关系学院</w:t>
      </w:r>
    </w:p>
    <w:p w:rsidR="00FE5AD7" w:rsidRDefault="00B542A8" w:rsidP="00B542A8">
      <w:pPr>
        <w:widowControl/>
        <w:spacing w:line="600" w:lineRule="exact"/>
        <w:ind w:firstLine="66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</w:t>
      </w:r>
      <w:r w:rsidR="00F97C3F" w:rsidRPr="00FE5AD7">
        <w:rPr>
          <w:rFonts w:ascii="仿宋" w:eastAsia="仿宋" w:hAnsi="仿宋"/>
          <w:szCs w:val="32"/>
        </w:rPr>
        <w:t>2019年12月</w:t>
      </w:r>
      <w:r w:rsidR="00103E52" w:rsidRPr="00FE5AD7">
        <w:rPr>
          <w:rFonts w:ascii="仿宋" w:eastAsia="仿宋" w:hAnsi="仿宋"/>
          <w:szCs w:val="32"/>
        </w:rPr>
        <w:t>12</w:t>
      </w:r>
      <w:r w:rsidR="00F97C3F" w:rsidRPr="00FE5AD7">
        <w:rPr>
          <w:rFonts w:ascii="仿宋" w:eastAsia="仿宋" w:hAnsi="仿宋"/>
          <w:szCs w:val="32"/>
        </w:rPr>
        <w:t>日</w:t>
      </w:r>
    </w:p>
    <w:p w:rsidR="00FE5AD7" w:rsidRPr="008B1345" w:rsidRDefault="00FE5AD7" w:rsidP="00FE5AD7">
      <w:pPr>
        <w:spacing w:line="440" w:lineRule="exact"/>
        <w:rPr>
          <w:rFonts w:ascii="仿宋" w:eastAsia="仿宋" w:hAnsi="仿宋"/>
          <w:szCs w:val="3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FE5AD7" w:rsidRPr="00424F6A" w:rsidTr="008024D0">
        <w:trPr>
          <w:trHeight w:val="607"/>
        </w:trPr>
        <w:tc>
          <w:tcPr>
            <w:tcW w:w="9060" w:type="dxa"/>
            <w:vAlign w:val="center"/>
          </w:tcPr>
          <w:p w:rsidR="00FE5AD7" w:rsidRPr="00424F6A" w:rsidRDefault="00FE5AD7" w:rsidP="003A2E33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424F6A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中国劳动关系学院党政办公室                 2019年1</w:t>
            </w:r>
            <w:r w:rsidR="003A2E3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</w:t>
            </w:r>
            <w:r w:rsidRPr="00424F6A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="003A2E3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424F6A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694F47" w:rsidRPr="00FE5AD7" w:rsidRDefault="00694F47" w:rsidP="00694F47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E5AD7">
        <w:rPr>
          <w:rFonts w:ascii="方正小标宋简体" w:eastAsia="方正小标宋简体" w:hAnsiTheme="majorEastAsia" w:hint="eastAsia"/>
          <w:sz w:val="44"/>
          <w:szCs w:val="44"/>
        </w:rPr>
        <w:lastRenderedPageBreak/>
        <w:t>中国劳动关系学院劳务酬金管理办法（试行）</w:t>
      </w:r>
    </w:p>
    <w:p w:rsidR="00694F47" w:rsidRPr="00FE5AD7" w:rsidRDefault="00694F47" w:rsidP="003A2E33">
      <w:pPr>
        <w:spacing w:line="640" w:lineRule="exact"/>
        <w:jc w:val="center"/>
        <w:rPr>
          <w:rFonts w:ascii="仿宋" w:eastAsia="仿宋" w:hAnsi="仿宋"/>
          <w:szCs w:val="32"/>
        </w:rPr>
      </w:pP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为进一步加强学校管理工作，规范学校各类劳务活动开展，有效、合理使用学校办学经费，根据有关规定，结合学校的实际情况，特制定本办法。</w:t>
      </w:r>
    </w:p>
    <w:p w:rsidR="00694F47" w:rsidRPr="003A2E33" w:rsidRDefault="00694F47" w:rsidP="003A2E33">
      <w:pPr>
        <w:spacing w:line="640" w:lineRule="exact"/>
        <w:ind w:firstLineChars="200" w:firstLine="634"/>
        <w:rPr>
          <w:rFonts w:ascii="仿宋" w:eastAsia="仿宋" w:hAnsi="仿宋"/>
          <w:b/>
          <w:szCs w:val="32"/>
        </w:rPr>
      </w:pPr>
      <w:r w:rsidRPr="003A2E33">
        <w:rPr>
          <w:rFonts w:ascii="仿宋" w:eastAsia="仿宋" w:hAnsi="仿宋" w:hint="eastAsia"/>
          <w:b/>
          <w:szCs w:val="32"/>
        </w:rPr>
        <w:t>一、劳务活动范围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（一）本办法所指劳务活动包括：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1.校外专家学者受邀来我校作学术报告、专题讲座，参加各类评审、听课等工作。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2.学校教职工受邀在校内作学术报告、专题讲座</w:t>
      </w:r>
      <w:r w:rsidR="0068150C" w:rsidRPr="00FE5AD7">
        <w:rPr>
          <w:rFonts w:ascii="仿宋" w:eastAsia="仿宋" w:hAnsi="仿宋" w:hint="eastAsia"/>
          <w:szCs w:val="32"/>
        </w:rPr>
        <w:t>，</w:t>
      </w:r>
      <w:r w:rsidRPr="00FE5AD7">
        <w:rPr>
          <w:rFonts w:ascii="仿宋" w:eastAsia="仿宋" w:hAnsi="仿宋" w:hint="eastAsia"/>
          <w:szCs w:val="32"/>
        </w:rPr>
        <w:t>参加各类评审、听课、各类监考或考</w:t>
      </w:r>
      <w:proofErr w:type="gramStart"/>
      <w:r w:rsidRPr="00FE5AD7">
        <w:rPr>
          <w:rFonts w:ascii="仿宋" w:eastAsia="仿宋" w:hAnsi="仿宋" w:hint="eastAsia"/>
          <w:szCs w:val="32"/>
        </w:rPr>
        <w:t>务</w:t>
      </w:r>
      <w:proofErr w:type="gramEnd"/>
      <w:r w:rsidRPr="00FE5AD7">
        <w:rPr>
          <w:rFonts w:ascii="仿宋" w:eastAsia="仿宋" w:hAnsi="仿宋" w:hint="eastAsia"/>
          <w:szCs w:val="32"/>
        </w:rPr>
        <w:t>等工作。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正常工作职责范围内且应在工作时间完成的工作不属于劳务活动。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（二）下列具体活动不属于本办法所指劳务活动：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1.教师指导学生实习、毕业论文、学年论文，以及体育教学部举办学校运动会，上述工作报酬仍按教务处制定的《教师工作量管理办法》折合成教学工作量。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2.外聘教师承担学校本专科教学工作的酬金，仍按教务处制定的《外请教师劳务酬金管理办法》的相关规定执行。</w:t>
      </w:r>
    </w:p>
    <w:p w:rsidR="00694F4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3</w:t>
      </w:r>
      <w:r w:rsidR="00143120" w:rsidRPr="00FE5AD7">
        <w:rPr>
          <w:rFonts w:ascii="仿宋" w:eastAsia="仿宋" w:hAnsi="仿宋" w:hint="eastAsia"/>
          <w:szCs w:val="32"/>
        </w:rPr>
        <w:t>.</w:t>
      </w:r>
      <w:r w:rsidRPr="00FE5AD7">
        <w:rPr>
          <w:rFonts w:ascii="仿宋" w:eastAsia="仿宋" w:hAnsi="仿宋" w:hint="eastAsia"/>
          <w:szCs w:val="32"/>
        </w:rPr>
        <w:t>校领导、院部主要负责人从事学术报告、讲座、听课、评</w:t>
      </w:r>
      <w:r w:rsidRPr="00FE5AD7">
        <w:rPr>
          <w:rFonts w:ascii="仿宋" w:eastAsia="仿宋" w:hAnsi="仿宋" w:hint="eastAsia"/>
          <w:szCs w:val="32"/>
        </w:rPr>
        <w:lastRenderedPageBreak/>
        <w:t>审评奖、监考</w:t>
      </w:r>
      <w:proofErr w:type="gramStart"/>
      <w:r w:rsidRPr="00FE5AD7">
        <w:rPr>
          <w:rFonts w:ascii="仿宋" w:eastAsia="仿宋" w:hAnsi="仿宋" w:hint="eastAsia"/>
          <w:szCs w:val="32"/>
        </w:rPr>
        <w:t>考务</w:t>
      </w:r>
      <w:proofErr w:type="gramEnd"/>
      <w:r w:rsidRPr="00FE5AD7">
        <w:rPr>
          <w:rFonts w:ascii="仿宋" w:eastAsia="仿宋" w:hAnsi="仿宋" w:hint="eastAsia"/>
          <w:szCs w:val="32"/>
        </w:rPr>
        <w:t>等劳务活动，参照此办法执行，其他情况不得发放劳务酬金。</w:t>
      </w:r>
    </w:p>
    <w:p w:rsidR="002A5BE9" w:rsidRPr="00FE5AD7" w:rsidRDefault="002A5BE9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</w:p>
    <w:p w:rsidR="00694F47" w:rsidRPr="003A2E33" w:rsidRDefault="00694F47" w:rsidP="003A2E33">
      <w:pPr>
        <w:spacing w:line="640" w:lineRule="exact"/>
        <w:ind w:firstLineChars="200" w:firstLine="634"/>
        <w:rPr>
          <w:rFonts w:ascii="仿宋" w:eastAsia="仿宋" w:hAnsi="仿宋"/>
          <w:b/>
          <w:szCs w:val="32"/>
        </w:rPr>
      </w:pPr>
      <w:r w:rsidRPr="003A2E33">
        <w:rPr>
          <w:rFonts w:ascii="仿宋" w:eastAsia="仿宋" w:hAnsi="仿宋" w:hint="eastAsia"/>
          <w:b/>
          <w:szCs w:val="32"/>
        </w:rPr>
        <w:t>二、劳务活动开展审批程序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（一）邀请校外专家学者来我校进行劳务活动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1.使用学校预算经费邀请校外专家学者来我校进行劳务活动的，由活动组织部门提出申请，填写“中国劳动关系学院校外专家劳务活动开展审批表”，部门负责人在“中国劳动关系学院校</w:t>
      </w:r>
      <w:r w:rsidR="000D6AED" w:rsidRPr="00FE5AD7">
        <w:rPr>
          <w:rFonts w:ascii="仿宋" w:eastAsia="仿宋" w:hAnsi="仿宋" w:hint="eastAsia"/>
          <w:szCs w:val="32"/>
        </w:rPr>
        <w:t>外</w:t>
      </w:r>
      <w:r w:rsidR="00451853" w:rsidRPr="00FE5AD7">
        <w:rPr>
          <w:rFonts w:ascii="仿宋" w:eastAsia="仿宋" w:hAnsi="仿宋" w:hint="eastAsia"/>
          <w:szCs w:val="32"/>
        </w:rPr>
        <w:t>专家</w:t>
      </w:r>
      <w:r w:rsidRPr="00FE5AD7">
        <w:rPr>
          <w:rFonts w:ascii="仿宋" w:eastAsia="仿宋" w:hAnsi="仿宋" w:hint="eastAsia"/>
          <w:szCs w:val="32"/>
        </w:rPr>
        <w:t>劳务活动开展审批表”上签字审批。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2.使用学校项目负责</w:t>
      </w:r>
      <w:proofErr w:type="gramStart"/>
      <w:r w:rsidRPr="00FE5AD7">
        <w:rPr>
          <w:rFonts w:ascii="仿宋" w:eastAsia="仿宋" w:hAnsi="仿宋" w:hint="eastAsia"/>
          <w:szCs w:val="32"/>
        </w:rPr>
        <w:t>人制</w:t>
      </w:r>
      <w:proofErr w:type="gramEnd"/>
      <w:r w:rsidRPr="00FE5AD7">
        <w:rPr>
          <w:rFonts w:ascii="仿宋" w:eastAsia="仿宋" w:hAnsi="仿宋" w:hint="eastAsia"/>
          <w:szCs w:val="32"/>
        </w:rPr>
        <w:t>的科研、教学类项目经费邀请校外专家学者来我校进行劳务活动的，由项目参与人提出申请，项目负责人在“中国劳动关系学院校外专家劳务活动开展审批表”上签字。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(二) 本校教职工从事劳务活动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</w:t>
      </w:r>
      <w:r w:rsidR="00143120" w:rsidRPr="00FE5AD7">
        <w:rPr>
          <w:rFonts w:ascii="仿宋" w:eastAsia="仿宋" w:hAnsi="仿宋" w:hint="eastAsia"/>
          <w:szCs w:val="32"/>
        </w:rPr>
        <w:t>.</w:t>
      </w:r>
      <w:r w:rsidRPr="00FE5AD7">
        <w:rPr>
          <w:rFonts w:ascii="仿宋" w:eastAsia="仿宋" w:hAnsi="仿宋" w:hint="eastAsia"/>
          <w:szCs w:val="32"/>
        </w:rPr>
        <w:t>使用学校预算经费由本校教职工从事学术报告、专题讲座、评审、听课、论证、监考等劳务活动，由活动组织部门提出申请，填写“中国劳动关系学院校内人员劳务活动开展审批表”，部门负责人在“中国劳动关系学院校内人员劳务活动开展审批表”上签字审批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2.使用计划外培训班经费、外来资助经费、管理费等部门有</w:t>
      </w:r>
      <w:r w:rsidRPr="00FE5AD7">
        <w:rPr>
          <w:rFonts w:ascii="仿宋" w:eastAsia="仿宋" w:hAnsi="仿宋" w:hint="eastAsia"/>
          <w:szCs w:val="32"/>
        </w:rPr>
        <w:lastRenderedPageBreak/>
        <w:t>自主使用权的，由经费使用部门提出申请，部门负责人在“中国劳动关系学院校内人员劳务活动开展审批表”上签字。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3.使用外来横向科研经费的，由项目参与人提出申请，项目负责人在“中国劳动关系学院校内人员劳务活动开展审批表”上签字。</w:t>
      </w:r>
    </w:p>
    <w:p w:rsidR="00694F4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4.具有法人资格的下属单位开展劳务活动，由活动组织部门提出申请，填写“中国劳动关系学院校内人员劳务活动开展审批表”，经部门负责人审核后报分管校领导审批。</w:t>
      </w:r>
    </w:p>
    <w:p w:rsidR="002A5BE9" w:rsidRPr="00D364BC" w:rsidRDefault="002A5BE9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</w:p>
    <w:p w:rsidR="00694F47" w:rsidRPr="003A2E33" w:rsidRDefault="00694F47" w:rsidP="003A2E33">
      <w:pPr>
        <w:spacing w:line="640" w:lineRule="exact"/>
        <w:ind w:firstLineChars="200" w:firstLine="634"/>
        <w:rPr>
          <w:rFonts w:ascii="仿宋" w:eastAsia="仿宋" w:hAnsi="仿宋"/>
          <w:b/>
          <w:szCs w:val="32"/>
        </w:rPr>
      </w:pPr>
      <w:r w:rsidRPr="003A2E33">
        <w:rPr>
          <w:rFonts w:ascii="仿宋" w:eastAsia="仿宋" w:hAnsi="仿宋" w:hint="eastAsia"/>
          <w:b/>
          <w:szCs w:val="32"/>
        </w:rPr>
        <w:t>三、劳务酬金发放审批程序</w:t>
      </w:r>
    </w:p>
    <w:p w:rsidR="00694F4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在执行劳务活动开展审批程序后，劳务酬金发放审批程序按《中国劳动关系学院经费使用审批（签字）权限规定》相关规定执行。</w:t>
      </w:r>
    </w:p>
    <w:p w:rsidR="002A5BE9" w:rsidRPr="005F32D1" w:rsidRDefault="002A5BE9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</w:p>
    <w:p w:rsidR="00694F47" w:rsidRPr="003A2E33" w:rsidRDefault="00694F47" w:rsidP="003A2E33">
      <w:pPr>
        <w:spacing w:line="640" w:lineRule="exact"/>
        <w:ind w:firstLineChars="200" w:firstLine="634"/>
        <w:rPr>
          <w:rFonts w:ascii="仿宋" w:eastAsia="仿宋" w:hAnsi="仿宋"/>
          <w:b/>
          <w:szCs w:val="32"/>
        </w:rPr>
      </w:pPr>
      <w:r w:rsidRPr="003A2E33">
        <w:rPr>
          <w:rFonts w:ascii="仿宋" w:eastAsia="仿宋" w:hAnsi="仿宋" w:hint="eastAsia"/>
          <w:b/>
          <w:szCs w:val="32"/>
        </w:rPr>
        <w:t>四、劳务酬金标准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（一）学术报告、讲座及听课的酬金标准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1.校外专家学者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①来学校作学术报告、讲座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正高级职称每场不超过3000元，副高级职称每场不超过2500元，讲师及以下职称每场不超过2000元。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lastRenderedPageBreak/>
        <w:t>实务部门专家按照行政级别或行业组织任职等参照上述标准执行：局级按照正高级、处级按照副高级、科级及以下按照讲师标准执行。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国内知名专家学者，每场4000-6000元；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企业任职人员无法确定职称、行政职务的，由举办部门确定职称或职务，报主管校领导申批，每场最高不得超过3000元。</w:t>
      </w:r>
    </w:p>
    <w:p w:rsidR="00694F47" w:rsidRPr="00FE5AD7" w:rsidRDefault="00694F47" w:rsidP="003A2E33">
      <w:pPr>
        <w:spacing w:line="640" w:lineRule="exact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上述专家学者如赴涿州校区作学术报告、讲座，可酌情增加，增加金额不得超过1000元。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②来学校听课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北京校区：每节课200元/人，涿州校区：每节课300元/人。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2.学校教职工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①在校内作学术报告、专题讲座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面向全校的：正高级职称每场不超过1500元，副高级职称每场不超过1200元，其他人员每场不超过800元；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面向系部、部门的:正高级职称每场不超过700元，副高级职称每场不超过600元，其他人员每场不超过500元；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赴涿州校区作学术报告、讲座，可酌情增加，增加金额不得超过500元。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实务部门专家按照行政级别或行业组织任职等参照上述标准执行：局级按照正高级、处级按照副高级、科级及以下按照讲</w:t>
      </w:r>
      <w:r w:rsidRPr="00FE5AD7">
        <w:rPr>
          <w:rFonts w:ascii="仿宋" w:eastAsia="仿宋" w:hAnsi="仿宋" w:hint="eastAsia"/>
          <w:szCs w:val="32"/>
        </w:rPr>
        <w:lastRenderedPageBreak/>
        <w:t>师标准执行。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②在校内听课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北京校区：每节课100元/人，涿州校区：每节课200元/人。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（二）各类评审评奖劳务酬金标准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担任由中级专业技术职务评审委员会、学术委员会、教学督导委员会、学位评定委员会、国家奖学金评审委员会、教学工作委员会等学校层面组织的各类评审会议（包括：评优评先、职称评审、出国研修项目评审、招聘复试评议、科研项目立项、科研成果评审、教学教改项目立项、教学教改成果评审、学位评审、</w:t>
      </w:r>
      <w:proofErr w:type="gramStart"/>
      <w:r w:rsidRPr="00FE5AD7">
        <w:rPr>
          <w:rFonts w:ascii="仿宋" w:eastAsia="仿宋" w:hAnsi="仿宋" w:hint="eastAsia"/>
          <w:szCs w:val="32"/>
        </w:rPr>
        <w:t>国奖评审</w:t>
      </w:r>
      <w:proofErr w:type="gramEnd"/>
      <w:r w:rsidRPr="00FE5AD7">
        <w:rPr>
          <w:rFonts w:ascii="仿宋" w:eastAsia="仿宋" w:hAnsi="仿宋" w:hint="eastAsia"/>
          <w:szCs w:val="32"/>
        </w:rPr>
        <w:t>、财政专项项目、绩效考核评审等）和由学校层面组织的各类全校</w:t>
      </w:r>
      <w:proofErr w:type="gramStart"/>
      <w:r w:rsidRPr="00FE5AD7">
        <w:rPr>
          <w:rFonts w:ascii="仿宋" w:eastAsia="仿宋" w:hAnsi="仿宋" w:hint="eastAsia"/>
          <w:szCs w:val="32"/>
        </w:rPr>
        <w:t>性教师</w:t>
      </w:r>
      <w:proofErr w:type="gramEnd"/>
      <w:r w:rsidRPr="00FE5AD7">
        <w:rPr>
          <w:rFonts w:ascii="仿宋" w:eastAsia="仿宋" w:hAnsi="仿宋" w:hint="eastAsia"/>
          <w:szCs w:val="32"/>
        </w:rPr>
        <w:t xml:space="preserve">或学生大奖赛或其他活动的评委 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校外评委：不超过1500元/人</w:t>
      </w:r>
      <w:r w:rsidRPr="00FE5AD7">
        <w:rPr>
          <w:rFonts w:ascii="宋体" w:eastAsia="宋体" w:hAnsi="宋体" w:cs="宋体" w:hint="eastAsia"/>
          <w:szCs w:val="32"/>
        </w:rPr>
        <w:t>•</w:t>
      </w:r>
      <w:r w:rsidRPr="00FE5AD7">
        <w:rPr>
          <w:rFonts w:ascii="仿宋" w:eastAsia="仿宋" w:hAnsi="仿宋" w:cs="仿宋" w:hint="eastAsia"/>
          <w:szCs w:val="32"/>
        </w:rPr>
        <w:t>半天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校内评委：不超过800元/人</w:t>
      </w:r>
      <w:r w:rsidRPr="00FE5AD7">
        <w:rPr>
          <w:rFonts w:ascii="宋体" w:eastAsia="宋体" w:hAnsi="宋体" w:cs="宋体" w:hint="eastAsia"/>
          <w:szCs w:val="32"/>
        </w:rPr>
        <w:t>•</w:t>
      </w:r>
      <w:r w:rsidRPr="00FE5AD7">
        <w:rPr>
          <w:rFonts w:ascii="仿宋" w:eastAsia="仿宋" w:hAnsi="仿宋" w:cs="仿宋" w:hint="eastAsia"/>
          <w:szCs w:val="32"/>
        </w:rPr>
        <w:t>半天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2.担任由部门</w:t>
      </w:r>
      <w:proofErr w:type="gramStart"/>
      <w:r w:rsidRPr="00FE5AD7">
        <w:rPr>
          <w:rFonts w:ascii="仿宋" w:eastAsia="仿宋" w:hAnsi="仿宋" w:hint="eastAsia"/>
          <w:szCs w:val="32"/>
        </w:rPr>
        <w:t>或系部组织</w:t>
      </w:r>
      <w:proofErr w:type="gramEnd"/>
      <w:r w:rsidRPr="00FE5AD7">
        <w:rPr>
          <w:rFonts w:ascii="仿宋" w:eastAsia="仿宋" w:hAnsi="仿宋" w:hint="eastAsia"/>
          <w:szCs w:val="32"/>
        </w:rPr>
        <w:t>的教师或学生各类竞赛或其他活动的评委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不超过200元/人</w:t>
      </w:r>
      <w:r w:rsidRPr="00FE5AD7">
        <w:rPr>
          <w:rFonts w:ascii="宋体" w:eastAsia="宋体" w:hAnsi="宋体" w:cs="宋体" w:hint="eastAsia"/>
          <w:szCs w:val="32"/>
        </w:rPr>
        <w:t>•</w:t>
      </w:r>
      <w:r w:rsidRPr="00FE5AD7">
        <w:rPr>
          <w:rFonts w:ascii="仿宋" w:eastAsia="仿宋" w:hAnsi="仿宋" w:cs="仿宋" w:hint="eastAsia"/>
          <w:szCs w:val="32"/>
        </w:rPr>
        <w:t>半天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上述活动中工作人员的劳务报酬不得高于校内评委的劳务报酬。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（三）各类监考、考</w:t>
      </w:r>
      <w:proofErr w:type="gramStart"/>
      <w:r w:rsidRPr="00FE5AD7">
        <w:rPr>
          <w:rFonts w:ascii="仿宋" w:eastAsia="仿宋" w:hAnsi="仿宋" w:hint="eastAsia"/>
          <w:szCs w:val="32"/>
        </w:rPr>
        <w:t>务</w:t>
      </w:r>
      <w:proofErr w:type="gramEnd"/>
      <w:r w:rsidRPr="00FE5AD7">
        <w:rPr>
          <w:rFonts w:ascii="仿宋" w:eastAsia="仿宋" w:hAnsi="仿宋" w:hint="eastAsia"/>
          <w:szCs w:val="32"/>
        </w:rPr>
        <w:t>劳务酬金标准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1.补考、期中、期末考试的监考人员每场考试劳务酬金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lastRenderedPageBreak/>
        <w:t>北京校区：100元/人，涿州校区：200元/人；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巡考人员为每个考试周期600元。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2.四、六级考试、专升</w:t>
      </w:r>
      <w:proofErr w:type="gramStart"/>
      <w:r w:rsidRPr="00FE5AD7">
        <w:rPr>
          <w:rFonts w:ascii="仿宋" w:eastAsia="仿宋" w:hAnsi="仿宋" w:hint="eastAsia"/>
          <w:szCs w:val="32"/>
        </w:rPr>
        <w:t>本考试</w:t>
      </w:r>
      <w:proofErr w:type="gramEnd"/>
      <w:r w:rsidRPr="00FE5AD7">
        <w:rPr>
          <w:rFonts w:ascii="仿宋" w:eastAsia="仿宋" w:hAnsi="仿宋" w:hint="eastAsia"/>
          <w:szCs w:val="32"/>
        </w:rPr>
        <w:t>的考</w:t>
      </w:r>
      <w:proofErr w:type="gramStart"/>
      <w:r w:rsidRPr="00FE5AD7">
        <w:rPr>
          <w:rFonts w:ascii="仿宋" w:eastAsia="仿宋" w:hAnsi="仿宋" w:hint="eastAsia"/>
          <w:szCs w:val="32"/>
        </w:rPr>
        <w:t>务</w:t>
      </w:r>
      <w:proofErr w:type="gramEnd"/>
      <w:r w:rsidRPr="00FE5AD7">
        <w:rPr>
          <w:rFonts w:ascii="仿宋" w:eastAsia="仿宋" w:hAnsi="仿宋" w:hint="eastAsia"/>
          <w:szCs w:val="32"/>
        </w:rPr>
        <w:t>人员和监考人员每场考试劳务酬金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北京校区：260元/人，涿州校区：400元/人。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3.补考判卷工作每份试卷（论文）劳务酬金为10元。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4.学校承办的各类社会考试（计算机考试、国家司法考试等），监考及工作人员劳务费</w:t>
      </w:r>
      <w:proofErr w:type="gramStart"/>
      <w:r w:rsidRPr="00FE5AD7">
        <w:rPr>
          <w:rFonts w:ascii="仿宋" w:eastAsia="仿宋" w:hAnsi="仿宋" w:hint="eastAsia"/>
          <w:szCs w:val="32"/>
        </w:rPr>
        <w:t>按主办</w:t>
      </w:r>
      <w:proofErr w:type="gramEnd"/>
      <w:r w:rsidRPr="00FE5AD7">
        <w:rPr>
          <w:rFonts w:ascii="仿宋" w:eastAsia="仿宋" w:hAnsi="仿宋" w:hint="eastAsia"/>
          <w:szCs w:val="32"/>
        </w:rPr>
        <w:t>单位标准和要求执行，费用在主办单位划拨的经费中列支，不得在学校经费支出。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（四）担任代表学校参加省部级以上学科竞赛学生的辅导教师指导劳务</w:t>
      </w:r>
    </w:p>
    <w:p w:rsidR="00694F4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不超过200元/人</w:t>
      </w:r>
      <w:r w:rsidRPr="00FE5AD7">
        <w:rPr>
          <w:rFonts w:ascii="宋体" w:eastAsia="宋体" w:hAnsi="宋体" w:cs="宋体" w:hint="eastAsia"/>
          <w:szCs w:val="32"/>
        </w:rPr>
        <w:t>•</w:t>
      </w:r>
      <w:r w:rsidRPr="00FE5AD7">
        <w:rPr>
          <w:rFonts w:ascii="仿宋" w:eastAsia="仿宋" w:hAnsi="仿宋" w:cs="仿宋" w:hint="eastAsia"/>
          <w:szCs w:val="32"/>
        </w:rPr>
        <w:t>半天，最多不超过</w:t>
      </w:r>
      <w:r w:rsidRPr="00FE5AD7">
        <w:rPr>
          <w:rFonts w:ascii="仿宋" w:eastAsia="仿宋" w:hAnsi="仿宋" w:hint="eastAsia"/>
          <w:szCs w:val="32"/>
        </w:rPr>
        <w:t>2000元/人</w:t>
      </w:r>
    </w:p>
    <w:p w:rsidR="002A5BE9" w:rsidRPr="00FE5AD7" w:rsidRDefault="002A5BE9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</w:p>
    <w:p w:rsidR="00694F47" w:rsidRPr="003A2E33" w:rsidRDefault="00694F47" w:rsidP="003A2E33">
      <w:pPr>
        <w:spacing w:line="640" w:lineRule="exact"/>
        <w:ind w:firstLineChars="200" w:firstLine="634"/>
        <w:rPr>
          <w:rFonts w:ascii="仿宋" w:eastAsia="仿宋" w:hAnsi="仿宋"/>
          <w:b/>
          <w:szCs w:val="32"/>
        </w:rPr>
      </w:pPr>
      <w:r w:rsidRPr="003A2E33">
        <w:rPr>
          <w:rFonts w:ascii="仿宋" w:eastAsia="仿宋" w:hAnsi="仿宋" w:hint="eastAsia"/>
          <w:b/>
          <w:szCs w:val="32"/>
        </w:rPr>
        <w:t>五、附则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（一）本办法规定的各项劳务费如与国家、地方政府及行业规定的相关标准不一致的，按相关规定标准执行。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（二）上述规定的劳务费标准均为税前金额。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（三）本校教职工赴涿州校区参加上述劳务活动不再发放涿州补贴。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（四）符合本办法规定范围但未予明确的劳务活动项目，由</w:t>
      </w:r>
      <w:r w:rsidRPr="00FE5AD7">
        <w:rPr>
          <w:rFonts w:ascii="仿宋" w:eastAsia="仿宋" w:hAnsi="仿宋" w:hint="eastAsia"/>
          <w:szCs w:val="32"/>
        </w:rPr>
        <w:lastRenderedPageBreak/>
        <w:t>财务处会同用人或用工部门按上述相关标准参照执行，同时应履行相应审批手续。</w:t>
      </w:r>
    </w:p>
    <w:p w:rsidR="00694F47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（五）本办法由财务处会同相关职能部门负责解释。</w:t>
      </w:r>
    </w:p>
    <w:p w:rsidR="00462B86" w:rsidRPr="00FE5AD7" w:rsidRDefault="00694F47" w:rsidP="003A2E33">
      <w:pPr>
        <w:spacing w:line="640" w:lineRule="exact"/>
        <w:ind w:firstLineChars="200" w:firstLine="632"/>
        <w:rPr>
          <w:rFonts w:ascii="仿宋" w:eastAsia="仿宋" w:hAnsi="仿宋"/>
          <w:szCs w:val="32"/>
        </w:rPr>
      </w:pPr>
      <w:r w:rsidRPr="00FE5AD7">
        <w:rPr>
          <w:rFonts w:ascii="仿宋" w:eastAsia="仿宋" w:hAnsi="仿宋" w:hint="eastAsia"/>
          <w:szCs w:val="32"/>
        </w:rPr>
        <w:t>（六）本办法自2019年</w:t>
      </w:r>
      <w:r w:rsidR="00A031E5" w:rsidRPr="00FE5AD7">
        <w:rPr>
          <w:rFonts w:ascii="仿宋" w:eastAsia="仿宋" w:hAnsi="仿宋"/>
          <w:szCs w:val="32"/>
        </w:rPr>
        <w:t>12</w:t>
      </w:r>
      <w:r w:rsidRPr="00FE5AD7">
        <w:rPr>
          <w:rFonts w:ascii="仿宋" w:eastAsia="仿宋" w:hAnsi="仿宋" w:hint="eastAsia"/>
          <w:szCs w:val="32"/>
        </w:rPr>
        <w:t>月</w:t>
      </w:r>
      <w:r w:rsidR="00283382" w:rsidRPr="00FE5AD7">
        <w:rPr>
          <w:rFonts w:ascii="仿宋" w:eastAsia="仿宋" w:hAnsi="仿宋"/>
          <w:szCs w:val="32"/>
        </w:rPr>
        <w:t>16</w:t>
      </w:r>
      <w:r w:rsidRPr="00FE5AD7">
        <w:rPr>
          <w:rFonts w:ascii="仿宋" w:eastAsia="仿宋" w:hAnsi="仿宋" w:hint="eastAsia"/>
          <w:szCs w:val="32"/>
        </w:rPr>
        <w:t>日起执行，原《中国劳动关系学院劳务</w:t>
      </w:r>
      <w:r w:rsidR="00A031E5" w:rsidRPr="00FE5AD7">
        <w:rPr>
          <w:rFonts w:ascii="仿宋" w:eastAsia="仿宋" w:hAnsi="仿宋" w:hint="eastAsia"/>
          <w:szCs w:val="32"/>
        </w:rPr>
        <w:t>酬金管理办法（试行）</w:t>
      </w:r>
      <w:r w:rsidRPr="00FE5AD7">
        <w:rPr>
          <w:rFonts w:ascii="仿宋" w:eastAsia="仿宋" w:hAnsi="仿宋" w:hint="eastAsia"/>
          <w:szCs w:val="32"/>
        </w:rPr>
        <w:t>》（</w:t>
      </w:r>
      <w:r w:rsidR="00A031E5" w:rsidRPr="00FE5AD7">
        <w:rPr>
          <w:rFonts w:ascii="仿宋" w:eastAsia="仿宋" w:hAnsi="仿宋" w:hint="eastAsia"/>
          <w:szCs w:val="32"/>
        </w:rPr>
        <w:t>校</w:t>
      </w:r>
      <w:r w:rsidRPr="00FE5AD7">
        <w:rPr>
          <w:rFonts w:ascii="仿宋" w:eastAsia="仿宋" w:hAnsi="仿宋" w:hint="eastAsia"/>
          <w:szCs w:val="32"/>
        </w:rPr>
        <w:t>字〔201</w:t>
      </w:r>
      <w:r w:rsidR="00A031E5" w:rsidRPr="00FE5AD7">
        <w:rPr>
          <w:rFonts w:ascii="仿宋" w:eastAsia="仿宋" w:hAnsi="仿宋"/>
          <w:szCs w:val="32"/>
        </w:rPr>
        <w:t>9</w:t>
      </w:r>
      <w:r w:rsidRPr="00FE5AD7">
        <w:rPr>
          <w:rFonts w:ascii="仿宋" w:eastAsia="仿宋" w:hAnsi="仿宋" w:hint="eastAsia"/>
          <w:szCs w:val="32"/>
        </w:rPr>
        <w:t>〕</w:t>
      </w:r>
      <w:r w:rsidR="00A031E5" w:rsidRPr="00FE5AD7">
        <w:rPr>
          <w:rFonts w:ascii="仿宋" w:eastAsia="仿宋" w:hAnsi="仿宋"/>
          <w:szCs w:val="32"/>
        </w:rPr>
        <w:t>20</w:t>
      </w:r>
      <w:r w:rsidRPr="00FE5AD7">
        <w:rPr>
          <w:rFonts w:ascii="仿宋" w:eastAsia="仿宋" w:hAnsi="仿宋" w:hint="eastAsia"/>
          <w:szCs w:val="32"/>
        </w:rPr>
        <w:t>号）同时作废。</w:t>
      </w:r>
    </w:p>
    <w:p w:rsidR="001C738E" w:rsidRDefault="001C738E">
      <w:pPr>
        <w:widowControl/>
        <w:jc w:val="left"/>
        <w:rPr>
          <w:rFonts w:asciiTheme="majorEastAsia" w:eastAsiaTheme="majorEastAsia" w:hAnsiTheme="majorEastAsia"/>
          <w:szCs w:val="32"/>
        </w:rPr>
      </w:pPr>
    </w:p>
    <w:p w:rsidR="001C738E" w:rsidRDefault="001C738E">
      <w:pPr>
        <w:widowControl/>
        <w:jc w:val="left"/>
        <w:rPr>
          <w:rFonts w:asciiTheme="majorEastAsia" w:eastAsiaTheme="majorEastAsia" w:hAnsiTheme="majorEastAsia"/>
          <w:szCs w:val="32"/>
        </w:rPr>
      </w:pPr>
    </w:p>
    <w:p w:rsidR="001C738E" w:rsidRPr="00AF4EA8" w:rsidRDefault="001C738E" w:rsidP="001C738E">
      <w:pPr>
        <w:spacing w:line="520" w:lineRule="exact"/>
        <w:ind w:firstLineChars="200" w:firstLine="632"/>
        <w:rPr>
          <w:rFonts w:ascii="仿宋_GB2312" w:eastAsia="仿宋_GB2312" w:hAnsi="宋体" w:cs="Times New Roman"/>
          <w:color w:val="000000"/>
          <w:szCs w:val="32"/>
        </w:rPr>
      </w:pPr>
      <w:r w:rsidRPr="00AF4EA8">
        <w:rPr>
          <w:rFonts w:ascii="仿宋_GB2312" w:eastAsia="仿宋_GB2312" w:hAnsi="宋体" w:cs="Times New Roman" w:hint="eastAsia"/>
          <w:bCs/>
          <w:color w:val="000000"/>
          <w:szCs w:val="32"/>
        </w:rPr>
        <w:t>附</w:t>
      </w:r>
      <w:r>
        <w:rPr>
          <w:rFonts w:ascii="仿宋_GB2312" w:eastAsia="仿宋_GB2312" w:hAnsi="宋体" w:cs="Times New Roman" w:hint="eastAsia"/>
          <w:bCs/>
          <w:color w:val="000000"/>
          <w:szCs w:val="32"/>
        </w:rPr>
        <w:t>表</w:t>
      </w:r>
      <w:r w:rsidRPr="00AF4EA8">
        <w:rPr>
          <w:rFonts w:ascii="仿宋_GB2312" w:eastAsia="仿宋_GB2312" w:hAnsi="宋体" w:cs="Times New Roman" w:hint="eastAsia"/>
          <w:bCs/>
          <w:color w:val="000000"/>
          <w:szCs w:val="32"/>
        </w:rPr>
        <w:t>1：</w:t>
      </w:r>
      <w:r w:rsidRPr="00AF4EA8">
        <w:rPr>
          <w:rFonts w:ascii="仿宋_GB2312" w:eastAsia="仿宋_GB2312" w:hAnsi="宋体" w:cs="Times New Roman" w:hint="eastAsia"/>
          <w:color w:val="000000"/>
          <w:szCs w:val="32"/>
        </w:rPr>
        <w:t>中国劳动关系学院校外专家劳务活动开展审批表</w:t>
      </w:r>
    </w:p>
    <w:p w:rsidR="001C738E" w:rsidRPr="00AF4EA8" w:rsidRDefault="001C738E" w:rsidP="001C738E">
      <w:pPr>
        <w:spacing w:line="520" w:lineRule="exact"/>
        <w:ind w:firstLineChars="200" w:firstLine="632"/>
        <w:rPr>
          <w:rFonts w:ascii="仿宋_GB2312" w:eastAsia="仿宋_GB2312" w:hAnsi="宋体" w:cs="Times New Roman"/>
          <w:bCs/>
          <w:color w:val="000000"/>
          <w:szCs w:val="32"/>
        </w:rPr>
      </w:pPr>
      <w:r w:rsidRPr="00AF4EA8">
        <w:rPr>
          <w:rFonts w:ascii="仿宋_GB2312" w:eastAsia="仿宋_GB2312" w:hAnsi="宋体" w:cs="Times New Roman" w:hint="eastAsia"/>
          <w:bCs/>
          <w:color w:val="000000"/>
          <w:szCs w:val="32"/>
        </w:rPr>
        <w:t>附</w:t>
      </w:r>
      <w:r>
        <w:rPr>
          <w:rFonts w:ascii="仿宋_GB2312" w:eastAsia="仿宋_GB2312" w:hAnsi="宋体" w:cs="Times New Roman" w:hint="eastAsia"/>
          <w:bCs/>
          <w:color w:val="000000"/>
          <w:szCs w:val="32"/>
        </w:rPr>
        <w:t>表</w:t>
      </w:r>
      <w:r w:rsidRPr="00AF4EA8">
        <w:rPr>
          <w:rFonts w:ascii="仿宋_GB2312" w:eastAsia="仿宋_GB2312" w:hAnsi="宋体" w:cs="Times New Roman" w:hint="eastAsia"/>
          <w:bCs/>
          <w:color w:val="000000"/>
          <w:szCs w:val="32"/>
        </w:rPr>
        <w:t>2：</w:t>
      </w:r>
      <w:r w:rsidRPr="00AF4EA8">
        <w:rPr>
          <w:rFonts w:ascii="仿宋_GB2312" w:eastAsia="仿宋_GB2312" w:hAnsi="宋体" w:cs="Times New Roman" w:hint="eastAsia"/>
          <w:color w:val="000000"/>
          <w:szCs w:val="32"/>
        </w:rPr>
        <w:t>中国劳动关系学院校内人员劳务活动开展审批表</w:t>
      </w:r>
    </w:p>
    <w:p w:rsidR="00462B86" w:rsidRPr="00E2386E" w:rsidRDefault="00462B86">
      <w:pPr>
        <w:widowControl/>
        <w:jc w:val="left"/>
        <w:rPr>
          <w:rFonts w:asciiTheme="majorEastAsia" w:eastAsiaTheme="majorEastAsia" w:hAnsiTheme="majorEastAsia"/>
          <w:szCs w:val="32"/>
        </w:rPr>
      </w:pPr>
      <w:r w:rsidRPr="00E2386E">
        <w:rPr>
          <w:rFonts w:asciiTheme="majorEastAsia" w:eastAsiaTheme="majorEastAsia" w:hAnsiTheme="majorEastAsia"/>
          <w:szCs w:val="32"/>
        </w:rPr>
        <w:br w:type="page"/>
      </w:r>
    </w:p>
    <w:p w:rsidR="00825A7A" w:rsidRPr="00825A7A" w:rsidRDefault="00825A7A" w:rsidP="003A2E33">
      <w:pPr>
        <w:snapToGrid w:val="0"/>
        <w:spacing w:afterLines="50" w:after="218" w:line="288" w:lineRule="auto"/>
        <w:jc w:val="left"/>
        <w:rPr>
          <w:rFonts w:ascii="黑体" w:eastAsia="黑体" w:hAnsi="黑体" w:cs="Times New Roman"/>
          <w:szCs w:val="32"/>
        </w:rPr>
      </w:pPr>
      <w:r w:rsidRPr="00825A7A">
        <w:rPr>
          <w:rFonts w:ascii="黑体" w:eastAsia="黑体" w:hAnsi="黑体" w:cs="Times New Roman" w:hint="eastAsia"/>
          <w:szCs w:val="32"/>
        </w:rPr>
        <w:lastRenderedPageBreak/>
        <w:t>附表1</w:t>
      </w:r>
    </w:p>
    <w:p w:rsidR="00825A7A" w:rsidRPr="00FE5AD7" w:rsidRDefault="00825A7A" w:rsidP="00825A7A">
      <w:pPr>
        <w:snapToGrid w:val="0"/>
        <w:spacing w:line="288" w:lineRule="auto"/>
        <w:jc w:val="center"/>
        <w:rPr>
          <w:rFonts w:ascii="方正小标宋简体" w:eastAsia="方正小标宋简体" w:hAnsi="Times New Roman" w:cs="Times New Roman"/>
          <w:spacing w:val="-10"/>
          <w:sz w:val="44"/>
          <w:szCs w:val="44"/>
        </w:rPr>
      </w:pPr>
      <w:r w:rsidRPr="00FE5AD7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中国劳动关系学院校外专家劳务活动开展审批表</w:t>
      </w:r>
    </w:p>
    <w:p w:rsidR="00825A7A" w:rsidRPr="00BE32CB" w:rsidRDefault="00825A7A" w:rsidP="00825A7A">
      <w:pPr>
        <w:snapToGrid w:val="0"/>
        <w:spacing w:line="288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825A7A" w:rsidRPr="00BE32CB" w:rsidRDefault="00825A7A" w:rsidP="00825A7A">
      <w:pPr>
        <w:rPr>
          <w:rFonts w:ascii="仿宋_GB2312" w:eastAsia="仿宋_GB2312"/>
          <w:b/>
          <w:sz w:val="30"/>
          <w:szCs w:val="30"/>
        </w:rPr>
      </w:pPr>
      <w:r w:rsidRPr="00BE32CB">
        <w:rPr>
          <w:rFonts w:ascii="仿宋_GB2312" w:eastAsia="仿宋_GB2312" w:hint="eastAsia"/>
          <w:b/>
          <w:sz w:val="30"/>
          <w:szCs w:val="30"/>
        </w:rPr>
        <w:t>部门：</w:t>
      </w:r>
      <w:r w:rsidRPr="00BE32CB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</w:t>
      </w:r>
      <w:r w:rsidRPr="00BE32CB">
        <w:rPr>
          <w:rFonts w:ascii="仿宋_GB2312" w:eastAsia="仿宋_GB2312" w:hint="eastAsia"/>
          <w:b/>
          <w:sz w:val="30"/>
          <w:szCs w:val="30"/>
        </w:rPr>
        <w:t xml:space="preserve"> （公章）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871"/>
        <w:gridCol w:w="2268"/>
        <w:gridCol w:w="1684"/>
        <w:gridCol w:w="2640"/>
      </w:tblGrid>
      <w:tr w:rsidR="00825A7A" w:rsidRPr="00BE32CB" w:rsidTr="00250FA4">
        <w:trPr>
          <w:trHeight w:val="675"/>
          <w:jc w:val="center"/>
        </w:trPr>
        <w:tc>
          <w:tcPr>
            <w:tcW w:w="2569" w:type="dxa"/>
            <w:gridSpan w:val="2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经费来源类型</w:t>
            </w:r>
          </w:p>
        </w:tc>
        <w:tc>
          <w:tcPr>
            <w:tcW w:w="6592" w:type="dxa"/>
            <w:gridSpan w:val="3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592"/>
          <w:jc w:val="center"/>
        </w:trPr>
        <w:tc>
          <w:tcPr>
            <w:tcW w:w="2569" w:type="dxa"/>
            <w:gridSpan w:val="2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预计金额合计</w:t>
            </w:r>
          </w:p>
        </w:tc>
        <w:tc>
          <w:tcPr>
            <w:tcW w:w="6592" w:type="dxa"/>
            <w:gridSpan w:val="3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744"/>
          <w:jc w:val="center"/>
        </w:trPr>
        <w:tc>
          <w:tcPr>
            <w:tcW w:w="2569" w:type="dxa"/>
            <w:gridSpan w:val="2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事由</w:t>
            </w:r>
          </w:p>
        </w:tc>
        <w:tc>
          <w:tcPr>
            <w:tcW w:w="6592" w:type="dxa"/>
            <w:gridSpan w:val="3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110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825A7A" w:rsidRPr="00BE32CB" w:rsidRDefault="00825A7A" w:rsidP="00250FA4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劳务费支出 分类明细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职称</w:t>
            </w:r>
          </w:p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金额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劳务活动起止时间</w:t>
            </w:r>
          </w:p>
        </w:tc>
      </w:tr>
      <w:tr w:rsidR="00825A7A" w:rsidRPr="00BE32CB" w:rsidTr="00250FA4">
        <w:trPr>
          <w:trHeight w:val="600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600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585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585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585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250FA4">
        <w:trPr>
          <w:trHeight w:val="585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4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40" w:type="dxa"/>
            <w:shd w:val="clear" w:color="auto" w:fill="auto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25A7A" w:rsidRPr="00BE32CB" w:rsidTr="005F32D1">
        <w:trPr>
          <w:trHeight w:val="1427"/>
          <w:jc w:val="center"/>
        </w:trPr>
        <w:tc>
          <w:tcPr>
            <w:tcW w:w="698" w:type="dxa"/>
            <w:vMerge/>
            <w:shd w:val="clear" w:color="auto" w:fill="auto"/>
          </w:tcPr>
          <w:p w:rsidR="00825A7A" w:rsidRPr="00BE32CB" w:rsidRDefault="00825A7A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463" w:type="dxa"/>
            <w:gridSpan w:val="4"/>
            <w:shd w:val="clear" w:color="auto" w:fill="auto"/>
            <w:vAlign w:val="center"/>
          </w:tcPr>
          <w:p w:rsidR="005F32D1" w:rsidRDefault="00825A7A" w:rsidP="00250FA4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E32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部门（项目）负责人审核意见：      </w:t>
            </w:r>
          </w:p>
          <w:p w:rsidR="00825A7A" w:rsidRPr="00BE32CB" w:rsidRDefault="00825A7A" w:rsidP="00250FA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</w:t>
            </w:r>
          </w:p>
        </w:tc>
      </w:tr>
      <w:tr w:rsidR="00825A7A" w:rsidRPr="00BE32CB" w:rsidTr="00250FA4">
        <w:trPr>
          <w:trHeight w:val="1892"/>
          <w:jc w:val="center"/>
        </w:trPr>
        <w:tc>
          <w:tcPr>
            <w:tcW w:w="2569" w:type="dxa"/>
            <w:gridSpan w:val="2"/>
            <w:shd w:val="clear" w:color="auto" w:fill="auto"/>
            <w:vAlign w:val="center"/>
          </w:tcPr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分管校领导</w:t>
            </w:r>
          </w:p>
          <w:p w:rsidR="00825A7A" w:rsidRPr="00BE32CB" w:rsidRDefault="00825A7A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审批意见</w:t>
            </w:r>
          </w:p>
        </w:tc>
        <w:tc>
          <w:tcPr>
            <w:tcW w:w="6592" w:type="dxa"/>
            <w:gridSpan w:val="3"/>
            <w:shd w:val="clear" w:color="auto" w:fill="auto"/>
          </w:tcPr>
          <w:p w:rsidR="00825A7A" w:rsidRPr="00BE32CB" w:rsidRDefault="00825A7A" w:rsidP="00FE5AD7">
            <w:pPr>
              <w:ind w:firstLineChars="1346" w:firstLine="3998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25A7A" w:rsidRPr="00BE32CB" w:rsidRDefault="00825A7A" w:rsidP="00FE5AD7">
            <w:pPr>
              <w:ind w:firstLineChars="1346" w:firstLine="3998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25A7A" w:rsidRPr="00BE32CB" w:rsidRDefault="00825A7A" w:rsidP="00250FA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</w:t>
            </w:r>
          </w:p>
          <w:p w:rsidR="00825A7A" w:rsidRPr="00BE32CB" w:rsidRDefault="00825A7A" w:rsidP="00FE5AD7">
            <w:pPr>
              <w:ind w:firstLineChars="1500" w:firstLine="4455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年   月   日</w:t>
            </w:r>
          </w:p>
        </w:tc>
      </w:tr>
    </w:tbl>
    <w:p w:rsidR="005F32D1" w:rsidRDefault="005F32D1" w:rsidP="003A2E33">
      <w:pPr>
        <w:snapToGrid w:val="0"/>
        <w:spacing w:afterLines="50" w:after="218" w:line="288" w:lineRule="auto"/>
        <w:jc w:val="left"/>
        <w:rPr>
          <w:rFonts w:ascii="黑体" w:eastAsia="黑体" w:hAnsi="黑体" w:cs="Times New Roman" w:hint="eastAsia"/>
          <w:szCs w:val="32"/>
        </w:rPr>
      </w:pPr>
    </w:p>
    <w:p w:rsidR="00D7105E" w:rsidRPr="00D7105E" w:rsidRDefault="00D7105E" w:rsidP="003A2E33">
      <w:pPr>
        <w:snapToGrid w:val="0"/>
        <w:spacing w:afterLines="50" w:after="218" w:line="288" w:lineRule="auto"/>
        <w:jc w:val="left"/>
        <w:rPr>
          <w:rFonts w:ascii="黑体" w:eastAsia="黑体" w:hAnsi="黑体" w:cs="Times New Roman"/>
          <w:szCs w:val="32"/>
        </w:rPr>
      </w:pPr>
      <w:r w:rsidRPr="00D7105E">
        <w:rPr>
          <w:rFonts w:ascii="黑体" w:eastAsia="黑体" w:hAnsi="黑体" w:cs="Times New Roman" w:hint="eastAsia"/>
          <w:szCs w:val="32"/>
        </w:rPr>
        <w:lastRenderedPageBreak/>
        <w:t>附表2</w:t>
      </w:r>
    </w:p>
    <w:p w:rsidR="00D7105E" w:rsidRPr="00FE5AD7" w:rsidRDefault="00D7105E" w:rsidP="00D7105E">
      <w:pPr>
        <w:snapToGrid w:val="0"/>
        <w:spacing w:line="288" w:lineRule="auto"/>
        <w:jc w:val="center"/>
        <w:rPr>
          <w:rFonts w:ascii="方正小标宋简体" w:eastAsia="方正小标宋简体" w:hAnsi="Times New Roman" w:cs="Times New Roman"/>
          <w:spacing w:val="-10"/>
          <w:sz w:val="44"/>
          <w:szCs w:val="44"/>
        </w:rPr>
      </w:pPr>
      <w:r w:rsidRPr="00FE5AD7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中国劳动关系学院校内人员劳务活动开展审批表</w:t>
      </w:r>
    </w:p>
    <w:p w:rsidR="00FE5AD7" w:rsidRDefault="00FE5AD7" w:rsidP="00D7105E">
      <w:pPr>
        <w:rPr>
          <w:rFonts w:ascii="仿宋_GB2312" w:eastAsia="仿宋_GB2312"/>
          <w:b/>
          <w:sz w:val="30"/>
          <w:szCs w:val="30"/>
        </w:rPr>
      </w:pPr>
    </w:p>
    <w:p w:rsidR="00D7105E" w:rsidRPr="00BE32CB" w:rsidRDefault="00D7105E" w:rsidP="00D7105E">
      <w:pPr>
        <w:rPr>
          <w:rFonts w:ascii="仿宋_GB2312" w:eastAsia="仿宋_GB2312"/>
          <w:b/>
          <w:sz w:val="30"/>
          <w:szCs w:val="30"/>
        </w:rPr>
      </w:pPr>
      <w:r w:rsidRPr="00BE32CB">
        <w:rPr>
          <w:rFonts w:ascii="仿宋_GB2312" w:eastAsia="仿宋_GB2312" w:hint="eastAsia"/>
          <w:b/>
          <w:sz w:val="30"/>
          <w:szCs w:val="30"/>
        </w:rPr>
        <w:t>部门：</w:t>
      </w:r>
      <w:r w:rsidRPr="00BE32CB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</w:t>
      </w:r>
      <w:r w:rsidRPr="00BE32CB">
        <w:rPr>
          <w:rFonts w:ascii="仿宋_GB2312" w:eastAsia="仿宋_GB2312" w:hint="eastAsia"/>
          <w:b/>
          <w:sz w:val="30"/>
          <w:szCs w:val="30"/>
        </w:rPr>
        <w:t xml:space="preserve"> （公章）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460"/>
        <w:gridCol w:w="113"/>
        <w:gridCol w:w="2438"/>
        <w:gridCol w:w="1787"/>
        <w:gridCol w:w="2829"/>
        <w:gridCol w:w="6"/>
        <w:gridCol w:w="8"/>
      </w:tblGrid>
      <w:tr w:rsidR="00D7105E" w:rsidRPr="00BE32CB" w:rsidTr="00250FA4">
        <w:trPr>
          <w:gridAfter w:val="2"/>
          <w:wAfter w:w="14" w:type="dxa"/>
          <w:trHeight w:val="706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经费来源类型</w:t>
            </w:r>
          </w:p>
        </w:tc>
        <w:tc>
          <w:tcPr>
            <w:tcW w:w="7167" w:type="dxa"/>
            <w:gridSpan w:val="4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2"/>
          <w:wAfter w:w="14" w:type="dxa"/>
          <w:trHeight w:val="728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发放金额合计</w:t>
            </w:r>
          </w:p>
        </w:tc>
        <w:tc>
          <w:tcPr>
            <w:tcW w:w="7167" w:type="dxa"/>
            <w:gridSpan w:val="4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2"/>
          <w:wAfter w:w="14" w:type="dxa"/>
          <w:trHeight w:val="670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事由</w:t>
            </w:r>
          </w:p>
        </w:tc>
        <w:tc>
          <w:tcPr>
            <w:tcW w:w="7167" w:type="dxa"/>
            <w:gridSpan w:val="4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1105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D7105E" w:rsidRPr="00BE32CB" w:rsidRDefault="00D7105E" w:rsidP="00250FA4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劳务费支出 分类明细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职称</w:t>
            </w:r>
          </w:p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金额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劳务活动起止时间</w:t>
            </w:r>
          </w:p>
        </w:tc>
      </w:tr>
      <w:tr w:rsidR="00D7105E" w:rsidRPr="00BE32CB" w:rsidTr="00250FA4">
        <w:trPr>
          <w:gridAfter w:val="1"/>
          <w:wAfter w:w="8" w:type="dxa"/>
          <w:trHeight w:val="600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600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585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585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585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250FA4">
        <w:trPr>
          <w:gridAfter w:val="1"/>
          <w:wAfter w:w="8" w:type="dxa"/>
          <w:trHeight w:val="585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60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105E" w:rsidRPr="00BE32CB" w:rsidTr="005F32D1">
        <w:trPr>
          <w:trHeight w:val="1500"/>
          <w:jc w:val="center"/>
        </w:trPr>
        <w:tc>
          <w:tcPr>
            <w:tcW w:w="719" w:type="dxa"/>
            <w:vMerge/>
            <w:shd w:val="clear" w:color="auto" w:fill="auto"/>
          </w:tcPr>
          <w:p w:rsidR="00D7105E" w:rsidRPr="00BE32CB" w:rsidRDefault="00D7105E" w:rsidP="00250FA4">
            <w:pPr>
              <w:spacing w:line="4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641" w:type="dxa"/>
            <w:gridSpan w:val="7"/>
            <w:shd w:val="clear" w:color="auto" w:fill="auto"/>
            <w:vAlign w:val="center"/>
          </w:tcPr>
          <w:p w:rsidR="005F32D1" w:rsidRDefault="00D7105E" w:rsidP="00250FA4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E32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部门（项目）负责人审核意见：  </w:t>
            </w:r>
          </w:p>
          <w:p w:rsidR="00D7105E" w:rsidRPr="00BE32CB" w:rsidRDefault="00D7105E" w:rsidP="00250FA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D7105E" w:rsidRPr="00BE32CB" w:rsidTr="00FE5AD7">
        <w:trPr>
          <w:trHeight w:val="1349"/>
          <w:jc w:val="center"/>
        </w:trPr>
        <w:tc>
          <w:tcPr>
            <w:tcW w:w="2292" w:type="dxa"/>
            <w:gridSpan w:val="3"/>
            <w:shd w:val="clear" w:color="auto" w:fill="auto"/>
            <w:vAlign w:val="center"/>
          </w:tcPr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分管校领导</w:t>
            </w:r>
          </w:p>
          <w:p w:rsidR="00D7105E" w:rsidRPr="00BE32CB" w:rsidRDefault="00D7105E" w:rsidP="00250F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审批意见</w:t>
            </w:r>
          </w:p>
        </w:tc>
        <w:tc>
          <w:tcPr>
            <w:tcW w:w="7068" w:type="dxa"/>
            <w:gridSpan w:val="5"/>
            <w:shd w:val="clear" w:color="auto" w:fill="auto"/>
          </w:tcPr>
          <w:p w:rsidR="00D7105E" w:rsidRPr="00BE32CB" w:rsidRDefault="00D7105E" w:rsidP="00250FA4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7105E" w:rsidRDefault="00D7105E" w:rsidP="00250FA4">
            <w:pPr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5F32D1" w:rsidRPr="00BE32CB" w:rsidRDefault="005F32D1" w:rsidP="00250FA4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7105E" w:rsidRPr="00BE32CB" w:rsidRDefault="00D7105E" w:rsidP="00FE5AD7">
            <w:pPr>
              <w:ind w:firstLineChars="1650" w:firstLine="4901"/>
              <w:rPr>
                <w:rFonts w:ascii="仿宋_GB2312" w:eastAsia="仿宋_GB2312"/>
                <w:b/>
                <w:sz w:val="30"/>
                <w:szCs w:val="30"/>
              </w:rPr>
            </w:pPr>
            <w:r w:rsidRPr="00BE32CB">
              <w:rPr>
                <w:rFonts w:ascii="仿宋_GB2312" w:eastAsia="仿宋_GB2312" w:hint="eastAsia"/>
                <w:b/>
                <w:sz w:val="30"/>
                <w:szCs w:val="30"/>
              </w:rPr>
              <w:t>年   月   日</w:t>
            </w:r>
          </w:p>
        </w:tc>
      </w:tr>
    </w:tbl>
    <w:p w:rsidR="00E77358" w:rsidRPr="00E2386E" w:rsidRDefault="00E77358" w:rsidP="00FE5AD7">
      <w:pPr>
        <w:spacing w:line="240" w:lineRule="exact"/>
        <w:rPr>
          <w:rFonts w:asciiTheme="majorEastAsia" w:eastAsiaTheme="majorEastAsia" w:hAnsiTheme="majorEastAsia"/>
          <w:szCs w:val="32"/>
        </w:rPr>
      </w:pPr>
    </w:p>
    <w:sectPr w:rsidR="00E77358" w:rsidRPr="00E2386E" w:rsidSect="003A2E33">
      <w:footerReference w:type="even" r:id="rId7"/>
      <w:footerReference w:type="default" r:id="rId8"/>
      <w:pgSz w:w="11906" w:h="16838" w:code="9"/>
      <w:pgMar w:top="1871" w:right="1531" w:bottom="1871" w:left="1531" w:header="851" w:footer="992" w:gutter="0"/>
      <w:pgNumType w:fmt="numberInDash"/>
      <w:cols w:space="425"/>
      <w:docGrid w:type="linesAndChars" w:linePitch="43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36" w:rsidRDefault="00CC7036" w:rsidP="00694F47">
      <w:r>
        <w:separator/>
      </w:r>
    </w:p>
  </w:endnote>
  <w:endnote w:type="continuationSeparator" w:id="0">
    <w:p w:rsidR="00CC7036" w:rsidRDefault="00CC7036" w:rsidP="006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41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A2E33" w:rsidRPr="003A2E33" w:rsidRDefault="003A2E33">
        <w:pPr>
          <w:pStyle w:val="a4"/>
          <w:rPr>
            <w:rFonts w:asciiTheme="minorEastAsia" w:hAnsiTheme="minorEastAsia"/>
            <w:sz w:val="28"/>
            <w:szCs w:val="28"/>
          </w:rPr>
        </w:pPr>
        <w:r w:rsidRPr="003A2E33">
          <w:rPr>
            <w:rFonts w:asciiTheme="minorEastAsia" w:hAnsiTheme="minorEastAsia"/>
            <w:sz w:val="28"/>
            <w:szCs w:val="28"/>
          </w:rPr>
          <w:fldChar w:fldCharType="begin"/>
        </w:r>
        <w:r w:rsidRPr="003A2E3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A2E33">
          <w:rPr>
            <w:rFonts w:asciiTheme="minorEastAsia" w:hAnsiTheme="minorEastAsia"/>
            <w:sz w:val="28"/>
            <w:szCs w:val="28"/>
          </w:rPr>
          <w:fldChar w:fldCharType="separate"/>
        </w:r>
        <w:r w:rsidR="00B542A8" w:rsidRPr="00B542A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542A8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3A2E3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A2E33" w:rsidRDefault="003A2E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393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A2E33" w:rsidRPr="003A2E33" w:rsidRDefault="003A2E3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3A2E33">
          <w:rPr>
            <w:rFonts w:asciiTheme="minorEastAsia" w:hAnsiTheme="minorEastAsia"/>
            <w:sz w:val="28"/>
            <w:szCs w:val="28"/>
          </w:rPr>
          <w:fldChar w:fldCharType="begin"/>
        </w:r>
        <w:r w:rsidRPr="003A2E3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A2E33">
          <w:rPr>
            <w:rFonts w:asciiTheme="minorEastAsia" w:hAnsiTheme="minorEastAsia"/>
            <w:sz w:val="28"/>
            <w:szCs w:val="28"/>
          </w:rPr>
          <w:fldChar w:fldCharType="separate"/>
        </w:r>
        <w:r w:rsidR="00D36A25" w:rsidRPr="00D36A2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36A2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3A2E3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A2E33" w:rsidRDefault="003A2E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36" w:rsidRDefault="00CC7036" w:rsidP="00694F47">
      <w:r>
        <w:separator/>
      </w:r>
    </w:p>
  </w:footnote>
  <w:footnote w:type="continuationSeparator" w:id="0">
    <w:p w:rsidR="00CC7036" w:rsidRDefault="00CC7036" w:rsidP="0069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C"/>
    <w:rsid w:val="000D6AED"/>
    <w:rsid w:val="00103E52"/>
    <w:rsid w:val="00110958"/>
    <w:rsid w:val="00143120"/>
    <w:rsid w:val="0018061A"/>
    <w:rsid w:val="001A0550"/>
    <w:rsid w:val="001B2D51"/>
    <w:rsid w:val="001C738E"/>
    <w:rsid w:val="001F28D4"/>
    <w:rsid w:val="00270908"/>
    <w:rsid w:val="00283382"/>
    <w:rsid w:val="002968FF"/>
    <w:rsid w:val="002A5BE9"/>
    <w:rsid w:val="002B4F52"/>
    <w:rsid w:val="00307BC9"/>
    <w:rsid w:val="003A2E33"/>
    <w:rsid w:val="003C5CAC"/>
    <w:rsid w:val="003D1E59"/>
    <w:rsid w:val="003D5015"/>
    <w:rsid w:val="003F39A3"/>
    <w:rsid w:val="003F7848"/>
    <w:rsid w:val="0040096D"/>
    <w:rsid w:val="00413C29"/>
    <w:rsid w:val="0042086C"/>
    <w:rsid w:val="00451853"/>
    <w:rsid w:val="00462B86"/>
    <w:rsid w:val="00566A7C"/>
    <w:rsid w:val="00597C47"/>
    <w:rsid w:val="005E3FD3"/>
    <w:rsid w:val="005F31E8"/>
    <w:rsid w:val="005F32D1"/>
    <w:rsid w:val="005F5614"/>
    <w:rsid w:val="00623955"/>
    <w:rsid w:val="00636D28"/>
    <w:rsid w:val="0068150C"/>
    <w:rsid w:val="00694F47"/>
    <w:rsid w:val="006A0734"/>
    <w:rsid w:val="00825A7A"/>
    <w:rsid w:val="008F42A6"/>
    <w:rsid w:val="009176B8"/>
    <w:rsid w:val="0099305D"/>
    <w:rsid w:val="00A031E5"/>
    <w:rsid w:val="00A5466A"/>
    <w:rsid w:val="00AA174A"/>
    <w:rsid w:val="00B542A8"/>
    <w:rsid w:val="00CC7036"/>
    <w:rsid w:val="00D364BC"/>
    <w:rsid w:val="00D36A25"/>
    <w:rsid w:val="00D7105E"/>
    <w:rsid w:val="00DA2C16"/>
    <w:rsid w:val="00E2386E"/>
    <w:rsid w:val="00E2699B"/>
    <w:rsid w:val="00E330A6"/>
    <w:rsid w:val="00E77358"/>
    <w:rsid w:val="00E97B6B"/>
    <w:rsid w:val="00EA10D3"/>
    <w:rsid w:val="00EC6946"/>
    <w:rsid w:val="00EF10CF"/>
    <w:rsid w:val="00F9552A"/>
    <w:rsid w:val="00F97C3F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7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F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5AD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5AD7"/>
    <w:rPr>
      <w:sz w:val="32"/>
    </w:rPr>
  </w:style>
  <w:style w:type="paragraph" w:styleId="a6">
    <w:name w:val="Balloon Text"/>
    <w:basedOn w:val="a"/>
    <w:link w:val="Char2"/>
    <w:uiPriority w:val="99"/>
    <w:semiHidden/>
    <w:unhideWhenUsed/>
    <w:rsid w:val="00B542A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4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7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F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5AD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5AD7"/>
    <w:rPr>
      <w:sz w:val="32"/>
    </w:rPr>
  </w:style>
  <w:style w:type="paragraph" w:styleId="a6">
    <w:name w:val="Balloon Text"/>
    <w:basedOn w:val="a"/>
    <w:link w:val="Char2"/>
    <w:uiPriority w:val="99"/>
    <w:semiHidden/>
    <w:unhideWhenUsed/>
    <w:rsid w:val="00B542A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494</Words>
  <Characters>2819</Characters>
  <Application>Microsoft Office Word</Application>
  <DocSecurity>0</DocSecurity>
  <Lines>23</Lines>
  <Paragraphs>6</Paragraphs>
  <ScaleCrop>false</ScaleCrop>
  <Company>china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刘树元</dc:creator>
  <cp:keywords/>
  <dc:description/>
  <cp:lastModifiedBy>Administrator</cp:lastModifiedBy>
  <cp:revision>6</cp:revision>
  <cp:lastPrinted>2019-12-13T01:41:00Z</cp:lastPrinted>
  <dcterms:created xsi:type="dcterms:W3CDTF">2019-12-12T09:40:00Z</dcterms:created>
  <dcterms:modified xsi:type="dcterms:W3CDTF">2019-12-13T01:42:00Z</dcterms:modified>
</cp:coreProperties>
</file>