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color w:val="FF00FF"/>
          <w:spacing w:val="-60"/>
          <w:w w:val="50"/>
          <w:sz w:val="144"/>
          <w:szCs w:val="144"/>
        </w:rPr>
      </w:pPr>
      <w:bookmarkStart w:id="0" w:name="_Toc49551842"/>
      <w:bookmarkStart w:id="1" w:name="_Toc50138187"/>
      <w:r>
        <w:rPr>
          <w:rFonts w:hint="eastAsia" w:ascii="华文中宋" w:hAnsi="华文中宋" w:eastAsia="华文中宋" w:cs="Times New Roman"/>
          <w:color w:val="FF00FF"/>
          <w:spacing w:val="-60"/>
          <w:w w:val="50"/>
          <w:sz w:val="144"/>
          <w:szCs w:val="144"/>
        </w:rPr>
        <w:t>中 国 劳 动 关 系 学 院 文 件</w:t>
      </w:r>
    </w:p>
    <w:p>
      <w:pPr>
        <w:spacing w:line="880" w:lineRule="exact"/>
        <w:rPr>
          <w:rFonts w:ascii="Times New Roman" w:hAnsi="Times New Roman" w:eastAsia="宋体" w:cs="Times New Roman"/>
        </w:rPr>
      </w:pPr>
    </w:p>
    <w:p>
      <w:pPr>
        <w:jc w:val="center"/>
        <w:rPr>
          <w:rFonts w:ascii="黑体" w:hAnsi="华文中宋" w:eastAsia="黑体" w:cs="Times New Roman"/>
        </w:rPr>
      </w:pPr>
      <w:bookmarkStart w:id="2" w:name="doc_mark"/>
      <w:r>
        <w:rPr>
          <w:rFonts w:hint="eastAsia" w:ascii="黑体" w:hAnsi="华文中宋" w:eastAsia="黑体" w:cs="Times New Roman"/>
        </w:rPr>
        <w:t>校字〔2022〕21号</w:t>
      </w:r>
      <w:bookmarkEnd w:id="2"/>
    </w:p>
    <w:tbl>
      <w:tblPr>
        <w:tblStyle w:val="17"/>
        <w:tblW w:w="0" w:type="auto"/>
        <w:tblInd w:w="108" w:type="dxa"/>
        <w:tblBorders>
          <w:top w:val="single" w:color="FF00FF"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single" w:color="FF00FF"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33" w:type="dxa"/>
            <w:tcBorders>
              <w:top w:val="single" w:color="FF00FF" w:sz="18" w:space="0"/>
              <w:left w:val="nil"/>
              <w:bottom w:val="nil"/>
              <w:right w:val="nil"/>
            </w:tcBorders>
          </w:tcPr>
          <w:p>
            <w:pPr>
              <w:spacing w:line="400" w:lineRule="exact"/>
              <w:rPr>
                <w:rFonts w:ascii="Times New Roman" w:hAnsi="Times New Roman" w:eastAsia="宋体" w:cs="Times New Roman"/>
                <w:color w:val="FF00FF"/>
                <w:u w:val="single"/>
              </w:rPr>
            </w:pPr>
          </w:p>
        </w:tc>
      </w:tr>
    </w:tbl>
    <w:p>
      <w:pPr>
        <w:spacing w:line="400" w:lineRule="exact"/>
        <w:rPr>
          <w:rFonts w:ascii="Times New Roman" w:hAnsi="Times New Roman" w:eastAsia="宋体" w:cs="Times New Roman"/>
        </w:rPr>
      </w:pPr>
    </w:p>
    <w:p>
      <w:pPr>
        <w:widowControl/>
        <w:spacing w:line="0" w:lineRule="atLeast"/>
        <w:jc w:val="center"/>
        <w:rPr>
          <w:rFonts w:ascii="Calibri" w:hAnsi="Calibri" w:eastAsia="宋体" w:cs="Times New Roman"/>
          <w:spacing w:val="-20"/>
          <w:sz w:val="44"/>
          <w:szCs w:val="44"/>
        </w:rPr>
      </w:pPr>
      <w:r>
        <w:rPr>
          <w:rFonts w:ascii="方正小标宋简体" w:hAnsi="方正小标宋简体" w:eastAsia="方正小标宋简体" w:cs="方正小标宋简体"/>
          <w:color w:val="000000"/>
          <w:spacing w:val="-20"/>
          <w:kern w:val="0"/>
          <w:sz w:val="44"/>
          <w:szCs w:val="44"/>
          <w:lang w:bidi="ar"/>
        </w:rPr>
        <w:t>关于印发《中国劳动关系学院“十四五”</w:t>
      </w:r>
      <w:r>
        <w:rPr>
          <w:rFonts w:hint="eastAsia" w:ascii="方正小标宋简体" w:hAnsi="方正小标宋简体" w:eastAsia="方正小标宋简体" w:cs="方正小标宋简体"/>
          <w:color w:val="000000"/>
          <w:spacing w:val="-20"/>
          <w:kern w:val="0"/>
          <w:sz w:val="44"/>
          <w:szCs w:val="44"/>
          <w:lang w:bidi="ar"/>
        </w:rPr>
        <w:t>学科建设与研究生教育专项规划》的通知</w:t>
      </w:r>
    </w:p>
    <w:p>
      <w:pPr>
        <w:widowControl/>
        <w:jc w:val="left"/>
        <w:rPr>
          <w:rFonts w:cs="仿宋"/>
          <w:color w:val="000000"/>
          <w:kern w:val="0"/>
          <w:lang w:bidi="ar"/>
        </w:rPr>
      </w:pPr>
    </w:p>
    <w:p>
      <w:pPr>
        <w:widowControl/>
        <w:spacing w:line="620" w:lineRule="exact"/>
        <w:jc w:val="left"/>
        <w:rPr>
          <w:rFonts w:ascii="Calibri" w:hAnsi="Calibri" w:eastAsia="宋体" w:cs="Times New Roman"/>
          <w:spacing w:val="4"/>
          <w:sz w:val="21"/>
          <w:szCs w:val="24"/>
        </w:rPr>
      </w:pPr>
      <w:r>
        <w:rPr>
          <w:rFonts w:cs="仿宋"/>
          <w:color w:val="000000"/>
          <w:spacing w:val="4"/>
          <w:kern w:val="0"/>
          <w:lang w:bidi="ar"/>
        </w:rPr>
        <w:t xml:space="preserve">学校各部门： </w:t>
      </w:r>
    </w:p>
    <w:p>
      <w:pPr>
        <w:widowControl/>
        <w:spacing w:line="620" w:lineRule="exact"/>
        <w:ind w:firstLine="656" w:firstLineChars="200"/>
        <w:rPr>
          <w:rFonts w:ascii="Calibri" w:hAnsi="Calibri" w:eastAsia="宋体" w:cs="Times New Roman"/>
          <w:spacing w:val="4"/>
          <w:sz w:val="21"/>
          <w:szCs w:val="24"/>
        </w:rPr>
      </w:pPr>
      <w:r>
        <w:rPr>
          <w:rFonts w:hint="eastAsia" w:cs="仿宋"/>
          <w:color w:val="000000"/>
          <w:spacing w:val="4"/>
          <w:kern w:val="0"/>
          <w:lang w:bidi="ar"/>
        </w:rPr>
        <w:t xml:space="preserve">《中国劳动关系学院“十四五”学科建设与研究生教育专项规划》已于中国劳动关系学院2022年度第15次党委常委会讨论通过，现予以印发。 </w:t>
      </w:r>
    </w:p>
    <w:p>
      <w:pPr>
        <w:widowControl/>
        <w:spacing w:line="620" w:lineRule="exact"/>
        <w:ind w:firstLine="656" w:firstLineChars="200"/>
        <w:rPr>
          <w:rFonts w:cs="仿宋"/>
          <w:color w:val="000000"/>
          <w:spacing w:val="4"/>
          <w:kern w:val="0"/>
          <w:lang w:bidi="ar"/>
        </w:rPr>
      </w:pPr>
      <w:r>
        <w:rPr>
          <w:rFonts w:hint="eastAsia" w:cs="仿宋"/>
          <w:color w:val="000000"/>
          <w:spacing w:val="4"/>
          <w:kern w:val="0"/>
          <w:lang w:bidi="ar"/>
        </w:rPr>
        <w:t>规划紧密围绕学校“十四五”发展规划确立的建设目标和战略任务，对学校“十四五”期间学科建设与研究生教育工作作了具体安排与部署。请各部门认真学习，扎实落实。请各二级学院对标已经印发的《中国劳动关系学院“十四五”党建与思想政治工作专项规划》《中国劳动关系学院“十四五”学科建设与研究生教育专项规划》《中国劳动关系学院“十四五”人才培养专项规划》《中国劳动关系学院“十四五”师资队伍建设专项规划》4个专项规划，结合学院发展实际，进一步完善二级学院发展规划。</w:t>
      </w:r>
    </w:p>
    <w:p>
      <w:pPr>
        <w:widowControl/>
        <w:spacing w:line="600" w:lineRule="exact"/>
        <w:ind w:firstLine="640" w:firstLineChars="200"/>
        <w:rPr>
          <w:rFonts w:cs="仿宋"/>
          <w:color w:val="000000"/>
          <w:kern w:val="0"/>
          <w:lang w:bidi="ar"/>
        </w:rPr>
      </w:pPr>
    </w:p>
    <w:p>
      <w:pPr>
        <w:widowControl/>
        <w:tabs>
          <w:tab w:val="left" w:pos="7513"/>
        </w:tabs>
        <w:spacing w:line="600" w:lineRule="exact"/>
        <w:ind w:firstLine="640" w:firstLineChars="200"/>
        <w:rPr>
          <w:rFonts w:cs="仿宋"/>
          <w:color w:val="000000"/>
          <w:kern w:val="0"/>
          <w:lang w:bidi="ar"/>
        </w:rPr>
      </w:pPr>
      <w:r>
        <w:rPr>
          <w:rFonts w:hint="eastAsia" w:cs="仿宋"/>
          <w:color w:val="000000"/>
          <w:kern w:val="0"/>
          <w:lang w:bidi="ar"/>
        </w:rPr>
        <w:t>附件：中国劳动关系学院“十四五”学科建设与研究生教育</w:t>
      </w:r>
    </w:p>
    <w:p>
      <w:pPr>
        <w:widowControl/>
        <w:spacing w:line="600" w:lineRule="exact"/>
        <w:ind w:firstLine="1600" w:firstLineChars="500"/>
        <w:rPr>
          <w:rFonts w:cs="仿宋"/>
          <w:color w:val="000000"/>
          <w:kern w:val="0"/>
          <w:lang w:bidi="ar"/>
        </w:rPr>
      </w:pPr>
      <w:r>
        <w:rPr>
          <w:rFonts w:hint="eastAsia" w:cs="仿宋"/>
          <w:color w:val="000000"/>
          <w:kern w:val="0"/>
          <w:lang w:bidi="ar"/>
        </w:rPr>
        <w:t>专项规划</w:t>
      </w:r>
    </w:p>
    <w:p>
      <w:pPr>
        <w:widowControl/>
        <w:spacing w:line="600" w:lineRule="exact"/>
        <w:ind w:firstLine="640" w:firstLineChars="200"/>
        <w:rPr>
          <w:rFonts w:cs="仿宋"/>
          <w:color w:val="000000"/>
          <w:kern w:val="0"/>
          <w:lang w:bidi="ar"/>
        </w:rPr>
      </w:pPr>
    </w:p>
    <w:p>
      <w:pPr>
        <w:widowControl/>
        <w:spacing w:line="600" w:lineRule="exact"/>
        <w:ind w:firstLine="640" w:firstLineChars="200"/>
        <w:rPr>
          <w:rFonts w:cs="仿宋"/>
          <w:color w:val="000000"/>
          <w:kern w:val="0"/>
          <w:lang w:bidi="ar"/>
        </w:rPr>
      </w:pPr>
    </w:p>
    <w:p>
      <w:pPr>
        <w:widowControl/>
        <w:spacing w:line="600" w:lineRule="exact"/>
        <w:ind w:firstLine="640" w:firstLineChars="200"/>
        <w:jc w:val="center"/>
        <w:rPr>
          <w:rFonts w:cs="仿宋"/>
          <w:color w:val="000000"/>
          <w:kern w:val="0"/>
          <w:lang w:bidi="ar"/>
        </w:rPr>
      </w:pPr>
      <w:r>
        <w:rPr>
          <w:rFonts w:hint="eastAsia" w:cs="仿宋"/>
          <w:color w:val="000000"/>
          <w:kern w:val="0"/>
          <w:lang w:bidi="ar"/>
        </w:rPr>
        <w:t xml:space="preserve">                中国劳动关系学院</w:t>
      </w:r>
    </w:p>
    <w:p>
      <w:pPr>
        <w:widowControl/>
        <w:spacing w:line="600" w:lineRule="exact"/>
        <w:ind w:firstLine="640" w:firstLineChars="200"/>
        <w:jc w:val="center"/>
        <w:rPr>
          <w:rFonts w:cs="仿宋"/>
          <w:color w:val="000000"/>
          <w:kern w:val="0"/>
          <w:lang w:bidi="ar"/>
        </w:rPr>
      </w:pPr>
      <w:r>
        <w:rPr>
          <w:rFonts w:hint="eastAsia" w:cs="仿宋"/>
          <w:color w:val="000000"/>
          <w:kern w:val="0"/>
          <w:lang w:bidi="ar"/>
        </w:rPr>
        <w:t xml:space="preserve">                 2022年6月17日</w:t>
      </w:r>
    </w:p>
    <w:p>
      <w:pPr>
        <w:spacing w:line="600" w:lineRule="exact"/>
        <w:rPr>
          <w:rFonts w:ascii="Calibri" w:hAnsi="Calibri" w:eastAsia="宋体" w:cs="Times New Roman"/>
          <w:sz w:val="21"/>
          <w:szCs w:val="24"/>
        </w:rPr>
      </w:pPr>
    </w:p>
    <w:p>
      <w:pPr>
        <w:spacing w:line="600" w:lineRule="exact"/>
        <w:rPr>
          <w:rFonts w:ascii="Calibri" w:hAnsi="Calibri" w:eastAsia="宋体" w:cs="Times New Roman"/>
          <w:sz w:val="21"/>
          <w:szCs w:val="24"/>
        </w:rPr>
      </w:pPr>
    </w:p>
    <w:p>
      <w:pPr>
        <w:spacing w:line="600" w:lineRule="exact"/>
        <w:rPr>
          <w:rFonts w:ascii="Calibri" w:hAnsi="Calibri" w:eastAsia="宋体" w:cs="Times New Roman"/>
          <w:sz w:val="21"/>
          <w:szCs w:val="2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tbl>
      <w:tblPr>
        <w:tblStyle w:val="17"/>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060" w:type="dxa"/>
            <w:vAlign w:val="center"/>
          </w:tcPr>
          <w:p>
            <w:pPr>
              <w:jc w:val="left"/>
              <w:rPr>
                <w:rFonts w:cs="Times New Roman"/>
                <w:color w:val="FF00FF"/>
                <w:sz w:val="28"/>
                <w:szCs w:val="28"/>
              </w:rPr>
            </w:pPr>
            <w:r>
              <w:rPr>
                <w:rFonts w:hint="eastAsia" w:cs="Times New Roman"/>
                <w:sz w:val="28"/>
                <w:szCs w:val="28"/>
              </w:rPr>
              <w:t>中国劳动关系学院党政办公室                  20</w:t>
            </w:r>
            <w:r>
              <w:rPr>
                <w:rFonts w:cs="Times New Roman"/>
                <w:sz w:val="28"/>
                <w:szCs w:val="28"/>
              </w:rPr>
              <w:t>22</w:t>
            </w:r>
            <w:r>
              <w:rPr>
                <w:rFonts w:hint="eastAsia" w:cs="Times New Roman"/>
                <w:sz w:val="28"/>
                <w:szCs w:val="28"/>
              </w:rPr>
              <w:t>年6月21日印发</w:t>
            </w:r>
          </w:p>
        </w:tc>
      </w:tr>
    </w:tbl>
    <w:p>
      <w:pPr>
        <w:spacing w:line="400" w:lineRule="exact"/>
        <w:jc w:val="center"/>
        <w:rPr>
          <w:rFonts w:ascii="方正小标宋简体" w:hAnsi="黑体" w:eastAsia="方正小标宋简体"/>
          <w:sz w:val="44"/>
          <w:szCs w:val="44"/>
        </w:rPr>
        <w:sectPr>
          <w:footerReference r:id="rId5" w:type="first"/>
          <w:footerReference r:id="rId3" w:type="default"/>
          <w:footerReference r:id="rId4" w:type="even"/>
          <w:footnotePr>
            <w:numFmt w:val="decimalEnclosedCircleChinese"/>
          </w:footnotePr>
          <w:pgSz w:w="11906" w:h="16838"/>
          <w:pgMar w:top="1701" w:right="1531" w:bottom="1701" w:left="1531" w:header="851" w:footer="992" w:gutter="0"/>
          <w:pgNumType w:fmt="numberInDash" w:start="1"/>
          <w:cols w:space="425" w:num="1"/>
          <w:titlePg/>
          <w:docGrid w:type="lines" w:linePitch="435" w:charSpace="0"/>
        </w:sectPr>
      </w:pPr>
    </w:p>
    <w:p>
      <w:pPr>
        <w:spacing w:line="400" w:lineRule="exact"/>
        <w:jc w:val="left"/>
        <w:rPr>
          <w:rFonts w:ascii="黑体" w:hAnsi="黑体" w:eastAsia="黑体"/>
        </w:rPr>
      </w:pPr>
      <w:r>
        <w:rPr>
          <w:rFonts w:hint="eastAsia" w:ascii="黑体" w:hAnsi="黑体" w:eastAsia="黑体"/>
        </w:rPr>
        <w:t>附件</w:t>
      </w: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1000" w:lineRule="exact"/>
        <w:jc w:val="center"/>
        <w:rPr>
          <w:rFonts w:ascii="方正小标宋简体" w:hAnsi="黑体" w:eastAsia="方正小标宋简体"/>
          <w:sz w:val="64"/>
          <w:szCs w:val="64"/>
        </w:rPr>
      </w:pPr>
      <w:r>
        <w:rPr>
          <w:rFonts w:hint="eastAsia" w:ascii="方正小标宋简体" w:hAnsi="黑体" w:eastAsia="方正小标宋简体"/>
          <w:sz w:val="64"/>
          <w:szCs w:val="64"/>
        </w:rPr>
        <w:t>中国劳动关系学院</w:t>
      </w:r>
    </w:p>
    <w:p>
      <w:pPr>
        <w:spacing w:line="1000" w:lineRule="exact"/>
        <w:jc w:val="center"/>
        <w:rPr>
          <w:rFonts w:ascii="方正小标宋简体" w:hAnsi="黑体" w:eastAsia="方正小标宋简体"/>
          <w:sz w:val="64"/>
          <w:szCs w:val="64"/>
        </w:rPr>
      </w:pPr>
      <w:r>
        <w:rPr>
          <w:rFonts w:hint="eastAsia" w:ascii="方正小标宋简体" w:hAnsi="黑体" w:eastAsia="方正小标宋简体"/>
          <w:spacing w:val="-18"/>
          <w:sz w:val="64"/>
          <w:szCs w:val="64"/>
        </w:rPr>
        <w:t>“十四五”学科建设与研究生教育</w:t>
      </w:r>
      <w:r>
        <w:rPr>
          <w:rFonts w:hint="eastAsia" w:ascii="方正小标宋简体" w:hAnsi="黑体" w:eastAsia="方正小标宋简体"/>
          <w:sz w:val="64"/>
          <w:szCs w:val="64"/>
        </w:rPr>
        <w:t>专项规划</w:t>
      </w: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楷体" w:hAnsi="楷体" w:eastAsia="楷体"/>
          <w:sz w:val="36"/>
          <w:szCs w:val="36"/>
        </w:rPr>
      </w:pPr>
      <w:r>
        <w:rPr>
          <w:rFonts w:hint="eastAsia" w:ascii="楷体" w:hAnsi="楷体" w:eastAsia="楷体"/>
          <w:sz w:val="36"/>
          <w:szCs w:val="36"/>
        </w:rPr>
        <w:t>2022年6月15日</w:t>
      </w: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200" w:lineRule="exact"/>
        <w:jc w:val="center"/>
        <w:rPr>
          <w:rFonts w:ascii="方正小标宋简体" w:hAnsi="黑体" w:eastAsia="方正小标宋简体"/>
          <w:sz w:val="44"/>
          <w:szCs w:val="44"/>
        </w:rPr>
      </w:pPr>
    </w:p>
    <w:p>
      <w:pPr>
        <w:spacing w:line="0" w:lineRule="atLeast"/>
        <w:jc w:val="center"/>
        <w:rPr>
          <w:rFonts w:ascii="黑体" w:hAnsi="黑体" w:eastAsia="黑体"/>
          <w:sz w:val="44"/>
          <w:szCs w:val="44"/>
        </w:rPr>
      </w:pPr>
      <w:r>
        <w:rPr>
          <w:rFonts w:hint="eastAsia" w:ascii="黑体" w:hAnsi="黑体" w:eastAsia="黑体"/>
          <w:sz w:val="44"/>
          <w:szCs w:val="44"/>
        </w:rPr>
        <w:t>目  录</w:t>
      </w:r>
    </w:p>
    <w:p>
      <w:pPr>
        <w:spacing w:line="600" w:lineRule="exact"/>
        <w:jc w:val="center"/>
        <w:rPr>
          <w:rFonts w:ascii="方正小标宋简体" w:hAnsi="黑体" w:eastAsia="方正小标宋简体"/>
          <w:sz w:val="44"/>
          <w:szCs w:val="44"/>
        </w:rPr>
      </w:pPr>
    </w:p>
    <w:p>
      <w:pPr>
        <w:spacing w:line="580" w:lineRule="exact"/>
        <w:jc w:val="left"/>
        <w:rPr>
          <w:rFonts w:ascii="黑体" w:hAnsi="黑体" w:eastAsia="黑体"/>
          <w:sz w:val="30"/>
          <w:szCs w:val="30"/>
        </w:rPr>
      </w:pPr>
      <w:r>
        <w:rPr>
          <w:rFonts w:hint="eastAsia" w:ascii="黑体" w:hAnsi="黑体" w:eastAsia="黑体"/>
          <w:sz w:val="30"/>
          <w:szCs w:val="30"/>
        </w:rPr>
        <w:t>一、“十三五”发展回顾………………………………………………1</w:t>
      </w:r>
    </w:p>
    <w:p>
      <w:pPr>
        <w:spacing w:line="580" w:lineRule="exact"/>
        <w:ind w:firstLine="600" w:firstLineChars="200"/>
        <w:jc w:val="left"/>
        <w:rPr>
          <w:sz w:val="30"/>
          <w:szCs w:val="30"/>
        </w:rPr>
      </w:pPr>
      <w:r>
        <w:rPr>
          <w:rFonts w:hint="eastAsia"/>
          <w:sz w:val="30"/>
          <w:szCs w:val="30"/>
        </w:rPr>
        <w:t xml:space="preserve">（一）建设成就与经验 </w:t>
      </w:r>
      <w:r>
        <w:rPr>
          <w:sz w:val="30"/>
          <w:szCs w:val="30"/>
        </w:rPr>
        <w:t>…………………………………………</w:t>
      </w:r>
      <w:r>
        <w:rPr>
          <w:rFonts w:hint="eastAsia"/>
          <w:sz w:val="30"/>
          <w:szCs w:val="30"/>
        </w:rPr>
        <w:t>1</w:t>
      </w:r>
    </w:p>
    <w:p>
      <w:pPr>
        <w:spacing w:line="580" w:lineRule="exact"/>
        <w:ind w:firstLine="600" w:firstLineChars="200"/>
        <w:jc w:val="left"/>
        <w:rPr>
          <w:sz w:val="30"/>
          <w:szCs w:val="30"/>
        </w:rPr>
      </w:pPr>
      <w:r>
        <w:rPr>
          <w:rFonts w:hint="eastAsia"/>
          <w:sz w:val="30"/>
          <w:szCs w:val="30"/>
        </w:rPr>
        <w:t>（二）主要不足与原因分析 ……………………………………4</w:t>
      </w:r>
    </w:p>
    <w:p>
      <w:pPr>
        <w:spacing w:line="580" w:lineRule="exact"/>
        <w:jc w:val="left"/>
        <w:rPr>
          <w:rFonts w:ascii="黑体" w:hAnsi="黑体" w:eastAsia="黑体"/>
          <w:sz w:val="30"/>
          <w:szCs w:val="30"/>
        </w:rPr>
      </w:pPr>
      <w:r>
        <w:rPr>
          <w:rFonts w:hint="eastAsia" w:ascii="黑体" w:hAnsi="黑体" w:eastAsia="黑体"/>
          <w:sz w:val="30"/>
          <w:szCs w:val="30"/>
        </w:rPr>
        <w:t xml:space="preserve">二、“十四五”期间发展的总体思路 </w:t>
      </w:r>
      <w:r>
        <w:rPr>
          <w:rFonts w:ascii="黑体" w:hAnsi="黑体" w:eastAsia="黑体"/>
          <w:sz w:val="30"/>
          <w:szCs w:val="30"/>
        </w:rPr>
        <w:t xml:space="preserve"> </w:t>
      </w:r>
      <w:r>
        <w:rPr>
          <w:rFonts w:hint="eastAsia" w:ascii="黑体" w:hAnsi="黑体" w:eastAsia="黑体"/>
          <w:sz w:val="30"/>
          <w:szCs w:val="30"/>
        </w:rPr>
        <w:t>………………………………</w:t>
      </w:r>
      <w:r>
        <w:rPr>
          <w:rFonts w:ascii="黑体" w:hAnsi="黑体" w:eastAsia="黑体"/>
          <w:sz w:val="30"/>
          <w:szCs w:val="30"/>
        </w:rPr>
        <w:t>6</w:t>
      </w:r>
    </w:p>
    <w:p>
      <w:pPr>
        <w:spacing w:line="580" w:lineRule="exact"/>
        <w:ind w:firstLine="600" w:firstLineChars="200"/>
        <w:jc w:val="left"/>
        <w:rPr>
          <w:sz w:val="30"/>
          <w:szCs w:val="30"/>
        </w:rPr>
      </w:pPr>
      <w:r>
        <w:rPr>
          <w:rFonts w:hint="eastAsia"/>
          <w:sz w:val="30"/>
          <w:szCs w:val="30"/>
        </w:rPr>
        <w:t>（一）形势分析 …………………………………………………</w:t>
      </w:r>
      <w:r>
        <w:rPr>
          <w:sz w:val="30"/>
          <w:szCs w:val="30"/>
        </w:rPr>
        <w:t>6</w:t>
      </w:r>
    </w:p>
    <w:p>
      <w:pPr>
        <w:spacing w:line="580" w:lineRule="exact"/>
        <w:ind w:firstLine="600" w:firstLineChars="200"/>
        <w:jc w:val="left"/>
        <w:rPr>
          <w:sz w:val="30"/>
          <w:szCs w:val="30"/>
        </w:rPr>
      </w:pPr>
      <w:r>
        <w:rPr>
          <w:rFonts w:hint="eastAsia"/>
          <w:sz w:val="30"/>
          <w:szCs w:val="30"/>
        </w:rPr>
        <w:t>（二）发展目标 …………………………………………………9</w:t>
      </w:r>
    </w:p>
    <w:p>
      <w:pPr>
        <w:spacing w:line="580" w:lineRule="exact"/>
        <w:ind w:firstLine="585" w:firstLineChars="195"/>
        <w:jc w:val="left"/>
        <w:rPr>
          <w:sz w:val="30"/>
          <w:szCs w:val="30"/>
        </w:rPr>
      </w:pPr>
      <w:r>
        <w:rPr>
          <w:rFonts w:hint="eastAsia"/>
          <w:sz w:val="30"/>
          <w:szCs w:val="30"/>
        </w:rPr>
        <w:t xml:space="preserve">（三）基本思路 </w:t>
      </w:r>
      <w:r>
        <w:rPr>
          <w:sz w:val="30"/>
          <w:szCs w:val="30"/>
        </w:rPr>
        <w:t xml:space="preserve"> </w:t>
      </w:r>
      <w:r>
        <w:rPr>
          <w:rFonts w:hint="eastAsia"/>
          <w:sz w:val="30"/>
          <w:szCs w:val="30"/>
        </w:rPr>
        <w:t>………………………………………………10</w:t>
      </w:r>
    </w:p>
    <w:p>
      <w:pPr>
        <w:spacing w:line="580" w:lineRule="exact"/>
        <w:jc w:val="left"/>
        <w:rPr>
          <w:rFonts w:ascii="黑体" w:hAnsi="黑体" w:eastAsia="黑体"/>
          <w:sz w:val="30"/>
          <w:szCs w:val="30"/>
        </w:rPr>
      </w:pPr>
      <w:r>
        <w:rPr>
          <w:rFonts w:hint="eastAsia" w:ascii="黑体" w:hAnsi="黑体" w:eastAsia="黑体"/>
          <w:sz w:val="30"/>
          <w:szCs w:val="30"/>
        </w:rPr>
        <w:t>三、主要任务与工作措施……………………………………………12</w:t>
      </w:r>
    </w:p>
    <w:p>
      <w:pPr>
        <w:spacing w:line="580" w:lineRule="exact"/>
        <w:ind w:firstLine="600" w:firstLineChars="200"/>
        <w:jc w:val="left"/>
        <w:rPr>
          <w:sz w:val="30"/>
          <w:szCs w:val="30"/>
        </w:rPr>
      </w:pPr>
      <w:r>
        <w:rPr>
          <w:rFonts w:hint="eastAsia"/>
          <w:sz w:val="30"/>
          <w:szCs w:val="30"/>
        </w:rPr>
        <w:t>（一）学科体系完善与发展行动………………………………12</w:t>
      </w:r>
    </w:p>
    <w:p>
      <w:pPr>
        <w:spacing w:line="580" w:lineRule="exact"/>
        <w:ind w:firstLine="600" w:firstLineChars="200"/>
        <w:jc w:val="left"/>
        <w:rPr>
          <w:sz w:val="30"/>
          <w:szCs w:val="30"/>
        </w:rPr>
      </w:pPr>
      <w:r>
        <w:rPr>
          <w:rFonts w:hint="eastAsia"/>
          <w:sz w:val="30"/>
          <w:szCs w:val="30"/>
        </w:rPr>
        <w:t>（二）硕士学位授权点扩盘提质行动…………………………14</w:t>
      </w:r>
    </w:p>
    <w:p>
      <w:pPr>
        <w:spacing w:line="580" w:lineRule="exact"/>
        <w:ind w:firstLine="600" w:firstLineChars="200"/>
        <w:jc w:val="left"/>
        <w:rPr>
          <w:sz w:val="30"/>
          <w:szCs w:val="30"/>
        </w:rPr>
      </w:pPr>
      <w:r>
        <w:rPr>
          <w:rFonts w:hint="eastAsia"/>
          <w:sz w:val="30"/>
          <w:szCs w:val="30"/>
        </w:rPr>
        <w:t>（三）科研创新提升行动………………………………………15</w:t>
      </w:r>
    </w:p>
    <w:p>
      <w:pPr>
        <w:spacing w:line="580" w:lineRule="exact"/>
        <w:ind w:firstLine="600" w:firstLineChars="200"/>
        <w:rPr>
          <w:sz w:val="30"/>
          <w:szCs w:val="30"/>
        </w:rPr>
      </w:pPr>
      <w:r>
        <w:rPr>
          <w:rFonts w:hint="eastAsia"/>
          <w:sz w:val="30"/>
          <w:szCs w:val="30"/>
        </w:rPr>
        <w:t>（四）智库赋能增效行动………………………………………17</w:t>
      </w:r>
    </w:p>
    <w:p>
      <w:pPr>
        <w:spacing w:line="580" w:lineRule="exact"/>
        <w:ind w:firstLine="600" w:firstLineChars="200"/>
        <w:jc w:val="left"/>
        <w:rPr>
          <w:sz w:val="30"/>
          <w:szCs w:val="30"/>
        </w:rPr>
      </w:pPr>
      <w:r>
        <w:rPr>
          <w:rFonts w:hint="eastAsia"/>
          <w:sz w:val="30"/>
          <w:szCs w:val="30"/>
        </w:rPr>
        <w:t>（五）学科队伍优化行动………………………………………19</w:t>
      </w:r>
    </w:p>
    <w:p>
      <w:pPr>
        <w:spacing w:line="580" w:lineRule="exact"/>
        <w:ind w:firstLine="600" w:firstLineChars="200"/>
        <w:jc w:val="left"/>
        <w:rPr>
          <w:sz w:val="30"/>
          <w:szCs w:val="30"/>
        </w:rPr>
      </w:pPr>
      <w:r>
        <w:rPr>
          <w:rFonts w:hint="eastAsia"/>
          <w:sz w:val="30"/>
          <w:szCs w:val="30"/>
        </w:rPr>
        <w:t>（六）研究生培养质量提升行动………………………………20</w:t>
      </w:r>
    </w:p>
    <w:p>
      <w:pPr>
        <w:spacing w:line="580" w:lineRule="exact"/>
        <w:ind w:firstLine="600" w:firstLineChars="200"/>
        <w:jc w:val="left"/>
        <w:rPr>
          <w:sz w:val="30"/>
          <w:szCs w:val="30"/>
        </w:rPr>
      </w:pPr>
      <w:r>
        <w:rPr>
          <w:rFonts w:hint="eastAsia"/>
          <w:sz w:val="30"/>
          <w:szCs w:val="30"/>
        </w:rPr>
        <w:t>（七）国际交流合作提升行动…………………………………21</w:t>
      </w:r>
    </w:p>
    <w:p>
      <w:pPr>
        <w:spacing w:line="580" w:lineRule="exact"/>
        <w:jc w:val="left"/>
        <w:rPr>
          <w:rFonts w:ascii="黑体" w:hAnsi="黑体" w:eastAsia="黑体"/>
          <w:sz w:val="30"/>
          <w:szCs w:val="30"/>
        </w:rPr>
      </w:pPr>
      <w:r>
        <w:rPr>
          <w:rFonts w:hint="eastAsia" w:ascii="黑体" w:hAnsi="黑体" w:eastAsia="黑体"/>
          <w:sz w:val="30"/>
          <w:szCs w:val="30"/>
        </w:rPr>
        <w:t>四、保障措施…………………………………………………………24</w:t>
      </w:r>
    </w:p>
    <w:p>
      <w:pPr>
        <w:spacing w:line="580" w:lineRule="exact"/>
        <w:ind w:firstLine="600" w:firstLineChars="200"/>
        <w:jc w:val="left"/>
        <w:rPr>
          <w:sz w:val="30"/>
          <w:szCs w:val="30"/>
        </w:rPr>
      </w:pPr>
      <w:r>
        <w:rPr>
          <w:rFonts w:hint="eastAsia"/>
          <w:sz w:val="30"/>
          <w:szCs w:val="30"/>
        </w:rPr>
        <w:t>（一）组织保障…………………………………………………24</w:t>
      </w:r>
    </w:p>
    <w:p>
      <w:pPr>
        <w:spacing w:line="580" w:lineRule="exact"/>
        <w:ind w:firstLine="600" w:firstLineChars="200"/>
        <w:jc w:val="left"/>
        <w:rPr>
          <w:sz w:val="30"/>
          <w:szCs w:val="30"/>
        </w:rPr>
      </w:pPr>
      <w:r>
        <w:rPr>
          <w:rFonts w:hint="eastAsia"/>
          <w:sz w:val="30"/>
          <w:szCs w:val="30"/>
        </w:rPr>
        <w:t>（二）制度保障…………………………………………………24</w:t>
      </w:r>
    </w:p>
    <w:p>
      <w:pPr>
        <w:spacing w:line="580" w:lineRule="exact"/>
        <w:ind w:firstLine="600" w:firstLineChars="200"/>
        <w:rPr>
          <w:rFonts w:ascii="方正小标宋简体" w:hAnsi="黑体" w:eastAsia="方正小标宋简体"/>
          <w:sz w:val="30"/>
          <w:szCs w:val="30"/>
        </w:rPr>
      </w:pPr>
      <w:r>
        <w:rPr>
          <w:rFonts w:hint="eastAsia"/>
          <w:sz w:val="30"/>
          <w:szCs w:val="30"/>
        </w:rPr>
        <w:t>（三）经费保障…………………………………………………24</w:t>
      </w:r>
    </w:p>
    <w:p>
      <w:pPr>
        <w:spacing w:line="0" w:lineRule="atLeast"/>
        <w:jc w:val="center"/>
        <w:rPr>
          <w:rFonts w:ascii="方正小标宋简体" w:hAnsi="黑体" w:eastAsia="方正小标宋简体"/>
          <w:sz w:val="30"/>
          <w:szCs w:val="30"/>
        </w:rPr>
        <w:sectPr>
          <w:footerReference r:id="rId7" w:type="first"/>
          <w:footerReference r:id="rId6" w:type="even"/>
          <w:footnotePr>
            <w:numFmt w:val="decimalEnclosedCircleChinese"/>
          </w:footnotePr>
          <w:pgSz w:w="11906" w:h="16838"/>
          <w:pgMar w:top="1701" w:right="1531" w:bottom="1701" w:left="1531" w:header="851" w:footer="992" w:gutter="0"/>
          <w:pgNumType w:fmt="numberInDash" w:start="1"/>
          <w:cols w:space="425" w:num="1"/>
          <w:titlePg/>
          <w:docGrid w:type="lines" w:linePitch="435" w:charSpace="0"/>
        </w:sectPr>
      </w:pPr>
    </w:p>
    <w:bookmarkEnd w:id="0"/>
    <w:bookmarkEnd w:id="1"/>
    <w:p>
      <w:pPr>
        <w:spacing w:line="580" w:lineRule="exact"/>
        <w:ind w:firstLine="640" w:firstLineChars="200"/>
      </w:pPr>
      <w:r>
        <w:rPr>
          <w:rFonts w:hint="eastAsia"/>
        </w:rPr>
        <w:t>为推进学校学科建设，支撑学校事业发展，根据国务院《统筹推进世界一流大学和一流学科建设总体方案》，中共中央宣传部、教育部《面向2035高校哲学社会科学高质量发展行动》和国务院学位委员会《学位与研究生教育发展“十四五”规划》，按照《中国工运事业和工会工作“十四五”发展规划》、《中华全国总工会关于支持中国劳动关系学院建设特色一流大学的意见》和《中国劳动关系学院“十四五”发展规划》要求，立足学校特色与优势，制定本专项规划。</w:t>
      </w:r>
    </w:p>
    <w:p>
      <w:pPr>
        <w:pStyle w:val="2"/>
        <w:spacing w:line="580" w:lineRule="exact"/>
        <w:ind w:firstLine="640" w:firstLineChars="200"/>
        <w:jc w:val="both"/>
        <w:rPr>
          <w:szCs w:val="32"/>
        </w:rPr>
      </w:pPr>
      <w:bookmarkStart w:id="3" w:name="_Toc77754733"/>
      <w:bookmarkStart w:id="4" w:name="_Toc58316067"/>
      <w:bookmarkStart w:id="5" w:name="_Toc66728791"/>
      <w:r>
        <w:rPr>
          <w:rFonts w:hint="eastAsia"/>
          <w:szCs w:val="32"/>
        </w:rPr>
        <w:t>一、“十三五”发展回顾</w:t>
      </w:r>
      <w:bookmarkEnd w:id="3"/>
      <w:bookmarkEnd w:id="4"/>
      <w:bookmarkEnd w:id="5"/>
    </w:p>
    <w:p>
      <w:pPr>
        <w:spacing w:line="580" w:lineRule="exact"/>
        <w:ind w:firstLine="640" w:firstLineChars="200"/>
        <w:rPr>
          <w:rStyle w:val="31"/>
          <w:rFonts w:ascii="楷体" w:hAnsi="楷体"/>
          <w:b w:val="0"/>
          <w:bCs w:val="0"/>
          <w:sz w:val="32"/>
        </w:rPr>
      </w:pPr>
      <w:bookmarkStart w:id="6" w:name="_Toc66728792"/>
      <w:bookmarkStart w:id="7" w:name="_Toc77754734"/>
      <w:bookmarkStart w:id="8" w:name="_Toc58316068"/>
      <w:r>
        <w:rPr>
          <w:rFonts w:hint="eastAsia" w:ascii="楷体" w:hAnsi="楷体" w:eastAsia="楷体"/>
        </w:rPr>
        <w:t>（</w:t>
      </w:r>
      <w:r>
        <w:rPr>
          <w:rStyle w:val="31"/>
          <w:rFonts w:hint="eastAsia" w:ascii="楷体" w:hAnsi="楷体"/>
          <w:b w:val="0"/>
          <w:sz w:val="32"/>
        </w:rPr>
        <w:t>一）</w:t>
      </w:r>
      <w:bookmarkEnd w:id="6"/>
      <w:bookmarkEnd w:id="7"/>
      <w:bookmarkEnd w:id="8"/>
      <w:r>
        <w:rPr>
          <w:rStyle w:val="31"/>
          <w:rFonts w:hint="eastAsia" w:ascii="楷体" w:hAnsi="楷体"/>
          <w:b w:val="0"/>
          <w:sz w:val="32"/>
        </w:rPr>
        <w:t>建设成就与经验</w:t>
      </w:r>
    </w:p>
    <w:p>
      <w:pPr>
        <w:spacing w:line="580" w:lineRule="exact"/>
        <w:ind w:firstLine="643" w:firstLineChars="200"/>
        <w:rPr>
          <w:b/>
        </w:rPr>
      </w:pPr>
      <w:r>
        <w:rPr>
          <w:rFonts w:hint="eastAsia"/>
          <w:b/>
          <w:bCs/>
        </w:rPr>
        <w:t>1.学科与学位点建设</w:t>
      </w:r>
      <w:r>
        <w:rPr>
          <w:rFonts w:hint="eastAsia"/>
          <w:b/>
        </w:rPr>
        <w:t>情况</w:t>
      </w:r>
    </w:p>
    <w:p>
      <w:pPr>
        <w:spacing w:line="580" w:lineRule="exact"/>
        <w:ind w:firstLine="640" w:firstLineChars="200"/>
      </w:pPr>
      <w:r>
        <w:rPr>
          <w:rFonts w:hint="eastAsia"/>
        </w:rPr>
        <w:t>“十三五”期间，学校确定了“建成劳动关系和工会领域国内一流、国际知名大学”的目标，明确了走“质量立校、特色兴校、人才强校”的内涵式发展道路，加强学科顶层设计，学科与学位点建设成效明显</w:t>
      </w:r>
      <w:r>
        <w:rPr>
          <w:rFonts w:hint="eastAsia"/>
          <w:b/>
          <w:bCs/>
        </w:rPr>
        <w:t>。</w:t>
      </w:r>
      <w:r>
        <w:rPr>
          <w:rFonts w:hint="eastAsia"/>
        </w:rPr>
        <w:t>具体表现在：</w:t>
      </w:r>
    </w:p>
    <w:p>
      <w:pPr>
        <w:spacing w:line="580" w:lineRule="exact"/>
        <w:ind w:firstLine="640" w:firstLineChars="200"/>
      </w:pPr>
      <w:r>
        <w:rPr>
          <w:rFonts w:hint="eastAsia"/>
        </w:rPr>
        <w:t>（1）形成了有特色的学科专业体系。形成了以“劳动</w:t>
      </w:r>
      <w:r>
        <w:t>+”</w:t>
      </w:r>
      <w:r>
        <w:rPr>
          <w:rStyle w:val="25"/>
        </w:rPr>
        <w:t xml:space="preserve"> </w:t>
      </w:r>
      <w:r>
        <w:t>“工会+”为</w:t>
      </w:r>
      <w:r>
        <w:rPr>
          <w:rFonts w:hint="eastAsia"/>
        </w:rPr>
        <w:t>特色，以经济学、法学、文学、工学、</w:t>
      </w:r>
      <w:r>
        <w:t>管理学</w:t>
      </w:r>
      <w:r>
        <w:rPr>
          <w:rFonts w:hint="eastAsia"/>
        </w:rPr>
        <w:t>、艺术学等</w:t>
      </w:r>
      <w:r>
        <w:t>学科</w:t>
      </w:r>
      <w:r>
        <w:rPr>
          <w:rFonts w:hint="eastAsia"/>
        </w:rPr>
        <w:t>为支撑的学科专业体系，包括</w:t>
      </w:r>
      <w:r>
        <w:t>劳动经济学、经济学(金融</w:t>
      </w:r>
      <w:r>
        <w:rPr>
          <w:rFonts w:hint="eastAsia"/>
        </w:rPr>
        <w:t>方向</w:t>
      </w:r>
      <w:r>
        <w:t>)、法学、</w:t>
      </w:r>
      <w:r>
        <w:rPr>
          <w:rFonts w:hint="eastAsia"/>
        </w:rPr>
        <w:t>社会学、</w:t>
      </w:r>
      <w:r>
        <w:t>社会工作、</w:t>
      </w:r>
      <w:r>
        <w:rPr>
          <w:rFonts w:hint="eastAsia"/>
        </w:rPr>
        <w:t>政治学与行政学、</w:t>
      </w:r>
      <w:r>
        <w:t>汉语言</w:t>
      </w:r>
      <w:r>
        <w:rPr>
          <w:rFonts w:hint="eastAsia"/>
        </w:rPr>
        <w:t>文</w:t>
      </w:r>
      <w:r>
        <w:t>学、新闻学、</w:t>
      </w:r>
      <w:r>
        <w:rPr>
          <w:rFonts w:hint="eastAsia"/>
        </w:rPr>
        <w:t>安全工程、职业卫生工程、工商管理、人力资源管理、劳动关系、财务管理、酒店管理、行政管理、劳动与社会保障、计算机科学与技术、戏剧影视文学等</w:t>
      </w:r>
      <w:r>
        <w:t>19个</w:t>
      </w:r>
      <w:r>
        <w:rPr>
          <w:rFonts w:hint="eastAsia"/>
        </w:rPr>
        <w:t>本科专业，以及由工会工作、劳动关系、劳动与社会保障、公共安全管理、劳动教育管理等</w:t>
      </w:r>
      <w:r>
        <w:t>5个</w:t>
      </w:r>
      <w:r>
        <w:rPr>
          <w:rFonts w:hint="eastAsia"/>
        </w:rPr>
        <w:t>研究领域构成的公共管理硕士（</w:t>
      </w:r>
      <w:r>
        <w:t>MPA）</w:t>
      </w:r>
      <w:r>
        <w:rPr>
          <w:rFonts w:hint="eastAsia"/>
        </w:rPr>
        <w:t>专业学位硕士点。</w:t>
      </w:r>
    </w:p>
    <w:p>
      <w:pPr>
        <w:spacing w:line="580" w:lineRule="exact"/>
        <w:ind w:firstLine="640" w:firstLineChars="200"/>
      </w:pPr>
      <w:r>
        <w:rPr>
          <w:rFonts w:hint="eastAsia"/>
        </w:rPr>
        <w:t>（</w:t>
      </w:r>
      <w:r>
        <w:t>2）</w:t>
      </w:r>
      <w:r>
        <w:rPr>
          <w:rFonts w:hint="eastAsia"/>
        </w:rPr>
        <w:t>奠定了扎实的硕士学位授权单位申报基础。</w:t>
      </w:r>
      <w:r>
        <w:t>2018年，北京市学位委员会确定我校为硕士学位授予单位立项建设单位。</w:t>
      </w:r>
      <w:r>
        <w:rPr>
          <w:rFonts w:hint="eastAsia"/>
        </w:rPr>
        <w:t>同年，学校通过</w:t>
      </w:r>
      <w:r>
        <w:t>国务院学位委员会“服务国家特殊需求人才培养</w:t>
      </w:r>
      <w:r>
        <w:rPr>
          <w:rFonts w:hint="eastAsia"/>
        </w:rPr>
        <w:t>项目</w:t>
      </w:r>
      <w:r>
        <w:t>”验收</w:t>
      </w:r>
      <w:r>
        <w:rPr>
          <w:rFonts w:hint="eastAsia"/>
        </w:rPr>
        <w:t>评估。“十三五”期间，学校在申硕关键指标上取得突破，已满足硕士学位授权单位基本条件。</w:t>
      </w:r>
    </w:p>
    <w:p>
      <w:pPr>
        <w:spacing w:line="580" w:lineRule="exact"/>
        <w:ind w:firstLine="640" w:firstLineChars="200"/>
      </w:pPr>
      <w:r>
        <w:rPr>
          <w:rFonts w:hint="eastAsia"/>
        </w:rPr>
        <w:t>（</w:t>
      </w:r>
      <w:r>
        <w:t>3）</w:t>
      </w:r>
      <w:r>
        <w:rPr>
          <w:rFonts w:hint="eastAsia"/>
        </w:rPr>
        <w:t>形成了良好的硕士学位授权单位申报阵容。“十三五”之初，学校就启动硕士学位授予单位和学位授权点申报工作，经过全校论证和遴选，逐步确定了“1+2+2”的申硕学科阵容。2</w:t>
      </w:r>
      <w:r>
        <w:t>020</w:t>
      </w:r>
      <w:r>
        <w:rPr>
          <w:rFonts w:hint="eastAsia"/>
        </w:rPr>
        <w:t>年，学校正式申请硕士学位授予单位，同时申报“公共管理”“社会工作”“新闻与传播”3个专业硕士学位点，获北京市学位办通过并等待教育部批复。</w:t>
      </w:r>
    </w:p>
    <w:p>
      <w:pPr>
        <w:spacing w:line="580" w:lineRule="exact"/>
        <w:ind w:firstLine="643" w:firstLineChars="200"/>
        <w:rPr>
          <w:b/>
          <w:bCs/>
        </w:rPr>
      </w:pPr>
      <w:r>
        <w:rPr>
          <w:rFonts w:hint="eastAsia"/>
          <w:b/>
        </w:rPr>
        <w:t>2.学科支撑平台建设情况</w:t>
      </w:r>
    </w:p>
    <w:p>
      <w:pPr>
        <w:spacing w:line="580" w:lineRule="exact"/>
        <w:ind w:firstLine="648" w:firstLineChars="200"/>
        <w:rPr>
          <w:spacing w:val="2"/>
        </w:rPr>
      </w:pPr>
      <w:r>
        <w:rPr>
          <w:rFonts w:hint="eastAsia"/>
          <w:spacing w:val="2"/>
        </w:rPr>
        <w:t>学校各类科研项目</w:t>
      </w:r>
      <w:r>
        <w:rPr>
          <w:spacing w:val="2"/>
        </w:rPr>
        <w:t>立项数增长明显</w:t>
      </w:r>
      <w:r>
        <w:rPr>
          <w:rFonts w:hint="eastAsia"/>
          <w:spacing w:val="2"/>
        </w:rPr>
        <w:t>，其中，国家级项目21</w:t>
      </w:r>
      <w:r>
        <w:rPr>
          <w:spacing w:val="2"/>
        </w:rPr>
        <w:t>项，省部级项目</w:t>
      </w:r>
      <w:r>
        <w:rPr>
          <w:rFonts w:hint="eastAsia"/>
          <w:spacing w:val="2"/>
        </w:rPr>
        <w:t>30</w:t>
      </w:r>
      <w:r>
        <w:rPr>
          <w:spacing w:val="2"/>
        </w:rPr>
        <w:t>项，全总委托</w:t>
      </w:r>
      <w:r>
        <w:rPr>
          <w:rFonts w:hint="eastAsia"/>
          <w:spacing w:val="2"/>
        </w:rPr>
        <w:t>项目10</w:t>
      </w:r>
      <w:r>
        <w:rPr>
          <w:spacing w:val="2"/>
        </w:rPr>
        <w:t>项</w:t>
      </w:r>
      <w:r>
        <w:rPr>
          <w:rFonts w:hint="eastAsia"/>
          <w:spacing w:val="2"/>
        </w:rPr>
        <w:t>，</w:t>
      </w:r>
      <w:r>
        <w:rPr>
          <w:spacing w:val="2"/>
        </w:rPr>
        <w:t>横向</w:t>
      </w:r>
      <w:r>
        <w:rPr>
          <w:rFonts w:hint="eastAsia"/>
          <w:spacing w:val="2"/>
        </w:rPr>
        <w:t>项目270</w:t>
      </w:r>
      <w:r>
        <w:rPr>
          <w:spacing w:val="2"/>
        </w:rPr>
        <w:t>项</w:t>
      </w:r>
      <w:r>
        <w:rPr>
          <w:rFonts w:hint="eastAsia"/>
          <w:spacing w:val="2"/>
        </w:rPr>
        <w:t>（较“十二五”期间增加185%）</w:t>
      </w:r>
      <w:r>
        <w:rPr>
          <w:spacing w:val="2"/>
        </w:rPr>
        <w:t>。</w:t>
      </w:r>
      <w:r>
        <w:rPr>
          <w:rFonts w:hint="eastAsia"/>
          <w:spacing w:val="2"/>
        </w:rPr>
        <w:t>学校</w:t>
      </w:r>
      <w:r>
        <w:rPr>
          <w:spacing w:val="2"/>
        </w:rPr>
        <w:t>教师发表权威期刊19篇</w:t>
      </w:r>
      <w:r>
        <w:rPr>
          <w:rFonts w:hint="eastAsia"/>
          <w:spacing w:val="2"/>
        </w:rPr>
        <w:t>（较“十二五”期间增加280%）</w:t>
      </w:r>
      <w:r>
        <w:rPr>
          <w:spacing w:val="2"/>
        </w:rPr>
        <w:t>。资助出版</w:t>
      </w:r>
      <w:r>
        <w:rPr>
          <w:rFonts w:hint="eastAsia"/>
          <w:spacing w:val="2"/>
        </w:rPr>
        <w:t>学术专著100</w:t>
      </w:r>
      <w:r>
        <w:rPr>
          <w:spacing w:val="2"/>
        </w:rPr>
        <w:t>部</w:t>
      </w:r>
      <w:r>
        <w:rPr>
          <w:rFonts w:hint="eastAsia"/>
          <w:spacing w:val="2"/>
        </w:rPr>
        <w:t>（较“十二五”期间增加67%）。科研经费大幅提升，总额达6899.15万元（较“十二五”期间增加3683.91万元，增加约115%），人均科研经费达到</w:t>
      </w:r>
      <w:r>
        <w:rPr>
          <w:spacing w:val="2"/>
        </w:rPr>
        <w:t>3.8万元。</w:t>
      </w:r>
    </w:p>
    <w:p>
      <w:pPr>
        <w:spacing w:line="580" w:lineRule="exact"/>
        <w:ind w:firstLine="640" w:firstLineChars="200"/>
      </w:pPr>
      <w:r>
        <w:rPr>
          <w:rFonts w:hint="eastAsia"/>
        </w:rPr>
        <w:t>学校新型智库建设取得巨大成就，2016年底劳动关系与工会研究中心成立，后</w:t>
      </w:r>
      <w:r>
        <w:t>更名劳动关系与工会研究院</w:t>
      </w:r>
      <w:r>
        <w:rPr>
          <w:rFonts w:hint="eastAsia"/>
        </w:rPr>
        <w:t>，确立了“资政、启民、崇劳、厚生”使命，报送《研究动态》</w:t>
      </w:r>
      <w:r>
        <w:t>117份，</w:t>
      </w:r>
      <w:r>
        <w:rPr>
          <w:rFonts w:hint="eastAsia"/>
        </w:rPr>
        <w:t>其中，</w:t>
      </w:r>
      <w:r>
        <w:t>获得省部级及以上领导的批示17次，被</w:t>
      </w:r>
      <w:r>
        <w:rPr>
          <w:rFonts w:hint="eastAsia"/>
        </w:rPr>
        <w:t>中办、全总、</w:t>
      </w:r>
      <w:r>
        <w:t>《改革内参》</w:t>
      </w:r>
      <w:r>
        <w:rPr>
          <w:rFonts w:hint="eastAsia"/>
        </w:rPr>
        <w:t>等</w:t>
      </w:r>
      <w:r>
        <w:t>采用12篇次，产生了较好的社会影响。</w:t>
      </w:r>
    </w:p>
    <w:p>
      <w:pPr>
        <w:spacing w:line="580" w:lineRule="exact"/>
        <w:ind w:firstLine="640" w:firstLineChars="200"/>
      </w:pPr>
      <w:r>
        <w:rPr>
          <w:rFonts w:hint="eastAsia"/>
        </w:rPr>
        <w:t>学校成立了6个校属研究机构和18个院属研究机构；成为中国劳动学会、劳动经济学会、中国社会法学研究会副会长单位，中国社会法学研究会劳动法分会、</w:t>
      </w:r>
      <w:r>
        <w:t>中国社会工作教育协会企业社会工作专业委员会</w:t>
      </w:r>
      <w:r>
        <w:rPr>
          <w:rFonts w:hint="eastAsia"/>
        </w:rPr>
        <w:t>和</w:t>
      </w:r>
      <w:r>
        <w:t>社会工作实验教学专业委员会主任单位</w:t>
      </w:r>
      <w:r>
        <w:rPr>
          <w:rFonts w:hint="eastAsia"/>
        </w:rPr>
        <w:t>及秘书处单位。</w:t>
      </w:r>
    </w:p>
    <w:p>
      <w:pPr>
        <w:spacing w:line="580" w:lineRule="exact"/>
        <w:ind w:firstLine="643" w:firstLineChars="200"/>
        <w:rPr>
          <w:b/>
        </w:rPr>
      </w:pPr>
      <w:r>
        <w:rPr>
          <w:rFonts w:hint="eastAsia"/>
          <w:b/>
        </w:rPr>
        <w:t>3.学科队伍结构建设情况</w:t>
      </w:r>
    </w:p>
    <w:p>
      <w:pPr>
        <w:spacing w:line="580" w:lineRule="exact"/>
        <w:ind w:firstLine="640" w:firstLineChars="200"/>
      </w:pPr>
      <w:r>
        <w:rPr>
          <w:rFonts w:hint="eastAsia"/>
        </w:rPr>
        <w:t>对学科研究方向进行了重新定位，对学科梯队进行了梳理和整合，遴选出新一轮学科带头人和方向负责人，二级学科的分布和人员配置更加符合学科专业体系的要求。截至“十三五”末，共有学科带头人</w:t>
      </w:r>
      <w:r>
        <w:t>16人，学术骨干1</w:t>
      </w:r>
      <w:r>
        <w:rPr>
          <w:rFonts w:hint="eastAsia"/>
        </w:rPr>
        <w:t>3</w:t>
      </w:r>
      <w:r>
        <w:t>人，在学科建设、团队培育、人才培养等方面发挥了一定作用。</w:t>
      </w:r>
    </w:p>
    <w:p>
      <w:pPr>
        <w:spacing w:line="580" w:lineRule="exact"/>
        <w:ind w:firstLine="643" w:firstLineChars="200"/>
        <w:rPr>
          <w:b/>
          <w:bCs/>
        </w:rPr>
      </w:pPr>
      <w:r>
        <w:rPr>
          <w:rFonts w:hint="eastAsia"/>
          <w:b/>
          <w:bCs/>
        </w:rPr>
        <w:t>4.研究生培养质量建设情况</w:t>
      </w:r>
    </w:p>
    <w:p>
      <w:pPr>
        <w:spacing w:line="580" w:lineRule="exact"/>
        <w:ind w:firstLine="640" w:firstLineChars="200"/>
      </w:pPr>
      <w:r>
        <w:rPr>
          <w:rFonts w:hint="eastAsia"/>
        </w:rPr>
        <w:t>学校作为</w:t>
      </w:r>
      <w:r>
        <w:t>服务国家特殊需求人才培养项目单位， 2013</w:t>
      </w:r>
      <w:r>
        <w:rPr>
          <w:rFonts w:hint="eastAsia"/>
        </w:rPr>
        <w:t>-2020</w:t>
      </w:r>
      <w:r>
        <w:t>年累计招收</w:t>
      </w:r>
      <w:r>
        <w:rPr>
          <w:rFonts w:hint="eastAsia"/>
        </w:rPr>
        <w:t>8</w:t>
      </w:r>
      <w:r>
        <w:t>届公共管理硕士专业学位研究生</w:t>
      </w:r>
      <w:r>
        <w:rPr>
          <w:rFonts w:hint="eastAsia"/>
        </w:rPr>
        <w:t>，已有184</w:t>
      </w:r>
      <w:r>
        <w:t>名</w:t>
      </w:r>
      <w:r>
        <w:rPr>
          <w:rFonts w:hint="eastAsia"/>
        </w:rPr>
        <w:t>研究生</w:t>
      </w:r>
      <w:r>
        <w:t>取得硕士学位</w:t>
      </w:r>
      <w:r>
        <w:rPr>
          <w:rFonts w:hint="eastAsia"/>
        </w:rPr>
        <w:t>，就业率</w:t>
      </w:r>
      <w:r>
        <w:t>100%</w:t>
      </w:r>
      <w:r>
        <w:rPr>
          <w:rFonts w:hint="eastAsia"/>
        </w:rPr>
        <w:t>。就业专业对口率较高，</w:t>
      </w:r>
      <w:r>
        <w:t>60%以上在工会系统及其他公共部门任职</w:t>
      </w:r>
      <w:r>
        <w:rPr>
          <w:rFonts w:hint="eastAsia"/>
        </w:rPr>
        <w:t>，</w:t>
      </w:r>
      <w:r>
        <w:t>第三方机构问卷调查显示，用人单位对毕业生满意度较高。4篇教学案例入选中国公共管理专业学位教学案例中心教学案例库</w:t>
      </w:r>
      <w:r>
        <w:rPr>
          <w:rFonts w:hint="eastAsia"/>
        </w:rPr>
        <w:t>，2个案例入选第二届中国研究生公共管理案例大赛“百强”并同获大赛优秀奖，</w:t>
      </w:r>
      <w:r>
        <w:t>2020年</w:t>
      </w:r>
      <w:r>
        <w:rPr>
          <w:rFonts w:hint="eastAsia"/>
        </w:rPr>
        <w:t>获</w:t>
      </w:r>
      <w:r>
        <w:t>第四届中国研究生公共管理案例大赛一等奖。</w:t>
      </w:r>
    </w:p>
    <w:p>
      <w:pPr>
        <w:spacing w:line="600" w:lineRule="exact"/>
        <w:ind w:firstLine="643" w:firstLineChars="200"/>
        <w:rPr>
          <w:b/>
          <w:bCs/>
        </w:rPr>
      </w:pPr>
      <w:r>
        <w:rPr>
          <w:rFonts w:hint="eastAsia"/>
          <w:b/>
          <w:bCs/>
        </w:rPr>
        <w:t>5</w:t>
      </w:r>
      <w:r>
        <w:rPr>
          <w:b/>
          <w:bCs/>
        </w:rPr>
        <w:t>.</w:t>
      </w:r>
      <w:r>
        <w:rPr>
          <w:rFonts w:hint="eastAsia"/>
          <w:b/>
          <w:bCs/>
        </w:rPr>
        <w:t>国际交流合作情况</w:t>
      </w:r>
    </w:p>
    <w:p>
      <w:pPr>
        <w:spacing w:line="600" w:lineRule="exact"/>
        <w:ind w:firstLine="640" w:firstLineChars="200"/>
      </w:pPr>
      <w:r>
        <w:rPr>
          <w:rFonts w:hint="eastAsia"/>
        </w:rPr>
        <w:t>学校获得招聘外专外教资质、获批成为留基委“青年骨干教师项目”合作院校并持续派出青骨项目访学教师，实现师资海外短期培训项目“零”的突破；成为“一带一路”智库联盟理事单位，并与企业合作开展劳动关系研究；与1</w:t>
      </w:r>
      <w:r>
        <w:t>9</w:t>
      </w:r>
      <w:r>
        <w:rPr>
          <w:rFonts w:hint="eastAsia"/>
        </w:rPr>
        <w:t>所境外知名院校签署新的合作协议、建立学术交流关系。</w:t>
      </w:r>
      <w:r>
        <w:t>135名本专科学生参与中外联合培养项目，583名学生参加国外长短期交流学习，学生外出交流访学人数较“十二五”期间增加了114%</w:t>
      </w:r>
      <w:r>
        <w:rPr>
          <w:rFonts w:hint="eastAsia"/>
        </w:rPr>
        <w:t>。</w:t>
      </w:r>
      <w:r>
        <w:t>教师参加国际学术会议、境外学术交流、境外访学进修人数共计282人次，较“十二五”期间提升28%</w:t>
      </w:r>
      <w:r>
        <w:rPr>
          <w:rFonts w:hint="eastAsia"/>
        </w:rPr>
        <w:t>。</w:t>
      </w:r>
      <w:r>
        <w:t>来我校参加会议、举办讲座的国外学者40余人次，接待外宾及港澳台来宾70余</w:t>
      </w:r>
      <w:r>
        <w:rPr>
          <w:rFonts w:hint="eastAsia"/>
        </w:rPr>
        <w:t>人</w:t>
      </w:r>
      <w:r>
        <w:t>次，较“十二五”期间增加33%</w:t>
      </w:r>
      <w:r>
        <w:rPr>
          <w:rFonts w:hint="eastAsia"/>
        </w:rPr>
        <w:t>。围绕“全球抗疫复工与劳动关系”主题，举办了1</w:t>
      </w:r>
      <w:r>
        <w:t>2</w:t>
      </w:r>
      <w:r>
        <w:rPr>
          <w:rFonts w:hint="eastAsia"/>
        </w:rPr>
        <w:t>场系列讲座。持续参加国际劳动与雇佣关系学会（</w:t>
      </w:r>
      <w:r>
        <w:t>ILERA）世界大会和洲际大会，在国际劳动关系主战场上发声。</w:t>
      </w:r>
    </w:p>
    <w:p>
      <w:pPr>
        <w:spacing w:line="600" w:lineRule="exact"/>
        <w:ind w:firstLine="640" w:firstLineChars="200"/>
        <w:rPr>
          <w:rFonts w:ascii="楷体" w:hAnsi="楷体" w:eastAsia="楷体"/>
        </w:rPr>
      </w:pPr>
      <w:bookmarkStart w:id="9" w:name="_Toc77754735"/>
      <w:bookmarkStart w:id="10" w:name="_Toc58316069"/>
      <w:bookmarkStart w:id="11" w:name="_Toc66728793"/>
      <w:r>
        <w:rPr>
          <w:rFonts w:hint="eastAsia" w:ascii="楷体" w:hAnsi="楷体" w:eastAsia="楷体"/>
        </w:rPr>
        <w:t>（二）主要不足与原因分析</w:t>
      </w:r>
      <w:bookmarkEnd w:id="9"/>
      <w:bookmarkEnd w:id="10"/>
      <w:bookmarkEnd w:id="11"/>
    </w:p>
    <w:p>
      <w:pPr>
        <w:spacing w:line="580" w:lineRule="exact"/>
        <w:ind w:firstLine="640" w:firstLineChars="200"/>
        <w:rPr>
          <w:b/>
        </w:rPr>
      </w:pPr>
      <w:r>
        <w:rPr>
          <w:rFonts w:hint="eastAsia"/>
        </w:rPr>
        <w:t>学校学科发展的整体水平与国家和社会的需求相比、与中国工运事业和工会工作的需要相比、与国内其他行业特色一流高校相比，还存在较大差距。主要表现在</w:t>
      </w:r>
      <w:r>
        <w:rPr>
          <w:rFonts w:hint="eastAsia"/>
          <w:b/>
        </w:rPr>
        <w:t>：</w:t>
      </w:r>
    </w:p>
    <w:p>
      <w:pPr>
        <w:pStyle w:val="29"/>
        <w:numPr>
          <w:ilvl w:val="0"/>
          <w:numId w:val="1"/>
        </w:numPr>
        <w:spacing w:line="580" w:lineRule="exact"/>
        <w:ind w:firstLineChars="0"/>
        <w:rPr>
          <w:rStyle w:val="32"/>
        </w:rPr>
      </w:pPr>
      <w:bookmarkStart w:id="12" w:name="_Toc77754736"/>
      <w:bookmarkStart w:id="13" w:name="_Toc58316070"/>
      <w:r>
        <w:rPr>
          <w:rStyle w:val="32"/>
          <w:rFonts w:hint="eastAsia"/>
        </w:rPr>
        <w:t>学科体系结构亟需优化</w:t>
      </w:r>
      <w:bookmarkEnd w:id="12"/>
      <w:bookmarkEnd w:id="13"/>
    </w:p>
    <w:p>
      <w:pPr>
        <w:pStyle w:val="29"/>
        <w:spacing w:line="580" w:lineRule="exact"/>
        <w:ind w:firstLine="643"/>
      </w:pPr>
      <w:r>
        <w:rPr>
          <w:rFonts w:hint="eastAsia"/>
          <w:b/>
        </w:rPr>
        <w:t>一是</w:t>
      </w:r>
      <w:r>
        <w:rPr>
          <w:rFonts w:hint="eastAsia"/>
        </w:rPr>
        <w:t>尚未成为硕士学位授权单位、尚无硕士学位授权点，研究生规模均亟需增长。</w:t>
      </w:r>
      <w:r>
        <w:rPr>
          <w:rFonts w:hint="eastAsia"/>
          <w:b/>
        </w:rPr>
        <w:t>二是</w:t>
      </w:r>
      <w:r>
        <w:rPr>
          <w:rFonts w:hint="eastAsia"/>
        </w:rPr>
        <w:t>彰显学校办学水平、体现学校办学特色的学科影响力不强，标志性成果不足、带头作用体现不充分。</w:t>
      </w:r>
      <w:r>
        <w:rPr>
          <w:rFonts w:hint="eastAsia"/>
          <w:b/>
        </w:rPr>
        <w:t>三是</w:t>
      </w:r>
      <w:r>
        <w:rPr>
          <w:rFonts w:hint="eastAsia"/>
        </w:rPr>
        <w:t>学科建设框架体系不健全，学科发展不均衡，工学学科亟需加强。</w:t>
      </w:r>
      <w:r>
        <w:rPr>
          <w:rFonts w:hint="eastAsia"/>
          <w:b/>
        </w:rPr>
        <w:t>四是</w:t>
      </w:r>
      <w:r>
        <w:rPr>
          <w:rFonts w:hint="eastAsia"/>
        </w:rPr>
        <w:t>学科建设的重要地位还需进一步强化，管理力量和学科建设能力有待进一步增强。</w:t>
      </w:r>
    </w:p>
    <w:p>
      <w:pPr>
        <w:pStyle w:val="29"/>
        <w:numPr>
          <w:ilvl w:val="0"/>
          <w:numId w:val="1"/>
        </w:numPr>
        <w:spacing w:line="580" w:lineRule="exact"/>
        <w:ind w:firstLineChars="0"/>
        <w:rPr>
          <w:rStyle w:val="32"/>
        </w:rPr>
      </w:pPr>
      <w:bookmarkStart w:id="14" w:name="_Toc58316071"/>
      <w:bookmarkStart w:id="15" w:name="_Toc77754737"/>
      <w:r>
        <w:rPr>
          <w:rStyle w:val="32"/>
          <w:rFonts w:hint="eastAsia"/>
        </w:rPr>
        <w:t>学科支撑平台亟需突破</w:t>
      </w:r>
      <w:bookmarkEnd w:id="14"/>
      <w:bookmarkEnd w:id="15"/>
    </w:p>
    <w:p>
      <w:pPr>
        <w:pStyle w:val="29"/>
        <w:spacing w:line="580" w:lineRule="exact"/>
        <w:ind w:firstLine="643"/>
      </w:pPr>
      <w:r>
        <w:rPr>
          <w:rFonts w:hint="eastAsia"/>
          <w:b/>
        </w:rPr>
        <w:t>一是</w:t>
      </w:r>
      <w:r>
        <w:rPr>
          <w:rFonts w:hint="eastAsia"/>
        </w:rPr>
        <w:t>省部级及以上科研平台建设亟需突破，学科支撑平台运行机制有待健全完善。师均科研经费尚未达到多科性大学年均</w:t>
      </w:r>
      <w:r>
        <w:t>4</w:t>
      </w:r>
      <w:r>
        <w:rPr>
          <w:rFonts w:hint="eastAsia"/>
        </w:rPr>
        <w:t>万元要求。</w:t>
      </w:r>
      <w:r>
        <w:rPr>
          <w:rFonts w:hint="eastAsia"/>
          <w:b/>
        </w:rPr>
        <w:t>二是</w:t>
      </w:r>
      <w:r>
        <w:rPr>
          <w:rFonts w:hint="eastAsia"/>
        </w:rPr>
        <w:t>省部级及以上重点项目立项和科研成果获奖有待突破。学校省部级及以上纵向科研项目按时结项率较低，部分项目被终止或撤项。</w:t>
      </w:r>
      <w:r>
        <w:rPr>
          <w:rFonts w:hint="eastAsia"/>
          <w:b/>
        </w:rPr>
        <w:t>三是</w:t>
      </w:r>
      <w:r>
        <w:rPr>
          <w:rFonts w:hint="eastAsia"/>
        </w:rPr>
        <w:t>智库报告数量和质量尚需进一步提升，核心期刊论文数量有待提高，有影响力的学术成果偏少。</w:t>
      </w:r>
      <w:r>
        <w:rPr>
          <w:rFonts w:hint="eastAsia"/>
          <w:b/>
        </w:rPr>
        <w:t>四是</w:t>
      </w:r>
      <w:r>
        <w:rPr>
          <w:rFonts w:hint="eastAsia"/>
        </w:rPr>
        <w:t>学校主办的国际性重要学术会议较少，全国性重要学术会议数量有待进一步增加。</w:t>
      </w:r>
      <w:r>
        <w:rPr>
          <w:rFonts w:hint="eastAsia"/>
          <w:b/>
        </w:rPr>
        <w:t>五是</w:t>
      </w:r>
      <w:r>
        <w:rPr>
          <w:rFonts w:hint="eastAsia"/>
        </w:rPr>
        <w:t>尚无进入北京大学《核心期刊目录要览》和南京大学</w:t>
      </w:r>
      <w:r>
        <w:t>CSSCI</w:t>
      </w:r>
      <w:r>
        <w:rPr>
          <w:rFonts w:hint="eastAsia"/>
        </w:rPr>
        <w:t>来源刊（或扩展版来源刊）的学术期刊。</w:t>
      </w:r>
    </w:p>
    <w:p>
      <w:pPr>
        <w:pStyle w:val="29"/>
        <w:numPr>
          <w:ilvl w:val="0"/>
          <w:numId w:val="1"/>
        </w:numPr>
        <w:spacing w:line="580" w:lineRule="exact"/>
        <w:ind w:firstLineChars="0"/>
        <w:rPr>
          <w:rStyle w:val="32"/>
        </w:rPr>
      </w:pPr>
      <w:bookmarkStart w:id="16" w:name="_Toc58316072"/>
      <w:bookmarkStart w:id="17" w:name="_Toc77754738"/>
      <w:r>
        <w:rPr>
          <w:rStyle w:val="32"/>
          <w:rFonts w:hint="eastAsia"/>
        </w:rPr>
        <w:t>学科队伍梯队有待优化</w:t>
      </w:r>
      <w:bookmarkEnd w:id="16"/>
      <w:bookmarkEnd w:id="17"/>
    </w:p>
    <w:p>
      <w:pPr>
        <w:pStyle w:val="29"/>
        <w:spacing w:line="580" w:lineRule="exact"/>
        <w:ind w:firstLine="643"/>
      </w:pPr>
      <w:r>
        <w:rPr>
          <w:rFonts w:hint="eastAsia"/>
          <w:b/>
        </w:rPr>
        <w:t>一是</w:t>
      </w:r>
      <w:r>
        <w:rPr>
          <w:rFonts w:hint="eastAsia"/>
        </w:rPr>
        <w:t>人员结构不合理。部分学科无学科带头人，部分学科无学术骨干；“劳动</w:t>
      </w:r>
      <w:r>
        <w:t>+</w:t>
      </w:r>
      <w:r>
        <w:rPr>
          <w:rFonts w:hint="eastAsia"/>
        </w:rPr>
        <w:t>”“</w:t>
      </w:r>
      <w:r>
        <w:t>工会+</w:t>
      </w:r>
      <w:r>
        <w:rPr>
          <w:rFonts w:hint="eastAsia"/>
        </w:rPr>
        <w:t>”</w:t>
      </w:r>
      <w:r>
        <w:t>特色学科学术力量</w:t>
      </w:r>
      <w:r>
        <w:rPr>
          <w:rFonts w:hint="eastAsia"/>
        </w:rPr>
        <w:t>明显</w:t>
      </w:r>
      <w:r>
        <w:t>不足；中青年学术骨干偏少</w:t>
      </w:r>
      <w:r>
        <w:rPr>
          <w:rFonts w:hint="eastAsia"/>
        </w:rPr>
        <w:t>。</w:t>
      </w:r>
      <w:r>
        <w:rPr>
          <w:rFonts w:hint="eastAsia"/>
          <w:b/>
        </w:rPr>
        <w:t>二是</w:t>
      </w:r>
      <w:r>
        <w:rPr>
          <w:rFonts w:hint="eastAsia"/>
        </w:rPr>
        <w:t>学科</w:t>
      </w:r>
      <w:r>
        <w:t>带头人与学术骨干的引领作用发挥不充分，</w:t>
      </w:r>
      <w:r>
        <w:rPr>
          <w:rFonts w:hint="eastAsia"/>
        </w:rPr>
        <w:t>在</w:t>
      </w:r>
      <w:r>
        <w:t>业内与社会</w:t>
      </w:r>
      <w:r>
        <w:rPr>
          <w:rFonts w:hint="eastAsia"/>
        </w:rPr>
        <w:t>的</w:t>
      </w:r>
      <w:r>
        <w:t>影响力有待提高</w:t>
      </w:r>
      <w:r>
        <w:rPr>
          <w:rFonts w:hint="eastAsia"/>
        </w:rPr>
        <w:t>。</w:t>
      </w:r>
      <w:r>
        <w:rPr>
          <w:rFonts w:hint="eastAsia"/>
          <w:b/>
        </w:rPr>
        <w:t>三是</w:t>
      </w:r>
      <w:r>
        <w:t>中青年优秀教师的培育与引领工作有待提升</w:t>
      </w:r>
      <w:r>
        <w:rPr>
          <w:rFonts w:hint="eastAsia"/>
        </w:rPr>
        <w:t>，学科</w:t>
      </w:r>
      <w:r>
        <w:t>团队合作有待加强</w:t>
      </w:r>
      <w:r>
        <w:rPr>
          <w:rFonts w:hint="eastAsia"/>
        </w:rPr>
        <w:t>。</w:t>
      </w:r>
    </w:p>
    <w:p>
      <w:pPr>
        <w:spacing w:line="580" w:lineRule="exact"/>
        <w:ind w:firstLine="643" w:firstLineChars="200"/>
        <w:rPr>
          <w:rStyle w:val="32"/>
        </w:rPr>
      </w:pPr>
      <w:bookmarkStart w:id="18" w:name="_Toc77754739"/>
      <w:bookmarkStart w:id="19" w:name="_Toc58316073"/>
      <w:r>
        <w:rPr>
          <w:rStyle w:val="32"/>
          <w:rFonts w:hint="eastAsia"/>
        </w:rPr>
        <w:t>4.研究生人才培养质量有待提升</w:t>
      </w:r>
      <w:bookmarkEnd w:id="18"/>
      <w:bookmarkEnd w:id="19"/>
    </w:p>
    <w:p>
      <w:pPr>
        <w:spacing w:line="580" w:lineRule="exact"/>
        <w:ind w:firstLine="643" w:firstLineChars="200"/>
        <w:rPr>
          <w:bCs/>
        </w:rPr>
      </w:pPr>
      <w:r>
        <w:rPr>
          <w:rFonts w:hint="eastAsia"/>
          <w:b/>
        </w:rPr>
        <w:t>一是</w:t>
      </w:r>
      <w:r>
        <w:rPr>
          <w:rFonts w:hint="eastAsia"/>
        </w:rPr>
        <w:t>研究生人才培养模式传统、单一，教学实践基地发挥作用不充分，学生创新实践能力需要进一步提升，党建引领和思想政治工作有待加强。</w:t>
      </w:r>
      <w:r>
        <w:rPr>
          <w:rFonts w:hint="eastAsia"/>
          <w:b/>
        </w:rPr>
        <w:t>二是</w:t>
      </w:r>
      <w:r>
        <w:rPr>
          <w:rFonts w:hint="eastAsia"/>
        </w:rPr>
        <w:t>课程体系、教学内容、教学方式的更新、创新不够强，研究生学术能力需要进一步提升，学位论文质量需要增强。</w:t>
      </w:r>
      <w:r>
        <w:rPr>
          <w:rFonts w:hint="eastAsia"/>
          <w:b/>
        </w:rPr>
        <w:t>三是</w:t>
      </w:r>
      <w:r>
        <w:rPr>
          <w:rFonts w:hint="eastAsia"/>
        </w:rPr>
        <w:t>导师作用需要进一步突出，研究生</w:t>
      </w:r>
      <w:r>
        <w:rPr>
          <w:rFonts w:hint="eastAsia"/>
          <w:bCs/>
        </w:rPr>
        <w:t>培养质量评价和激励机制需要进一步完善。</w:t>
      </w:r>
    </w:p>
    <w:p>
      <w:pPr>
        <w:spacing w:line="580" w:lineRule="exact"/>
        <w:ind w:firstLine="643" w:firstLineChars="200"/>
        <w:rPr>
          <w:rStyle w:val="32"/>
          <w:bCs w:val="0"/>
        </w:rPr>
      </w:pPr>
      <w:bookmarkStart w:id="20" w:name="_Toc77754740"/>
      <w:r>
        <w:rPr>
          <w:rStyle w:val="32"/>
          <w:rFonts w:hint="eastAsia"/>
          <w:bCs w:val="0"/>
        </w:rPr>
        <w:t>5</w:t>
      </w:r>
      <w:r>
        <w:rPr>
          <w:rStyle w:val="32"/>
          <w:bCs w:val="0"/>
        </w:rPr>
        <w:t>.</w:t>
      </w:r>
      <w:bookmarkStart w:id="21" w:name="_Hlk77753569"/>
      <w:r>
        <w:rPr>
          <w:rStyle w:val="32"/>
          <w:rFonts w:hint="eastAsia"/>
          <w:bCs w:val="0"/>
        </w:rPr>
        <w:t>国际交流合作</w:t>
      </w:r>
      <w:bookmarkEnd w:id="21"/>
      <w:r>
        <w:rPr>
          <w:rStyle w:val="32"/>
          <w:rFonts w:hint="eastAsia"/>
          <w:bCs w:val="0"/>
        </w:rPr>
        <w:t>有待拓展与深化</w:t>
      </w:r>
      <w:bookmarkEnd w:id="20"/>
    </w:p>
    <w:p>
      <w:pPr>
        <w:spacing w:line="580" w:lineRule="exact"/>
        <w:ind w:firstLine="643" w:firstLineChars="200"/>
        <w:rPr>
          <w:bCs/>
        </w:rPr>
      </w:pPr>
      <w:bookmarkStart w:id="22" w:name="_Toc58316074"/>
      <w:bookmarkStart w:id="23" w:name="_Toc66728794"/>
      <w:r>
        <w:rPr>
          <w:rFonts w:hint="eastAsia"/>
          <w:b/>
          <w:bCs/>
        </w:rPr>
        <w:t>一是</w:t>
      </w:r>
      <w:r>
        <w:rPr>
          <w:rFonts w:hint="eastAsia"/>
          <w:bCs/>
        </w:rPr>
        <w:t>部分与国外高校签订的合作协议中，与学科建设相关的内容落实得不够全面、深入。</w:t>
      </w:r>
      <w:r>
        <w:rPr>
          <w:rFonts w:hint="eastAsia"/>
          <w:b/>
          <w:bCs/>
        </w:rPr>
        <w:t>二是</w:t>
      </w:r>
      <w:r>
        <w:rPr>
          <w:rFonts w:hint="eastAsia"/>
          <w:bCs/>
        </w:rPr>
        <w:t>学校主办或协办的高水平涉外学术研讨交流活动和会议较少；在对港澳台地区工作方面，工作性访问和教学活动较多，专题调研和学术研究较少。</w:t>
      </w:r>
      <w:r>
        <w:rPr>
          <w:rFonts w:hint="eastAsia"/>
          <w:b/>
          <w:bCs/>
        </w:rPr>
        <w:t>三是</w:t>
      </w:r>
      <w:r>
        <w:rPr>
          <w:rFonts w:hint="eastAsia"/>
          <w:bCs/>
        </w:rPr>
        <w:t>教师参加专业领域内高水平、高规格国际学术研讨会的数量以及在国外核心期刊的发文量有待提升；外籍专家聘任工作尚未取得实质性进展；未建立一套国际交流的奖励和绩效考评机制。</w:t>
      </w:r>
      <w:r>
        <w:rPr>
          <w:rFonts w:hint="eastAsia"/>
          <w:b/>
          <w:bCs/>
        </w:rPr>
        <w:t>四是</w:t>
      </w:r>
      <w:r>
        <w:rPr>
          <w:rFonts w:hint="eastAsia"/>
          <w:bCs/>
        </w:rPr>
        <w:t>学生每年出国（境）交流人数规模距离</w:t>
      </w:r>
      <w:r>
        <w:rPr>
          <w:bCs/>
        </w:rPr>
        <w:t>5%的</w:t>
      </w:r>
      <w:r>
        <w:rPr>
          <w:rFonts w:hint="eastAsia"/>
          <w:bCs/>
        </w:rPr>
        <w:t>目标还有一定差距。</w:t>
      </w:r>
    </w:p>
    <w:p>
      <w:pPr>
        <w:spacing w:line="580" w:lineRule="exact"/>
        <w:ind w:firstLine="640" w:firstLineChars="200"/>
        <w:rPr>
          <w:rFonts w:ascii="黑体" w:hAnsi="黑体" w:eastAsia="黑体"/>
        </w:rPr>
      </w:pPr>
      <w:bookmarkStart w:id="24" w:name="_Toc77754741"/>
      <w:r>
        <w:rPr>
          <w:rStyle w:val="26"/>
          <w:rFonts w:hint="eastAsia"/>
          <w:szCs w:val="32"/>
        </w:rPr>
        <w:t>二、“十四五”期间发展的总体思路</w:t>
      </w:r>
      <w:bookmarkEnd w:id="22"/>
      <w:bookmarkEnd w:id="23"/>
      <w:bookmarkEnd w:id="24"/>
    </w:p>
    <w:p>
      <w:pPr>
        <w:spacing w:line="580" w:lineRule="exact"/>
        <w:ind w:firstLine="640" w:firstLineChars="200"/>
        <w:rPr>
          <w:rFonts w:ascii="楷体" w:hAnsi="楷体" w:eastAsia="楷体"/>
        </w:rPr>
      </w:pPr>
      <w:bookmarkStart w:id="25" w:name="_Toc66728795"/>
      <w:bookmarkStart w:id="26" w:name="_Toc77754742"/>
      <w:bookmarkStart w:id="27" w:name="_Toc58316075"/>
      <w:r>
        <w:rPr>
          <w:rFonts w:hint="eastAsia" w:ascii="楷体" w:hAnsi="楷体" w:eastAsia="楷体"/>
        </w:rPr>
        <w:t>（一）形势分析</w:t>
      </w:r>
      <w:bookmarkEnd w:id="25"/>
      <w:bookmarkEnd w:id="26"/>
      <w:bookmarkEnd w:id="27"/>
    </w:p>
    <w:p>
      <w:pPr>
        <w:spacing w:line="580" w:lineRule="exact"/>
        <w:ind w:firstLine="643" w:firstLineChars="200"/>
        <w:rPr>
          <w:rStyle w:val="32"/>
        </w:rPr>
      </w:pPr>
      <w:bookmarkStart w:id="28" w:name="_Toc77754743"/>
      <w:bookmarkStart w:id="29" w:name="_Toc58316076"/>
      <w:r>
        <w:rPr>
          <w:rStyle w:val="32"/>
          <w:rFonts w:hint="eastAsia"/>
        </w:rPr>
        <w:t>1.国家战略层面</w:t>
      </w:r>
      <w:bookmarkEnd w:id="28"/>
      <w:bookmarkEnd w:id="29"/>
    </w:p>
    <w:p>
      <w:pPr>
        <w:spacing w:line="580" w:lineRule="exact"/>
        <w:ind w:firstLine="640" w:firstLineChars="200"/>
        <w:rPr>
          <w:bCs/>
        </w:rPr>
      </w:pPr>
      <w:r>
        <w:rPr>
          <w:rFonts w:hint="eastAsia"/>
          <w:bCs/>
        </w:rPr>
        <w:t>“十四五”时期，我国开启社会主义现代化建设新征程。国内数字经济蓬勃发展，新经济、新业态、新模式大量涌现，职工就业、劳动关系、民生保障、社会治理、产业工人队伍建设改革等重点难点热点问题涌现，专门人才缺口巨大，这些问题日益成为党和国家以及全社会广泛关注的焦点。同时，国家高度重视高校建设，出台了一系列文件和要求。</w:t>
      </w:r>
      <w:r>
        <w:rPr>
          <w:bCs/>
        </w:rPr>
        <w:t>2015</w:t>
      </w:r>
      <w:r>
        <w:rPr>
          <w:rFonts w:hint="eastAsia"/>
          <w:bCs/>
        </w:rPr>
        <w:t>年10月，国务院印发《统筹推进世界一流大学和一流学科建设总体方案》，支持高等学校优化学科结构，凝练学科发展方向，突出学科建设重点，创新学科组织模式，打造更多学科高峰，带动学校发挥优势、办出特色。</w:t>
      </w:r>
      <w:r>
        <w:rPr>
          <w:rFonts w:hint="eastAsia"/>
        </w:rPr>
        <w:t>2022</w:t>
      </w:r>
      <w:r>
        <w:rPr>
          <w:rFonts w:hint="eastAsia"/>
          <w:bCs/>
        </w:rPr>
        <w:t>年</w:t>
      </w:r>
      <w:r>
        <w:rPr>
          <w:rFonts w:hint="eastAsia"/>
        </w:rPr>
        <w:t>2</w:t>
      </w:r>
      <w:r>
        <w:rPr>
          <w:rFonts w:hint="eastAsia"/>
          <w:bCs/>
        </w:rPr>
        <w:t>月，教育部等三部委联合印发《关于深入推进世界一流大学和一流学科建设的若干意见》，要求各高校</w:t>
      </w:r>
      <w:r>
        <w:rPr>
          <w:rFonts w:hint="eastAsia"/>
        </w:rPr>
        <w:t>服务新发展格局，优化学科专业布局。</w:t>
      </w:r>
      <w:r>
        <w:rPr>
          <w:rFonts w:hint="eastAsia"/>
          <w:bCs/>
        </w:rPr>
        <w:t>推进学科专业调整，夯实基础学科建设，加强应用学科建设，推动学科交叉融合。</w:t>
      </w:r>
      <w:r>
        <w:rPr>
          <w:bCs/>
        </w:rPr>
        <w:t>2022年</w:t>
      </w:r>
      <w:r>
        <w:rPr>
          <w:rFonts w:hint="eastAsia"/>
          <w:bCs/>
        </w:rPr>
        <w:t>5</w:t>
      </w:r>
      <w:r>
        <w:rPr>
          <w:bCs/>
        </w:rPr>
        <w:t>月</w:t>
      </w:r>
      <w:r>
        <w:rPr>
          <w:rFonts w:hint="eastAsia"/>
          <w:bCs/>
        </w:rPr>
        <w:t>，中共中央宣传部、教育部联合印发《面向</w:t>
      </w:r>
      <w:r>
        <w:rPr>
          <w:bCs/>
        </w:rPr>
        <w:t>2035高校哲学社会科学高质量发展行动计划》</w:t>
      </w:r>
      <w:r>
        <w:rPr>
          <w:rFonts w:hint="eastAsia"/>
          <w:bCs/>
        </w:rPr>
        <w:t>指出，要以体系构建为主线，将党的创新理论引领贯穿中国特色哲学社会科学各学科知识体系，优化学科专业布局，推进学科交叉融合，打造一流学科专业群，构建适应国家需求、支撑知识创新的学科体系。上述政策文件，为学校建成劳动和工会领域国内一流、国际知名大学提供了指引、动力和支持。在开展科研和智库建设方面，2015年1月，国务院和教育部先后颁发《关于加强中国特色新型智库建设的意见》《中国特色新型高校智库建设推进计划》，为学校智库建设与发展提供了难得的历史机遇。</w:t>
      </w:r>
    </w:p>
    <w:p>
      <w:pPr>
        <w:spacing w:line="580" w:lineRule="exact"/>
        <w:ind w:firstLine="635" w:firstLineChars="200"/>
        <w:rPr>
          <w:rStyle w:val="32"/>
          <w:spacing w:val="-2"/>
        </w:rPr>
      </w:pPr>
      <w:bookmarkStart w:id="30" w:name="_Toc58316077"/>
      <w:bookmarkStart w:id="31" w:name="_Toc77754744"/>
      <w:r>
        <w:rPr>
          <w:rStyle w:val="32"/>
          <w:rFonts w:hint="eastAsia"/>
          <w:spacing w:val="-2"/>
        </w:rPr>
        <w:t>2.行业与区域发展层面</w:t>
      </w:r>
      <w:bookmarkEnd w:id="30"/>
      <w:bookmarkEnd w:id="31"/>
    </w:p>
    <w:p>
      <w:pPr>
        <w:spacing w:line="580" w:lineRule="exact"/>
        <w:ind w:firstLine="632" w:firstLineChars="200"/>
      </w:pPr>
      <w:r>
        <w:rPr>
          <w:rFonts w:hint="eastAsia"/>
          <w:spacing w:val="-2"/>
        </w:rPr>
        <w:t>行业层面，全国总工会的改革和新时期产业工人队伍建设改革为学校改革创新发展提供重要契机。</w:t>
      </w:r>
      <w:r>
        <w:rPr>
          <w:spacing w:val="-2"/>
        </w:rPr>
        <w:t>2015年11月，中央全面深化改革领导小组第18次会议审议通过《全国总工会改革试点方案》</w:t>
      </w:r>
      <w:r>
        <w:rPr>
          <w:rFonts w:hint="eastAsia"/>
          <w:spacing w:val="-2"/>
        </w:rPr>
        <w:t>；</w:t>
      </w:r>
      <w:r>
        <w:rPr>
          <w:spacing w:val="-2"/>
        </w:rPr>
        <w:t>2017年4月，中共中央、国务院印发《新时期产业工人队伍建设改革方案》，两大改革的深入发展有利于学校深化和加强职工队伍和工会工作的全局性、趋势性、前瞻性问题研究和成果转化，为学校融入主流、增强特色激发内生动力。</w:t>
      </w:r>
      <w:r>
        <w:rPr>
          <w:rFonts w:hint="eastAsia"/>
          <w:spacing w:val="-2"/>
        </w:rPr>
        <w:t>2021年７</w:t>
      </w:r>
      <w:r>
        <w:rPr>
          <w:rFonts w:hint="eastAsia"/>
        </w:rPr>
        <w:t>月，中华全国总工会制定并发布《中国工运事业和工会工作“十四五”发展规划》，为学院勇担工会干部教育培训使命、建好高端智库、服务行业需求指明了努力方向。</w:t>
      </w:r>
    </w:p>
    <w:p>
      <w:pPr>
        <w:spacing w:line="580" w:lineRule="exact"/>
        <w:ind w:firstLine="640" w:firstLineChars="200"/>
      </w:pPr>
      <w:r>
        <w:rPr>
          <w:rFonts w:hint="eastAsia"/>
        </w:rPr>
        <w:t>区域发展层面，京津冀协同发展战略的实施，北京市城市发展新定位的明确，为学校更好地融入区域发展提供了宝贵历史机遇。</w:t>
      </w:r>
      <w:r>
        <w:t>2021年6月</w:t>
      </w:r>
      <w:r>
        <w:rPr>
          <w:rFonts w:hint="eastAsia"/>
        </w:rPr>
        <w:t>，</w:t>
      </w:r>
      <w:r>
        <w:t>中共北京市委教育工作委员会</w:t>
      </w:r>
      <w:r>
        <w:rPr>
          <w:rFonts w:hint="eastAsia"/>
        </w:rPr>
        <w:t>、</w:t>
      </w:r>
      <w:r>
        <w:t>北京市教育委员会</w:t>
      </w:r>
      <w:r>
        <w:rPr>
          <w:rFonts w:hint="eastAsia"/>
        </w:rPr>
        <w:t>、</w:t>
      </w:r>
      <w:r>
        <w:t>北京市发展和改革委员会</w:t>
      </w:r>
      <w:r>
        <w:rPr>
          <w:rFonts w:hint="eastAsia"/>
        </w:rPr>
        <w:t>、</w:t>
      </w:r>
      <w:r>
        <w:t>北京市财政局</w:t>
      </w:r>
      <w:r>
        <w:rPr>
          <w:rFonts w:hint="eastAsia"/>
        </w:rPr>
        <w:t>联合印发《关于推进新时代北京研究生教育改革发展的实施意见》，对学校优化研究生教育结构规模、强化特色培养、提升人才培养与服务能力，建设高质量研究生教育体系提</w:t>
      </w:r>
      <w:r>
        <w:t>供有力支撑</w:t>
      </w:r>
      <w:r>
        <w:rPr>
          <w:rFonts w:hint="eastAsia"/>
        </w:rPr>
        <w:t>。</w:t>
      </w:r>
    </w:p>
    <w:p>
      <w:pPr>
        <w:spacing w:line="580" w:lineRule="exact"/>
        <w:ind w:firstLine="643" w:firstLineChars="200"/>
        <w:rPr>
          <w:rStyle w:val="32"/>
        </w:rPr>
      </w:pPr>
      <w:bookmarkStart w:id="32" w:name="_Toc77754745"/>
      <w:bookmarkStart w:id="33" w:name="_Toc58316078"/>
      <w:r>
        <w:rPr>
          <w:rStyle w:val="32"/>
          <w:rFonts w:hint="eastAsia"/>
        </w:rPr>
        <w:t>3.学校发展层面</w:t>
      </w:r>
      <w:bookmarkEnd w:id="32"/>
      <w:bookmarkEnd w:id="33"/>
    </w:p>
    <w:p>
      <w:pPr>
        <w:spacing w:line="580" w:lineRule="exact"/>
        <w:ind w:firstLine="640" w:firstLineChars="200"/>
      </w:pPr>
      <w:r>
        <w:rPr>
          <w:rFonts w:hint="eastAsia"/>
        </w:rPr>
        <w:t>“十三五”期间，学校明确了“十年三步走”的发展道路。2022年1月，中华全国总工会印发《关于支持中国劳动关系学院建设特色一流大学的意见》，更为学校“十四五”学科建设指明了方向，明确了要求。学校将对照要求，增强项，补短板，精准发力，努力提升学科建设水平。</w:t>
      </w:r>
    </w:p>
    <w:p>
      <w:pPr>
        <w:spacing w:line="580" w:lineRule="exact"/>
        <w:ind w:firstLine="640" w:firstLineChars="200"/>
      </w:pPr>
      <w:r>
        <w:rPr>
          <w:rFonts w:hint="eastAsia"/>
        </w:rPr>
        <w:t>总体来说，党的十九大和全国教育大会对高校学科建设提出新要求，</w:t>
      </w:r>
      <w:r>
        <w:rPr>
          <w:rFonts w:hint="eastAsia"/>
          <w:bCs/>
        </w:rPr>
        <w:t>科教兴国、人才强国、创新驱动发展等国家战略的实施和</w:t>
      </w:r>
      <w:r>
        <w:rPr>
          <w:rFonts w:hint="eastAsia"/>
        </w:rPr>
        <w:t>北京市“四个中心”建设为学科发展带来新机遇，“双一流”建设为学科发展确定了战略目标和方位。</w:t>
      </w:r>
      <w:r>
        <w:rPr>
          <w:rFonts w:hint="eastAsia"/>
          <w:bCs/>
        </w:rPr>
        <w:t>学校也面临着严峻挑战，办学层次空间亟需拓展，高层次师资队伍建设亟需加强，科学研究和成果转化能力亟需提升，人才培养质量亟需提高，内部治理体系亟需进一步完善。</w:t>
      </w:r>
    </w:p>
    <w:p>
      <w:pPr>
        <w:spacing w:line="600" w:lineRule="exact"/>
        <w:ind w:firstLine="640" w:firstLineChars="200"/>
        <w:rPr>
          <w:rFonts w:ascii="楷体" w:hAnsi="楷体" w:eastAsia="楷体"/>
          <w:b/>
        </w:rPr>
      </w:pPr>
      <w:bookmarkStart w:id="34" w:name="_Toc66728796"/>
      <w:bookmarkStart w:id="35" w:name="_Toc77754746"/>
      <w:bookmarkStart w:id="36" w:name="_Toc58316079"/>
      <w:r>
        <w:rPr>
          <w:rFonts w:hint="eastAsia" w:ascii="楷体" w:hAnsi="楷体" w:eastAsia="楷体"/>
        </w:rPr>
        <w:t>（二）发展目标</w:t>
      </w:r>
      <w:bookmarkEnd w:id="34"/>
      <w:bookmarkEnd w:id="35"/>
      <w:bookmarkEnd w:id="36"/>
    </w:p>
    <w:p>
      <w:pPr>
        <w:tabs>
          <w:tab w:val="left" w:pos="3195"/>
        </w:tabs>
        <w:spacing w:line="580" w:lineRule="exact"/>
        <w:ind w:firstLine="643" w:firstLineChars="200"/>
        <w:rPr>
          <w:b/>
        </w:rPr>
      </w:pPr>
      <w:bookmarkStart w:id="37" w:name="_Toc77754747"/>
      <w:bookmarkStart w:id="38" w:name="_Toc58316080"/>
      <w:r>
        <w:rPr>
          <w:rFonts w:hint="eastAsia"/>
          <w:b/>
        </w:rPr>
        <w:t>1.总体目标</w:t>
      </w:r>
      <w:bookmarkEnd w:id="37"/>
      <w:bookmarkEnd w:id="38"/>
      <w:r>
        <w:rPr>
          <w:b/>
        </w:rPr>
        <w:tab/>
      </w:r>
    </w:p>
    <w:p>
      <w:pPr>
        <w:spacing w:line="580" w:lineRule="exact"/>
        <w:ind w:firstLine="640" w:firstLineChars="200"/>
      </w:pPr>
      <w:r>
        <w:rPr>
          <w:rFonts w:hint="eastAsia"/>
        </w:rPr>
        <w:t>坚持办学的中国特色、劳动特色、工会特色，以立德树人为根本，以服务工会行业、服务</w:t>
      </w:r>
      <w:r>
        <w:t>区域经济社会发展需求为导向</w:t>
      </w:r>
      <w:r>
        <w:rPr>
          <w:rFonts w:hint="eastAsia"/>
        </w:rPr>
        <w:t>，</w:t>
      </w:r>
      <w:r>
        <w:rPr>
          <w:rFonts w:hint="eastAsia"/>
          <w:bCs/>
        </w:rPr>
        <w:t>聚焦构建中国特色和谐劳动关系，推动工会工作创新发展，进一步构建和完善“劳动</w:t>
      </w:r>
      <w:r>
        <w:rPr>
          <w:bCs/>
        </w:rPr>
        <w:t>+”“工会+”学科体系，</w:t>
      </w:r>
      <w:r>
        <w:rPr>
          <w:rFonts w:hint="eastAsia"/>
        </w:rPr>
        <w:t>为建设劳动和工会领域国内一流、国际知名</w:t>
      </w:r>
      <w:r>
        <w:t>大学</w:t>
      </w:r>
      <w:r>
        <w:rPr>
          <w:rFonts w:hint="eastAsia"/>
        </w:rPr>
        <w:t>夯实</w:t>
      </w:r>
      <w:r>
        <w:t>学科基础</w:t>
      </w:r>
      <w:r>
        <w:rPr>
          <w:rFonts w:hint="eastAsia"/>
          <w:bCs/>
        </w:rPr>
        <w:t>。</w:t>
      </w:r>
    </w:p>
    <w:p>
      <w:pPr>
        <w:spacing w:line="580" w:lineRule="exact"/>
        <w:ind w:firstLine="640" w:firstLineChars="200"/>
        <w:rPr>
          <w:bCs/>
        </w:rPr>
      </w:pPr>
      <w:r>
        <w:rPr>
          <w:rFonts w:hint="eastAsia"/>
          <w:bCs/>
        </w:rPr>
        <w:t>紧紧围绕学科体系、学位点布局、科研创新、学科队伍和研究生教育开展“五位一体”的学科建设</w:t>
      </w:r>
      <w:r>
        <w:rPr>
          <w:rFonts w:hint="eastAsia"/>
        </w:rPr>
        <w:t>，形成以劳动关系、劳动教育、工会学等</w:t>
      </w:r>
      <w:r>
        <w:t>特色学科为引领，</w:t>
      </w:r>
      <w:r>
        <w:rPr>
          <w:rFonts w:hint="eastAsia"/>
        </w:rPr>
        <w:t>以公共管理、应用经济学、法学、社会工作等</w:t>
      </w:r>
      <w:r>
        <w:t>重点学科为基础，</w:t>
      </w:r>
      <w:r>
        <w:rPr>
          <w:rFonts w:hint="eastAsia"/>
        </w:rPr>
        <w:t>以马克思主义理论等</w:t>
      </w:r>
      <w:r>
        <w:t>基础学科为支撑的</w:t>
      </w:r>
      <w:r>
        <w:rPr>
          <w:rFonts w:hint="eastAsia"/>
        </w:rPr>
        <w:t>交叉渗透、协同发展的学科体系；形成以专业学位授权点为主，专业学位授权点和学术学位授权点协调发展的学位点建设格局；形成以代表性成果为突破，以智库建设为平台，以国际交流合作为拓展的科研创新体系；形成一支研究方向稳定、协同创新发展能力较强、能稳定支撑</w:t>
      </w:r>
      <w:r>
        <w:t>硕士学位授权点的学科队伍</w:t>
      </w:r>
      <w:r>
        <w:rPr>
          <w:rFonts w:hint="eastAsia"/>
        </w:rPr>
        <w:t>；形成一套能有效满足学校培养高层次专门人才的研究生教育体系。</w:t>
      </w:r>
    </w:p>
    <w:p>
      <w:pPr>
        <w:spacing w:line="580" w:lineRule="exact"/>
        <w:ind w:firstLine="643" w:firstLineChars="200"/>
        <w:rPr>
          <w:b/>
        </w:rPr>
      </w:pPr>
      <w:bookmarkStart w:id="39" w:name="_Toc77754748"/>
      <w:bookmarkStart w:id="40" w:name="_Toc58316081"/>
      <w:r>
        <w:rPr>
          <w:rFonts w:hint="eastAsia"/>
          <w:b/>
        </w:rPr>
        <w:t>2.具体目标</w:t>
      </w:r>
      <w:bookmarkEnd w:id="39"/>
      <w:bookmarkEnd w:id="40"/>
    </w:p>
    <w:p>
      <w:pPr>
        <w:spacing w:line="580" w:lineRule="exact"/>
        <w:ind w:firstLine="640" w:firstLineChars="200"/>
      </w:pPr>
      <w:r>
        <w:rPr>
          <w:rFonts w:hint="eastAsia"/>
        </w:rPr>
        <w:t>到2025年，基本完成硕士学位授权学科布局，硕士学位授</w:t>
      </w:r>
      <w:r>
        <w:rPr>
          <w:rFonts w:hint="eastAsia"/>
          <w:spacing w:val="-4"/>
        </w:rPr>
        <w:t>权点力争达到5—</w:t>
      </w:r>
      <w:r>
        <w:rPr>
          <w:spacing w:val="-4"/>
        </w:rPr>
        <w:t>6</w:t>
      </w:r>
      <w:r>
        <w:rPr>
          <w:rFonts w:hint="eastAsia"/>
          <w:spacing w:val="-4"/>
        </w:rPr>
        <w:t>个</w:t>
      </w:r>
      <w:r>
        <w:rPr>
          <w:rFonts w:hint="eastAsia"/>
        </w:rPr>
        <w:t>；硕士研究生培养规模达到</w:t>
      </w:r>
      <w:r>
        <w:t>4</w:t>
      </w:r>
      <w:r>
        <w:rPr>
          <w:rFonts w:hint="eastAsia"/>
        </w:rPr>
        <w:t>00人；争取拥有省部级智库，拥有</w:t>
      </w:r>
      <w:r>
        <w:t>1</w:t>
      </w:r>
      <w:r>
        <w:rPr>
          <w:rFonts w:hint="eastAsia"/>
          <w:spacing w:val="-4"/>
        </w:rPr>
        <w:t>—</w:t>
      </w:r>
      <w:r>
        <w:t>2</w:t>
      </w:r>
      <w:r>
        <w:rPr>
          <w:rFonts w:hint="eastAsia"/>
        </w:rPr>
        <w:t>个省部级及以上科研创新平台，</w:t>
      </w:r>
      <w:r>
        <w:t>6</w:t>
      </w:r>
      <w:r>
        <w:rPr>
          <w:rFonts w:hint="eastAsia"/>
        </w:rPr>
        <w:t>—</w:t>
      </w:r>
      <w:r>
        <w:t>8</w:t>
      </w:r>
      <w:r>
        <w:rPr>
          <w:rFonts w:hint="eastAsia"/>
        </w:rPr>
        <w:t>个省部级教学研究基地;构建一支能稳定支撑5</w:t>
      </w:r>
      <w:r>
        <w:t>—6个硕士学位授权点的</w:t>
      </w:r>
      <w:r>
        <w:rPr>
          <w:rFonts w:hint="eastAsia"/>
        </w:rPr>
        <w:t>、以学科带头人和学科骨干教师为主体的</w:t>
      </w:r>
      <w:r>
        <w:t>学科队伍</w:t>
      </w:r>
      <w:r>
        <w:rPr>
          <w:rFonts w:hint="eastAsia"/>
        </w:rPr>
        <w:t>；力争实现主持国家级课题不少于</w:t>
      </w:r>
      <w:r>
        <w:t>23</w:t>
      </w:r>
      <w:r>
        <w:rPr>
          <w:rFonts w:hint="eastAsia"/>
        </w:rPr>
        <w:t>项，省部课题不少于44项，省部级及以上重点项目2项，获得省部级及以上教学科研成果奖2项，获得省部级及以上领导批示及被实际应用部门采纳的智库报告数量不少于3</w:t>
      </w:r>
      <w:r>
        <w:t>0</w:t>
      </w:r>
      <w:r>
        <w:rPr>
          <w:rFonts w:hint="eastAsia"/>
        </w:rPr>
        <w:t>篇；通过硕士学位授权点专项评估；努力达到新增博士学位授予单位申请基本条件。</w:t>
      </w:r>
    </w:p>
    <w:p>
      <w:pPr>
        <w:spacing w:line="580" w:lineRule="exact"/>
        <w:ind w:firstLine="608" w:firstLineChars="200"/>
        <w:rPr>
          <w:spacing w:val="-8"/>
        </w:rPr>
      </w:pPr>
      <w:r>
        <w:rPr>
          <w:rFonts w:hint="eastAsia"/>
          <w:spacing w:val="-8"/>
        </w:rPr>
        <w:t>到2029年学校建校</w:t>
      </w:r>
      <w:r>
        <w:rPr>
          <w:spacing w:val="-8"/>
        </w:rPr>
        <w:t>80周年前后，满足</w:t>
      </w:r>
      <w:r>
        <w:rPr>
          <w:rFonts w:hint="eastAsia"/>
          <w:spacing w:val="-8"/>
        </w:rPr>
        <w:t>新增博士学位授权点申请基本条件，力争成为博士学位授予单位，拥有</w:t>
      </w:r>
      <w:r>
        <w:rPr>
          <w:spacing w:val="-8"/>
        </w:rPr>
        <w:t>1</w:t>
      </w:r>
      <w:r>
        <w:rPr>
          <w:rFonts w:hint="eastAsia"/>
          <w:spacing w:val="-8"/>
        </w:rPr>
        <w:t>—</w:t>
      </w:r>
      <w:r>
        <w:rPr>
          <w:spacing w:val="-8"/>
        </w:rPr>
        <w:t>2个博士专业学位授权点，力争有1个学科在全国学科评估中进入</w:t>
      </w:r>
      <w:r>
        <w:rPr>
          <w:rFonts w:hint="eastAsia"/>
          <w:spacing w:val="-8"/>
        </w:rPr>
        <w:t>学科</w:t>
      </w:r>
      <w:r>
        <w:rPr>
          <w:spacing w:val="-8"/>
        </w:rPr>
        <w:t>位次百分位</w:t>
      </w:r>
      <w:r>
        <w:rPr>
          <w:rFonts w:hint="eastAsia"/>
          <w:spacing w:val="-8"/>
        </w:rPr>
        <w:t>前</w:t>
      </w:r>
      <w:r>
        <w:rPr>
          <w:spacing w:val="-8"/>
        </w:rPr>
        <w:t>70%。</w:t>
      </w:r>
    </w:p>
    <w:p>
      <w:pPr>
        <w:spacing w:line="580" w:lineRule="exact"/>
        <w:ind w:firstLine="640" w:firstLineChars="200"/>
        <w:rPr>
          <w:rFonts w:ascii="楷体" w:hAnsi="楷体" w:eastAsia="楷体"/>
          <w:b/>
        </w:rPr>
      </w:pPr>
      <w:bookmarkStart w:id="41" w:name="_Toc77754749"/>
      <w:bookmarkStart w:id="42" w:name="_Toc66728797"/>
      <w:bookmarkStart w:id="43" w:name="_Toc58316082"/>
      <w:r>
        <w:rPr>
          <w:rFonts w:hint="eastAsia" w:ascii="楷体" w:hAnsi="楷体" w:eastAsia="楷体"/>
        </w:rPr>
        <w:t>（三）基本思路</w:t>
      </w:r>
      <w:bookmarkEnd w:id="41"/>
      <w:bookmarkEnd w:id="42"/>
      <w:bookmarkEnd w:id="43"/>
    </w:p>
    <w:p>
      <w:pPr>
        <w:spacing w:line="580" w:lineRule="exact"/>
        <w:ind w:firstLine="643" w:firstLineChars="200"/>
        <w:rPr>
          <w:b/>
        </w:rPr>
      </w:pPr>
      <w:bookmarkStart w:id="44" w:name="_Toc77754750"/>
      <w:bookmarkStart w:id="45" w:name="_Toc58316083"/>
      <w:r>
        <w:rPr>
          <w:rFonts w:hint="eastAsia"/>
          <w:b/>
        </w:rPr>
        <w:t>1.坚持特色发展</w:t>
      </w:r>
      <w:r>
        <w:rPr>
          <w:b/>
        </w:rPr>
        <w:t>，</w:t>
      </w:r>
      <w:r>
        <w:rPr>
          <w:rFonts w:hint="eastAsia"/>
          <w:b/>
        </w:rPr>
        <w:t>完善学科体系</w:t>
      </w:r>
      <w:bookmarkEnd w:id="44"/>
      <w:bookmarkEnd w:id="45"/>
    </w:p>
    <w:p>
      <w:pPr>
        <w:spacing w:line="580" w:lineRule="exact"/>
        <w:ind w:firstLine="640" w:firstLineChars="200"/>
      </w:pPr>
      <w:r>
        <w:t>加强学科建设的顶层设计，</w:t>
      </w:r>
      <w:r>
        <w:rPr>
          <w:rFonts w:hint="eastAsia"/>
        </w:rPr>
        <w:t>谋划构建特色鲜明、结构合理、发展动力强劲的“劳动</w:t>
      </w:r>
      <w:r>
        <w:t>+”“工会+”</w:t>
      </w:r>
      <w:r>
        <w:rPr>
          <w:rFonts w:hint="eastAsia"/>
        </w:rPr>
        <w:t>学科体系，提升学校核心竞争力，促进特色强校。</w:t>
      </w:r>
    </w:p>
    <w:p>
      <w:pPr>
        <w:spacing w:line="580" w:lineRule="exact"/>
        <w:ind w:firstLine="640" w:firstLineChars="200"/>
        <w:rPr>
          <w:b/>
        </w:rPr>
      </w:pPr>
      <w:r>
        <w:rPr>
          <w:rFonts w:hint="eastAsia"/>
        </w:rPr>
        <w:t>“劳动</w:t>
      </w:r>
      <w:r>
        <w:t>+”是依循学科内在的学术逻辑，以劳动者为主体，以实现人的全面自由发展为目的，聚焦劳动创造价值过程中的理论与实践问题，由一定形式结合而成的学科体系、学科群，</w:t>
      </w:r>
      <w:r>
        <w:rPr>
          <w:rFonts w:hint="eastAsia"/>
        </w:rPr>
        <w:t>包含劳动哲学、劳动经济学、劳动法学、劳动政治学、劳动社会学、劳动教育学、劳动文化与传播学、劳动安全保护学、劳动管理学、劳动关系学等学科，体现了中国特色社会主义制度的本质，是人类劳动科学发展的需要。</w:t>
      </w:r>
    </w:p>
    <w:p>
      <w:pPr>
        <w:spacing w:line="580" w:lineRule="exact"/>
        <w:ind w:firstLine="640" w:firstLineChars="200"/>
        <w:rPr>
          <w:b/>
        </w:rPr>
      </w:pPr>
      <w:r>
        <w:t>“工会+”是依循学科外在的应用逻辑，以劳动者的组织为主体，以增进党群关系和构建和谐劳动关系为目的，聚焦工会在经济社会发展中的理论与实践问</w:t>
      </w:r>
      <w:bookmarkStart w:id="86" w:name="_GoBack"/>
      <w:bookmarkEnd w:id="86"/>
      <w:r>
        <w:t>题，由一定形式结合而成的学科体系、学科群，</w:t>
      </w:r>
      <w:r>
        <w:rPr>
          <w:rFonts w:hint="eastAsia"/>
        </w:rPr>
        <w:t>包含工会哲学、工会伦理学、工会劳动经济学、工会法学、工会政治学、工会社会学、工会社会工作、工会教育学、工会思想政治教育学、工会文化学、工会新闻与传播、工会劳动保护学、工会管理学、工会财务管理、工会劳动关系学等学科，体现了中国特色社会主义工会发展道路的科学内涵，是中国工会事业发展的需要</w:t>
      </w:r>
      <w:r>
        <w:t>。</w:t>
      </w:r>
    </w:p>
    <w:p>
      <w:pPr>
        <w:spacing w:line="580" w:lineRule="exact"/>
        <w:ind w:firstLine="640" w:firstLineChars="200"/>
      </w:pPr>
      <w:r>
        <w:t>“劳动+”和“工会+”是我校同一学科体系的不同逻辑</w:t>
      </w:r>
      <w:r>
        <w:rPr>
          <w:rFonts w:hint="eastAsia"/>
        </w:rPr>
        <w:t>的概括，是</w:t>
      </w:r>
      <w:r>
        <w:t>内涵与外延、理论与实践的</w:t>
      </w:r>
      <w:r>
        <w:rPr>
          <w:rFonts w:hint="eastAsia"/>
        </w:rPr>
        <w:t>关系</w:t>
      </w:r>
      <w:r>
        <w:t>，</w:t>
      </w:r>
      <w:r>
        <w:rPr>
          <w:rFonts w:hint="eastAsia"/>
        </w:rPr>
        <w:t>是</w:t>
      </w:r>
      <w:r>
        <w:t>一体两面、交叉融合的关系（如劳动经济学</w:t>
      </w:r>
      <w:r>
        <w:rPr>
          <w:rFonts w:hint="eastAsia"/>
        </w:rPr>
        <w:t>与</w:t>
      </w:r>
      <w:r>
        <w:t>工会</w:t>
      </w:r>
      <w:r>
        <w:rPr>
          <w:rFonts w:hint="eastAsia"/>
        </w:rPr>
        <w:t>劳动</w:t>
      </w:r>
      <w:r>
        <w:t>经济学），需要相互支撑、协同建设（如劳动社会学与工会社会学）。</w:t>
      </w:r>
    </w:p>
    <w:p>
      <w:pPr>
        <w:spacing w:line="580" w:lineRule="exact"/>
        <w:ind w:firstLine="640" w:firstLineChars="200"/>
      </w:pPr>
      <w:r>
        <w:t>“劳动+”“工会+”的概括，体现了中国特色社会主义制度的本质</w:t>
      </w:r>
      <w:r>
        <w:rPr>
          <w:rFonts w:hint="eastAsia"/>
        </w:rPr>
        <w:t>和中国特色社会主义工会发展道路的科学内涵</w:t>
      </w:r>
      <w:r>
        <w:t>，是人类劳动科学发展需要和中国工会事业发展需要的统一，既是对中国劳动关系学院办学70多年来已有学科专业体系的概括，也是中国劳动关系学院特色一流大学建设的学科统领，是相关二级学院学科建设的主要方向。</w:t>
      </w:r>
    </w:p>
    <w:p>
      <w:pPr>
        <w:spacing w:line="580" w:lineRule="exact"/>
        <w:ind w:firstLine="643" w:firstLineChars="200"/>
        <w:rPr>
          <w:b/>
        </w:rPr>
      </w:pPr>
      <w:bookmarkStart w:id="46" w:name="_Toc77754751"/>
      <w:bookmarkStart w:id="47" w:name="_Toc58316084"/>
      <w:r>
        <w:rPr>
          <w:rFonts w:hint="eastAsia"/>
          <w:b/>
        </w:rPr>
        <w:t>2.优化结构布局，坚持内涵发展</w:t>
      </w:r>
      <w:bookmarkEnd w:id="46"/>
      <w:bookmarkEnd w:id="47"/>
    </w:p>
    <w:p>
      <w:pPr>
        <w:spacing w:line="580" w:lineRule="exact"/>
        <w:ind w:firstLine="640" w:firstLineChars="200"/>
      </w:pPr>
      <w:r>
        <w:rPr>
          <w:rFonts w:hint="eastAsia"/>
        </w:rPr>
        <w:t>聚焦劳动和工会领域，明确学科建设主攻方向，依据学科关联程度和轻重缓急，优化学科专业布局，突出特色学科，做强重点学科，夯实基础学科，</w:t>
      </w:r>
      <w:r>
        <w:t>拓展</w:t>
      </w:r>
      <w:r>
        <w:rPr>
          <w:rFonts w:hint="eastAsia"/>
        </w:rPr>
        <w:t>交叉</w:t>
      </w:r>
      <w:r>
        <w:t>学科</w:t>
      </w:r>
      <w:r>
        <w:rPr>
          <w:rFonts w:hint="eastAsia"/>
        </w:rPr>
        <w:t>，促进各学科协同发展。</w:t>
      </w:r>
    </w:p>
    <w:p>
      <w:pPr>
        <w:spacing w:line="580" w:lineRule="exact"/>
        <w:ind w:firstLine="640" w:firstLineChars="200"/>
      </w:pPr>
      <w:r>
        <w:rPr>
          <w:rFonts w:hint="eastAsia"/>
        </w:rPr>
        <w:t>遵循高等教育发展规律，全面加强学科内涵建设，加强现代信息技术融入学科专业建设，聚积学科优势，提升学科建设创新能力和高层次人才培养能力。围绕硕士学位授权点增扩、博士学位授权单位立项建设，精准发力，补齐短板，努力推动专业学位研究生教育与学术学位研究生教育协调发展；努力提升新增硕士学位授予单位授权点建设和支撑学科的整体水平，已获批学位点通过学位合格评估、力争在学位水平评估中取得良好成绩</w:t>
      </w:r>
      <w:r>
        <w:t>。</w:t>
      </w:r>
    </w:p>
    <w:p>
      <w:pPr>
        <w:spacing w:line="580" w:lineRule="exact"/>
        <w:ind w:firstLine="643" w:firstLineChars="200"/>
        <w:rPr>
          <w:b/>
        </w:rPr>
      </w:pPr>
      <w:bookmarkStart w:id="48" w:name="_Toc58316085"/>
      <w:bookmarkStart w:id="49" w:name="_Toc77754752"/>
      <w:r>
        <w:rPr>
          <w:rFonts w:hint="eastAsia"/>
          <w:b/>
        </w:rPr>
        <w:t>3.坚持协同发展，全校统筹推进</w:t>
      </w:r>
      <w:bookmarkEnd w:id="48"/>
      <w:bookmarkEnd w:id="49"/>
    </w:p>
    <w:p>
      <w:pPr>
        <w:spacing w:line="580" w:lineRule="exact"/>
        <w:ind w:firstLine="640" w:firstLineChars="200"/>
      </w:pPr>
      <w:r>
        <w:rPr>
          <w:rFonts w:hint="eastAsia"/>
        </w:rPr>
        <w:t>统筹推进形成以“劳动+”“工会+”为特色的经济学、法学、管理学、文学、工学、艺术学、教育学、理学等学科专业群；加强各学科专业建设校际和国际交流，不断提升学科专业认同度和影响力。重点</w:t>
      </w:r>
      <w:r>
        <w:t>遴选一批</w:t>
      </w:r>
      <w:r>
        <w:rPr>
          <w:rFonts w:hint="eastAsia"/>
        </w:rPr>
        <w:t>体现学校</w:t>
      </w:r>
      <w:r>
        <w:t>“劳动+”</w:t>
      </w:r>
      <w:r>
        <w:rPr>
          <w:rFonts w:hint="eastAsia"/>
        </w:rPr>
        <w:t>“工会</w:t>
      </w:r>
      <w:r>
        <w:t>+”</w:t>
      </w:r>
      <w:r>
        <w:rPr>
          <w:rFonts w:hint="eastAsia"/>
        </w:rPr>
        <w:t>特色的、具有申报省部级学科潜力的</w:t>
      </w:r>
      <w:r>
        <w:t>学科</w:t>
      </w:r>
      <w:r>
        <w:rPr>
          <w:rFonts w:hint="eastAsia"/>
        </w:rPr>
        <w:t>，对标</w:t>
      </w:r>
      <w:r>
        <w:t>一级学科点</w:t>
      </w:r>
      <w:r>
        <w:rPr>
          <w:rFonts w:hint="eastAsia"/>
        </w:rPr>
        <w:t>建设</w:t>
      </w:r>
      <w:r>
        <w:t>目标，以提升学科评估质量为导向，分批次</w:t>
      </w:r>
      <w:r>
        <w:rPr>
          <w:rFonts w:hint="eastAsia"/>
        </w:rPr>
        <w:t>开展规划建设</w:t>
      </w:r>
      <w:r>
        <w:t>。</w:t>
      </w:r>
    </w:p>
    <w:p>
      <w:pPr>
        <w:spacing w:line="580" w:lineRule="exact"/>
        <w:ind w:firstLine="640" w:firstLineChars="200"/>
        <w:rPr>
          <w:rFonts w:ascii="黑体" w:hAnsi="黑体" w:eastAsia="黑体"/>
          <w:b/>
        </w:rPr>
      </w:pPr>
      <w:bookmarkStart w:id="50" w:name="_Toc77754753"/>
      <w:bookmarkStart w:id="51" w:name="_Toc58316086"/>
      <w:bookmarkStart w:id="52" w:name="_Toc66728798"/>
      <w:r>
        <w:rPr>
          <w:rStyle w:val="26"/>
          <w:rFonts w:hint="eastAsia"/>
          <w:szCs w:val="32"/>
        </w:rPr>
        <w:t>三、主要任务与工作措施</w:t>
      </w:r>
      <w:bookmarkEnd w:id="50"/>
      <w:bookmarkEnd w:id="51"/>
      <w:bookmarkEnd w:id="52"/>
    </w:p>
    <w:p>
      <w:pPr>
        <w:spacing w:line="580" w:lineRule="exact"/>
        <w:ind w:firstLine="640" w:firstLineChars="200"/>
      </w:pPr>
      <w:r>
        <w:rPr>
          <w:rFonts w:hint="eastAsia"/>
        </w:rPr>
        <w:t>“十四五”期间，重点实施七项行动，全面完成学科建设和研究生教育改革任务。</w:t>
      </w:r>
    </w:p>
    <w:p>
      <w:pPr>
        <w:spacing w:line="580" w:lineRule="exact"/>
        <w:ind w:firstLine="640" w:firstLineChars="200"/>
        <w:rPr>
          <w:rFonts w:ascii="楷体" w:hAnsi="楷体" w:eastAsia="楷体" w:cs="楷体"/>
        </w:rPr>
      </w:pPr>
      <w:bookmarkStart w:id="53" w:name="_Toc77754754"/>
      <w:bookmarkStart w:id="54" w:name="_Toc66728799"/>
      <w:bookmarkStart w:id="55" w:name="_Toc58316087"/>
      <w:bookmarkStart w:id="56" w:name="_Hlk97100291"/>
      <w:r>
        <w:rPr>
          <w:rStyle w:val="32"/>
          <w:rFonts w:hint="eastAsia" w:ascii="楷体" w:hAnsi="楷体" w:eastAsia="楷体" w:cs="楷体"/>
          <w:b w:val="0"/>
          <w:bCs w:val="0"/>
        </w:rPr>
        <w:t>（一）学科体系完善与发展行动</w:t>
      </w:r>
      <w:bookmarkEnd w:id="53"/>
      <w:bookmarkEnd w:id="54"/>
      <w:bookmarkEnd w:id="55"/>
      <w:bookmarkEnd w:id="56"/>
    </w:p>
    <w:p>
      <w:pPr>
        <w:spacing w:line="580" w:lineRule="exact"/>
        <w:ind w:firstLine="640" w:firstLineChars="200"/>
      </w:pPr>
      <w:r>
        <w:rPr>
          <w:rFonts w:hint="eastAsia"/>
        </w:rPr>
        <w:t>通过开展学科分类建设，突出特色，强调</w:t>
      </w:r>
      <w:r>
        <w:t>扶优扶需扶新，</w:t>
      </w:r>
      <w:r>
        <w:rPr>
          <w:rFonts w:hint="eastAsia"/>
        </w:rPr>
        <w:t>进一步完善学科体系。</w:t>
      </w:r>
    </w:p>
    <w:p>
      <w:pPr>
        <w:spacing w:line="580" w:lineRule="exact"/>
        <w:ind w:firstLine="640" w:firstLineChars="200"/>
      </w:pPr>
      <w:r>
        <w:rPr>
          <w:rFonts w:hint="eastAsia"/>
        </w:rPr>
        <w:t>学科分类建设通过“择优遴选、目标考核、动态管理”方式，按照“特色学科”“重点学科”“基础学科”等</w:t>
      </w:r>
      <w:r>
        <w:t>3个</w:t>
      </w:r>
      <w:r>
        <w:rPr>
          <w:rFonts w:hint="eastAsia"/>
        </w:rPr>
        <w:t>类别，支持建设“特色学科</w:t>
      </w:r>
      <w:r>
        <w:t>”3</w:t>
      </w:r>
      <w:r>
        <w:rPr>
          <w:rFonts w:hint="eastAsia"/>
        </w:rPr>
        <w:t>—</w:t>
      </w:r>
      <w:r>
        <w:t>6</w:t>
      </w:r>
      <w:r>
        <w:rPr>
          <w:rFonts w:hint="eastAsia"/>
        </w:rPr>
        <w:t>个，</w:t>
      </w:r>
      <w:r>
        <w:t>“</w:t>
      </w:r>
      <w:r>
        <w:rPr>
          <w:rFonts w:hint="eastAsia"/>
        </w:rPr>
        <w:t>重点学科</w:t>
      </w:r>
      <w:r>
        <w:t>”6</w:t>
      </w:r>
      <w:r>
        <w:rPr>
          <w:rFonts w:hint="eastAsia"/>
        </w:rPr>
        <w:t>—</w:t>
      </w:r>
      <w:r>
        <w:t>10个，“</w:t>
      </w:r>
      <w:r>
        <w:rPr>
          <w:rFonts w:hint="eastAsia"/>
        </w:rPr>
        <w:t>基础学科</w:t>
      </w:r>
      <w:r>
        <w:t>”</w:t>
      </w:r>
      <w:r>
        <w:rPr>
          <w:rFonts w:hint="eastAsia"/>
        </w:rPr>
        <w:t>3—5</w:t>
      </w:r>
      <w:r>
        <w:t>个</w:t>
      </w:r>
      <w:r>
        <w:rPr>
          <w:rFonts w:hint="eastAsia"/>
        </w:rPr>
        <w:t>，</w:t>
      </w:r>
      <w:bookmarkStart w:id="57" w:name="_Hlk97100309"/>
      <w:r>
        <w:rPr>
          <w:rFonts w:hint="eastAsia"/>
        </w:rPr>
        <w:t>并以此为基础，进一步凝练</w:t>
      </w:r>
      <w:r>
        <w:t>3</w:t>
      </w:r>
      <w:r>
        <w:rPr>
          <w:rFonts w:hint="eastAsia"/>
        </w:rPr>
        <w:t>—</w:t>
      </w:r>
      <w:r>
        <w:t>5</w:t>
      </w:r>
      <w:r>
        <w:rPr>
          <w:rFonts w:hint="eastAsia"/>
        </w:rPr>
        <w:t>个具有进入国内一流行列潜力的特色学科，加强支持建设。</w:t>
      </w:r>
      <w:bookmarkEnd w:id="57"/>
      <w:r>
        <w:rPr>
          <w:rFonts w:hint="eastAsia"/>
        </w:rPr>
        <w:t>学校对立项学科进行专门经费资助，建设周期一般为</w:t>
      </w:r>
      <w:r>
        <w:t>1</w:t>
      </w:r>
      <w:r>
        <w:rPr>
          <w:rFonts w:hint="eastAsia"/>
        </w:rPr>
        <w:t>—</w:t>
      </w:r>
      <w:r>
        <w:t>3年</w:t>
      </w:r>
      <w:r>
        <w:rPr>
          <w:rFonts w:hint="eastAsia"/>
        </w:rPr>
        <w:t>，按年度开展动态考核评估，进行淘汰与增补。原则上每个学院重点支持建设1—2个特色学科或重点学科或基础学科。</w:t>
      </w:r>
    </w:p>
    <w:p>
      <w:pPr>
        <w:spacing w:line="580" w:lineRule="exact"/>
        <w:ind w:firstLine="640" w:firstLineChars="200"/>
      </w:pPr>
      <w:r>
        <w:rPr>
          <w:rFonts w:hint="eastAsia"/>
        </w:rPr>
        <w:t>特色学科应进一步彰显学校办学特色，努力形成明显的学科优势并对一级二级学科提供强有力的支撑，在全国同类学科中发挥“领跑”作用，在我校“劳动</w:t>
      </w:r>
      <w:r>
        <w:t>+”“</w:t>
      </w:r>
      <w:r>
        <w:rPr>
          <w:rFonts w:hint="eastAsia"/>
        </w:rPr>
        <w:t>工会</w:t>
      </w:r>
      <w:r>
        <w:t>+</w:t>
      </w:r>
      <w:r>
        <w:rPr>
          <w:rFonts w:hint="eastAsia"/>
        </w:rPr>
        <w:t>”学科体系中发挥引领作用，按创新模式推进建设，在学科建设上取得突破。首批特色学科包括劳动关系、劳动教育、工会学等，主要聚焦在二级或三级学科开展建设，围绕服务工会行业、服务</w:t>
      </w:r>
      <w:r>
        <w:t>区域经济社会发展需求</w:t>
      </w:r>
      <w:r>
        <w:rPr>
          <w:rFonts w:hint="eastAsia"/>
        </w:rPr>
        <w:t>，努力产出行业领域广泛认可的学术成果，力争达到省部级及以上一流特色学科建设水平，积极申报并争取获批省部级及以上一流特色学科。</w:t>
      </w:r>
    </w:p>
    <w:p>
      <w:pPr>
        <w:spacing w:line="580" w:lineRule="exact"/>
        <w:ind w:firstLine="608" w:firstLineChars="200"/>
        <w:rPr>
          <w:spacing w:val="-8"/>
        </w:rPr>
      </w:pPr>
      <w:r>
        <w:rPr>
          <w:rFonts w:hint="eastAsia"/>
          <w:spacing w:val="-8"/>
        </w:rPr>
        <w:t>重点学科应形成更加良好的建设基础，要对标硕士学位授权点和博士学位授权单位建设条件，凝练学科研究方向，丰富学科建设成果，按照常规模式对标跟进建设，分批次</w:t>
      </w:r>
      <w:r>
        <w:rPr>
          <w:spacing w:val="-8"/>
        </w:rPr>
        <w:t>达到特色鲜明、实力突出的</w:t>
      </w:r>
      <w:r>
        <w:rPr>
          <w:rFonts w:hint="eastAsia"/>
          <w:spacing w:val="-8"/>
        </w:rPr>
        <w:t>硕士学位授权点水平。重点学科主要聚焦在建设基础良好的</w:t>
      </w:r>
      <w:r>
        <w:t>公共管理、工商管理、新闻传播学、安全科学与工程、应用经济学、法学、</w:t>
      </w:r>
      <w:r>
        <w:rPr>
          <w:rFonts w:hint="eastAsia"/>
        </w:rPr>
        <w:t>社会学</w:t>
      </w:r>
      <w:r>
        <w:t>等一级学科</w:t>
      </w:r>
      <w:r>
        <w:rPr>
          <w:rFonts w:hint="eastAsia"/>
          <w:spacing w:val="-8"/>
        </w:rPr>
        <w:t>或二级学科开展建设。通过在全校范围内遴选一批作为申硕授权学科和申报博士学位立项单位的主要支撑学科进行重点建设，力争获得省部级重点学科。</w:t>
      </w:r>
    </w:p>
    <w:p>
      <w:pPr>
        <w:spacing w:line="580" w:lineRule="exact"/>
        <w:ind w:firstLine="640" w:firstLineChars="200"/>
      </w:pPr>
      <w:r>
        <w:rPr>
          <w:rFonts w:hint="eastAsia"/>
        </w:rPr>
        <w:t>基础学科主要聚焦在为学校整体发展提供支撑的学科上</w:t>
      </w:r>
      <w:r>
        <w:rPr>
          <w:rFonts w:hint="eastAsia"/>
          <w:b/>
        </w:rPr>
        <w:t>，</w:t>
      </w:r>
      <w:r>
        <w:rPr>
          <w:rFonts w:hint="eastAsia"/>
        </w:rPr>
        <w:t xml:space="preserve">全面推进夯实重点，促进学校进一步形成更好的具有支撑性、特色性和交叉性的学科方向构架，进而推动特色学科、重点学科创新发展。 </w:t>
      </w:r>
    </w:p>
    <w:p>
      <w:pPr>
        <w:spacing w:line="580" w:lineRule="exact"/>
        <w:ind w:firstLine="640" w:firstLineChars="200"/>
      </w:pPr>
      <w:r>
        <w:rPr>
          <w:rFonts w:hint="eastAsia"/>
        </w:rPr>
        <w:t>“十四五”期间，进一步加强马克思主义劳动学说、工会理论学科建设，着重开展习近平总书记关于工人阶级和工会工作重要论述、关于劳动和劳动教育的重要论述的理论研究。努力推动把劳动学、工会学作为自主设置二级学科进行建设。</w:t>
      </w:r>
    </w:p>
    <w:p>
      <w:pPr>
        <w:spacing w:before="217" w:beforeLines="50" w:line="500" w:lineRule="exact"/>
        <w:jc w:val="center"/>
        <w:rPr>
          <w:b/>
        </w:rPr>
      </w:pPr>
      <w:r>
        <w:rPr>
          <w:rFonts w:hint="eastAsia"/>
          <w:b/>
        </w:rPr>
        <w:t>表</w:t>
      </w:r>
      <w:r>
        <w:rPr>
          <w:b/>
        </w:rPr>
        <w:t xml:space="preserve">1  </w:t>
      </w:r>
      <w:r>
        <w:rPr>
          <w:rFonts w:hint="eastAsia"/>
          <w:b/>
        </w:rPr>
        <w:t>学科体系建设核心指标</w:t>
      </w:r>
    </w:p>
    <w:tbl>
      <w:tblPr>
        <w:tblStyle w:val="17"/>
        <w:tblW w:w="4847" w:type="pct"/>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396"/>
        <w:gridCol w:w="1275"/>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right"/>
        </w:trPr>
        <w:tc>
          <w:tcPr>
            <w:tcW w:w="2821" w:type="pct"/>
            <w:shd w:val="clear" w:color="auto" w:fill="auto"/>
            <w:vAlign w:val="center"/>
          </w:tcPr>
          <w:p>
            <w:pPr>
              <w:jc w:val="center"/>
              <w:rPr>
                <w:b/>
                <w:sz w:val="24"/>
                <w:szCs w:val="24"/>
              </w:rPr>
            </w:pPr>
            <w:r>
              <w:rPr>
                <w:rFonts w:hint="eastAsia"/>
                <w:b/>
                <w:sz w:val="24"/>
                <w:szCs w:val="24"/>
              </w:rPr>
              <w:t>主要指标</w:t>
            </w:r>
          </w:p>
        </w:tc>
        <w:tc>
          <w:tcPr>
            <w:tcW w:w="795" w:type="pct"/>
            <w:vAlign w:val="center"/>
          </w:tcPr>
          <w:p>
            <w:pPr>
              <w:spacing w:line="360" w:lineRule="exact"/>
              <w:jc w:val="center"/>
              <w:rPr>
                <w:b/>
                <w:sz w:val="24"/>
                <w:szCs w:val="24"/>
              </w:rPr>
            </w:pPr>
            <w:r>
              <w:rPr>
                <w:b/>
                <w:sz w:val="24"/>
                <w:szCs w:val="24"/>
              </w:rPr>
              <w:t>2020</w:t>
            </w:r>
            <w:r>
              <w:rPr>
                <w:rFonts w:hint="eastAsia"/>
                <w:b/>
                <w:sz w:val="24"/>
                <w:szCs w:val="24"/>
              </w:rPr>
              <w:t>年</w:t>
            </w:r>
          </w:p>
          <w:p>
            <w:pPr>
              <w:spacing w:line="360" w:lineRule="exact"/>
              <w:jc w:val="center"/>
              <w:rPr>
                <w:b/>
                <w:sz w:val="24"/>
                <w:szCs w:val="24"/>
              </w:rPr>
            </w:pPr>
            <w:r>
              <w:rPr>
                <w:rFonts w:hint="eastAsia"/>
                <w:b/>
                <w:sz w:val="24"/>
                <w:szCs w:val="24"/>
              </w:rPr>
              <w:t>现状</w:t>
            </w:r>
          </w:p>
        </w:tc>
        <w:tc>
          <w:tcPr>
            <w:tcW w:w="726" w:type="pct"/>
          </w:tcPr>
          <w:p>
            <w:pPr>
              <w:spacing w:line="360" w:lineRule="exact"/>
              <w:jc w:val="center"/>
              <w:rPr>
                <w:b/>
                <w:sz w:val="24"/>
                <w:szCs w:val="24"/>
              </w:rPr>
            </w:pPr>
            <w:r>
              <w:rPr>
                <w:b/>
                <w:sz w:val="24"/>
                <w:szCs w:val="24"/>
              </w:rPr>
              <w:t>2022</w:t>
            </w:r>
            <w:r>
              <w:rPr>
                <w:rFonts w:hint="eastAsia"/>
                <w:b/>
                <w:sz w:val="24"/>
                <w:szCs w:val="24"/>
              </w:rPr>
              <w:t>年</w:t>
            </w:r>
          </w:p>
          <w:p>
            <w:pPr>
              <w:spacing w:line="360" w:lineRule="exact"/>
              <w:jc w:val="center"/>
              <w:rPr>
                <w:b/>
                <w:sz w:val="24"/>
                <w:szCs w:val="24"/>
              </w:rPr>
            </w:pPr>
            <w:r>
              <w:rPr>
                <w:rFonts w:hint="eastAsia"/>
                <w:b/>
                <w:sz w:val="24"/>
                <w:szCs w:val="24"/>
              </w:rPr>
              <w:t>目标值</w:t>
            </w:r>
          </w:p>
        </w:tc>
        <w:tc>
          <w:tcPr>
            <w:tcW w:w="658" w:type="pct"/>
            <w:vAlign w:val="center"/>
          </w:tcPr>
          <w:p>
            <w:pPr>
              <w:spacing w:line="360" w:lineRule="exact"/>
              <w:jc w:val="center"/>
              <w:rPr>
                <w:b/>
                <w:sz w:val="24"/>
                <w:szCs w:val="24"/>
              </w:rPr>
            </w:pPr>
            <w:r>
              <w:rPr>
                <w:b/>
                <w:sz w:val="24"/>
                <w:szCs w:val="24"/>
              </w:rPr>
              <w:t>2025</w:t>
            </w:r>
            <w:r>
              <w:rPr>
                <w:rFonts w:hint="eastAsia"/>
                <w:b/>
                <w:sz w:val="24"/>
                <w:szCs w:val="24"/>
              </w:rPr>
              <w:t>年</w:t>
            </w:r>
          </w:p>
          <w:p>
            <w:pPr>
              <w:spacing w:line="360" w:lineRule="exact"/>
              <w:jc w:val="center"/>
              <w:rPr>
                <w:b/>
                <w:sz w:val="24"/>
                <w:szCs w:val="24"/>
              </w:rPr>
            </w:pPr>
            <w:r>
              <w:rPr>
                <w:rFonts w:hint="eastAsia"/>
                <w:b/>
                <w:sz w:val="24"/>
                <w:szCs w:val="24"/>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right"/>
        </w:trPr>
        <w:tc>
          <w:tcPr>
            <w:tcW w:w="2821" w:type="pct"/>
            <w:shd w:val="clear" w:color="auto" w:fill="auto"/>
            <w:vAlign w:val="center"/>
          </w:tcPr>
          <w:p>
            <w:pPr>
              <w:spacing w:line="560" w:lineRule="exact"/>
              <w:jc w:val="center"/>
              <w:rPr>
                <w:rFonts w:cs="宋体"/>
                <w:sz w:val="24"/>
                <w:szCs w:val="24"/>
              </w:rPr>
            </w:pPr>
            <w:r>
              <w:rPr>
                <w:rFonts w:hint="eastAsia" w:cs="宋体"/>
                <w:sz w:val="24"/>
                <w:szCs w:val="24"/>
              </w:rPr>
              <w:t>学校遴选并重点支持的学科（个）</w:t>
            </w:r>
          </w:p>
        </w:tc>
        <w:tc>
          <w:tcPr>
            <w:tcW w:w="795" w:type="pct"/>
            <w:vAlign w:val="center"/>
          </w:tcPr>
          <w:p>
            <w:pPr>
              <w:spacing w:line="560" w:lineRule="exact"/>
              <w:jc w:val="center"/>
              <w:rPr>
                <w:rFonts w:cs="宋体"/>
                <w:sz w:val="24"/>
                <w:szCs w:val="24"/>
              </w:rPr>
            </w:pPr>
            <w:r>
              <w:rPr>
                <w:rFonts w:cs="宋体"/>
                <w:sz w:val="24"/>
                <w:szCs w:val="24"/>
              </w:rPr>
              <w:t>0</w:t>
            </w:r>
          </w:p>
        </w:tc>
        <w:tc>
          <w:tcPr>
            <w:tcW w:w="726" w:type="pct"/>
            <w:vAlign w:val="center"/>
          </w:tcPr>
          <w:p>
            <w:pPr>
              <w:spacing w:line="560" w:lineRule="exact"/>
              <w:jc w:val="center"/>
              <w:rPr>
                <w:rFonts w:cs="宋体"/>
                <w:sz w:val="24"/>
                <w:szCs w:val="24"/>
              </w:rPr>
            </w:pPr>
            <w:r>
              <w:rPr>
                <w:rFonts w:cs="宋体"/>
                <w:sz w:val="24"/>
                <w:szCs w:val="24"/>
              </w:rPr>
              <w:t>7-8</w:t>
            </w:r>
          </w:p>
        </w:tc>
        <w:tc>
          <w:tcPr>
            <w:tcW w:w="658" w:type="pct"/>
            <w:vAlign w:val="center"/>
          </w:tcPr>
          <w:p>
            <w:pPr>
              <w:spacing w:line="560" w:lineRule="exact"/>
              <w:jc w:val="center"/>
              <w:rPr>
                <w:rFonts w:cs="宋体"/>
                <w:sz w:val="24"/>
                <w:szCs w:val="24"/>
              </w:rPr>
            </w:pPr>
            <w:r>
              <w:rPr>
                <w:rFonts w:cs="宋体"/>
                <w:sz w:val="24"/>
                <w:szCs w:val="24"/>
              </w:rPr>
              <w:t>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right"/>
        </w:trPr>
        <w:tc>
          <w:tcPr>
            <w:tcW w:w="2821" w:type="pct"/>
            <w:shd w:val="clear" w:color="auto" w:fill="auto"/>
            <w:vAlign w:val="center"/>
          </w:tcPr>
          <w:p>
            <w:pPr>
              <w:spacing w:line="560" w:lineRule="exact"/>
              <w:jc w:val="center"/>
              <w:rPr>
                <w:rFonts w:cs="宋体"/>
                <w:sz w:val="24"/>
                <w:szCs w:val="24"/>
              </w:rPr>
            </w:pPr>
            <w:r>
              <w:rPr>
                <w:rFonts w:hint="eastAsia" w:cs="宋体"/>
                <w:sz w:val="24"/>
                <w:szCs w:val="24"/>
              </w:rPr>
              <w:t>新增（培育）学科（个）</w:t>
            </w:r>
          </w:p>
        </w:tc>
        <w:tc>
          <w:tcPr>
            <w:tcW w:w="795" w:type="pct"/>
            <w:vAlign w:val="center"/>
          </w:tcPr>
          <w:p>
            <w:pPr>
              <w:spacing w:line="560" w:lineRule="exact"/>
              <w:jc w:val="center"/>
              <w:rPr>
                <w:rFonts w:cs="宋体"/>
                <w:sz w:val="24"/>
                <w:szCs w:val="24"/>
              </w:rPr>
            </w:pPr>
            <w:r>
              <w:rPr>
                <w:rFonts w:cs="宋体"/>
                <w:sz w:val="24"/>
                <w:szCs w:val="24"/>
              </w:rPr>
              <w:t>2</w:t>
            </w:r>
          </w:p>
        </w:tc>
        <w:tc>
          <w:tcPr>
            <w:tcW w:w="726" w:type="pct"/>
            <w:vAlign w:val="center"/>
          </w:tcPr>
          <w:p>
            <w:pPr>
              <w:spacing w:line="560" w:lineRule="exact"/>
              <w:jc w:val="center"/>
              <w:rPr>
                <w:rFonts w:cs="宋体"/>
                <w:sz w:val="24"/>
                <w:szCs w:val="24"/>
              </w:rPr>
            </w:pPr>
            <w:r>
              <w:rPr>
                <w:rFonts w:cs="宋体"/>
                <w:sz w:val="24"/>
                <w:szCs w:val="24"/>
              </w:rPr>
              <w:t>4</w:t>
            </w:r>
          </w:p>
        </w:tc>
        <w:tc>
          <w:tcPr>
            <w:tcW w:w="658" w:type="pct"/>
            <w:vAlign w:val="center"/>
          </w:tcPr>
          <w:p>
            <w:pPr>
              <w:spacing w:line="560" w:lineRule="exact"/>
              <w:jc w:val="center"/>
              <w:rPr>
                <w:rFonts w:cs="宋体"/>
                <w:sz w:val="24"/>
                <w:szCs w:val="24"/>
              </w:rPr>
            </w:pPr>
            <w:r>
              <w:rPr>
                <w:rFonts w:cs="宋体"/>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right"/>
        </w:trPr>
        <w:tc>
          <w:tcPr>
            <w:tcW w:w="2821" w:type="pct"/>
            <w:shd w:val="clear" w:color="auto" w:fill="auto"/>
          </w:tcPr>
          <w:p>
            <w:pPr>
              <w:spacing w:line="560" w:lineRule="exact"/>
              <w:jc w:val="center"/>
              <w:rPr>
                <w:rFonts w:cs="宋体"/>
                <w:sz w:val="24"/>
                <w:szCs w:val="24"/>
              </w:rPr>
            </w:pPr>
            <w:r>
              <w:rPr>
                <w:rFonts w:hint="eastAsia" w:cs="宋体"/>
                <w:sz w:val="24"/>
                <w:szCs w:val="24"/>
              </w:rPr>
              <w:t>获批省部级及以上重点学科（个）</w:t>
            </w:r>
          </w:p>
        </w:tc>
        <w:tc>
          <w:tcPr>
            <w:tcW w:w="795" w:type="pct"/>
          </w:tcPr>
          <w:p>
            <w:pPr>
              <w:spacing w:line="560" w:lineRule="exact"/>
              <w:jc w:val="center"/>
              <w:rPr>
                <w:rFonts w:cs="宋体"/>
                <w:sz w:val="24"/>
                <w:szCs w:val="24"/>
              </w:rPr>
            </w:pPr>
            <w:r>
              <w:rPr>
                <w:rFonts w:cs="宋体"/>
                <w:sz w:val="24"/>
                <w:szCs w:val="24"/>
              </w:rPr>
              <w:t>0</w:t>
            </w:r>
          </w:p>
        </w:tc>
        <w:tc>
          <w:tcPr>
            <w:tcW w:w="726" w:type="pct"/>
          </w:tcPr>
          <w:p>
            <w:pPr>
              <w:spacing w:line="560" w:lineRule="exact"/>
              <w:jc w:val="center"/>
              <w:rPr>
                <w:rFonts w:cs="宋体"/>
                <w:sz w:val="24"/>
                <w:szCs w:val="24"/>
              </w:rPr>
            </w:pPr>
            <w:r>
              <w:rPr>
                <w:rFonts w:cs="宋体"/>
                <w:sz w:val="24"/>
                <w:szCs w:val="24"/>
              </w:rPr>
              <w:t>0-1</w:t>
            </w:r>
          </w:p>
        </w:tc>
        <w:tc>
          <w:tcPr>
            <w:tcW w:w="658" w:type="pct"/>
          </w:tcPr>
          <w:p>
            <w:pPr>
              <w:spacing w:line="560" w:lineRule="exact"/>
              <w:jc w:val="center"/>
              <w:rPr>
                <w:rFonts w:cs="宋体"/>
                <w:sz w:val="24"/>
                <w:szCs w:val="24"/>
              </w:rPr>
            </w:pPr>
            <w:r>
              <w:rPr>
                <w:rFonts w:cs="宋体"/>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right"/>
        </w:trPr>
        <w:tc>
          <w:tcPr>
            <w:tcW w:w="2821" w:type="pct"/>
            <w:shd w:val="clear" w:color="auto" w:fill="auto"/>
          </w:tcPr>
          <w:p>
            <w:pPr>
              <w:spacing w:line="560" w:lineRule="exact"/>
              <w:jc w:val="center"/>
              <w:rPr>
                <w:rFonts w:cs="宋体"/>
                <w:sz w:val="24"/>
                <w:szCs w:val="24"/>
              </w:rPr>
            </w:pPr>
            <w:r>
              <w:rPr>
                <w:rFonts w:hint="eastAsia" w:cs="宋体"/>
                <w:sz w:val="24"/>
                <w:szCs w:val="24"/>
              </w:rPr>
              <w:t>获批国家一流本科专业（建设点）（个）</w:t>
            </w:r>
          </w:p>
        </w:tc>
        <w:tc>
          <w:tcPr>
            <w:tcW w:w="795" w:type="pct"/>
          </w:tcPr>
          <w:p>
            <w:pPr>
              <w:spacing w:line="560" w:lineRule="exact"/>
              <w:jc w:val="center"/>
              <w:rPr>
                <w:rFonts w:cs="宋体"/>
                <w:sz w:val="24"/>
                <w:szCs w:val="24"/>
              </w:rPr>
            </w:pPr>
            <w:r>
              <w:rPr>
                <w:rFonts w:cs="宋体"/>
                <w:sz w:val="24"/>
                <w:szCs w:val="24"/>
              </w:rPr>
              <w:t>3</w:t>
            </w:r>
          </w:p>
        </w:tc>
        <w:tc>
          <w:tcPr>
            <w:tcW w:w="726" w:type="pct"/>
          </w:tcPr>
          <w:p>
            <w:pPr>
              <w:spacing w:line="560" w:lineRule="exact"/>
              <w:jc w:val="center"/>
              <w:rPr>
                <w:rFonts w:cs="宋体"/>
                <w:sz w:val="24"/>
                <w:szCs w:val="24"/>
              </w:rPr>
            </w:pPr>
            <w:r>
              <w:rPr>
                <w:rFonts w:cs="宋体"/>
                <w:sz w:val="24"/>
                <w:szCs w:val="24"/>
              </w:rPr>
              <w:t>4-5</w:t>
            </w:r>
          </w:p>
        </w:tc>
        <w:tc>
          <w:tcPr>
            <w:tcW w:w="658" w:type="pct"/>
          </w:tcPr>
          <w:p>
            <w:pPr>
              <w:spacing w:line="560" w:lineRule="exact"/>
              <w:jc w:val="center"/>
              <w:rPr>
                <w:rFonts w:cs="宋体"/>
                <w:sz w:val="24"/>
                <w:szCs w:val="24"/>
              </w:rPr>
            </w:pPr>
            <w:r>
              <w:rPr>
                <w:rFonts w:cs="宋体"/>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right"/>
        </w:trPr>
        <w:tc>
          <w:tcPr>
            <w:tcW w:w="2821" w:type="pct"/>
            <w:shd w:val="clear" w:color="auto" w:fill="auto"/>
          </w:tcPr>
          <w:p>
            <w:pPr>
              <w:spacing w:line="560" w:lineRule="exact"/>
              <w:jc w:val="center"/>
              <w:rPr>
                <w:rFonts w:cs="宋体"/>
                <w:sz w:val="24"/>
                <w:szCs w:val="24"/>
              </w:rPr>
            </w:pPr>
            <w:r>
              <w:rPr>
                <w:rFonts w:hint="eastAsia" w:cs="宋体"/>
                <w:sz w:val="24"/>
                <w:szCs w:val="24"/>
              </w:rPr>
              <w:t>获批省部级一流本科专业</w:t>
            </w:r>
            <w:r>
              <w:rPr>
                <w:rFonts w:cs="宋体"/>
                <w:sz w:val="24"/>
                <w:szCs w:val="24"/>
              </w:rPr>
              <w:t>(建设点)</w:t>
            </w:r>
            <w:r>
              <w:rPr>
                <w:rFonts w:hint="eastAsia" w:cs="宋体"/>
                <w:sz w:val="24"/>
                <w:szCs w:val="24"/>
              </w:rPr>
              <w:t>（个）</w:t>
            </w:r>
          </w:p>
        </w:tc>
        <w:tc>
          <w:tcPr>
            <w:tcW w:w="795" w:type="pct"/>
          </w:tcPr>
          <w:p>
            <w:pPr>
              <w:spacing w:line="560" w:lineRule="exact"/>
              <w:jc w:val="center"/>
              <w:rPr>
                <w:rFonts w:cs="宋体"/>
                <w:sz w:val="24"/>
                <w:szCs w:val="24"/>
              </w:rPr>
            </w:pPr>
            <w:r>
              <w:rPr>
                <w:rFonts w:cs="宋体"/>
                <w:sz w:val="24"/>
                <w:szCs w:val="24"/>
              </w:rPr>
              <w:t>2</w:t>
            </w:r>
          </w:p>
        </w:tc>
        <w:tc>
          <w:tcPr>
            <w:tcW w:w="726" w:type="pct"/>
          </w:tcPr>
          <w:p>
            <w:pPr>
              <w:spacing w:line="560" w:lineRule="exact"/>
              <w:jc w:val="center"/>
              <w:rPr>
                <w:rFonts w:cs="宋体"/>
                <w:sz w:val="24"/>
                <w:szCs w:val="24"/>
              </w:rPr>
            </w:pPr>
            <w:r>
              <w:rPr>
                <w:rFonts w:cs="宋体"/>
                <w:sz w:val="24"/>
                <w:szCs w:val="24"/>
              </w:rPr>
              <w:t>2-3</w:t>
            </w:r>
          </w:p>
        </w:tc>
        <w:tc>
          <w:tcPr>
            <w:tcW w:w="658" w:type="pct"/>
          </w:tcPr>
          <w:p>
            <w:pPr>
              <w:spacing w:line="560" w:lineRule="exact"/>
              <w:jc w:val="center"/>
              <w:rPr>
                <w:rFonts w:cs="宋体"/>
                <w:sz w:val="24"/>
                <w:szCs w:val="24"/>
              </w:rPr>
            </w:pPr>
            <w:r>
              <w:rPr>
                <w:rFonts w:cs="宋体"/>
                <w:sz w:val="24"/>
                <w:szCs w:val="24"/>
              </w:rPr>
              <w:t>3-5</w:t>
            </w:r>
          </w:p>
        </w:tc>
      </w:tr>
    </w:tbl>
    <w:p>
      <w:pPr>
        <w:spacing w:before="217" w:beforeLines="50" w:line="600" w:lineRule="exact"/>
        <w:ind w:firstLine="640" w:firstLineChars="200"/>
        <w:rPr>
          <w:rStyle w:val="32"/>
          <w:rFonts w:ascii="楷体" w:hAnsi="楷体" w:eastAsia="楷体" w:cs="楷体"/>
          <w:b w:val="0"/>
          <w:bCs w:val="0"/>
        </w:rPr>
      </w:pPr>
      <w:bookmarkStart w:id="58" w:name="_Toc66728800"/>
      <w:bookmarkStart w:id="59" w:name="_Toc58316088"/>
      <w:bookmarkStart w:id="60" w:name="_Toc77754755"/>
      <w:bookmarkStart w:id="61" w:name="_Hlk61955516"/>
      <w:r>
        <w:rPr>
          <w:rStyle w:val="32"/>
          <w:rFonts w:hint="eastAsia" w:ascii="楷体" w:hAnsi="楷体" w:eastAsia="楷体" w:cs="楷体"/>
          <w:b w:val="0"/>
          <w:bCs w:val="0"/>
        </w:rPr>
        <w:t>（二）硕士学位授权点扩盘提质行动</w:t>
      </w:r>
      <w:bookmarkEnd w:id="58"/>
      <w:bookmarkEnd w:id="59"/>
      <w:bookmarkEnd w:id="60"/>
    </w:p>
    <w:bookmarkEnd w:id="61"/>
    <w:p>
      <w:pPr>
        <w:spacing w:line="600" w:lineRule="exact"/>
        <w:ind w:firstLine="640" w:firstLineChars="200"/>
      </w:pPr>
      <w:r>
        <w:rPr>
          <w:rFonts w:hint="eastAsia"/>
        </w:rPr>
        <w:t>积极抢抓发展机遇，强化学科建设氛围，进一步优化硕士学位授权点布局。</w:t>
      </w:r>
    </w:p>
    <w:p>
      <w:pPr>
        <w:spacing w:line="600" w:lineRule="exact"/>
        <w:ind w:firstLine="616" w:firstLineChars="200"/>
        <w:rPr>
          <w:spacing w:val="-6"/>
        </w:rPr>
      </w:pPr>
      <w:r>
        <w:rPr>
          <w:rFonts w:hint="eastAsia"/>
          <w:spacing w:val="-6"/>
        </w:rPr>
        <w:t>学科布局以发展专业学位为基础，探索发展学术型研究生教育。对照</w:t>
      </w:r>
      <w:r>
        <w:rPr>
          <w:spacing w:val="-6"/>
        </w:rPr>
        <w:t>各学科申硕（博）条件或国内同型高水平大学相关指标，夯实基础、补齐短板</w:t>
      </w:r>
      <w:r>
        <w:rPr>
          <w:rFonts w:hint="eastAsia"/>
          <w:spacing w:val="-6"/>
        </w:rPr>
        <w:t>，重点推动</w:t>
      </w:r>
      <w:r>
        <w:rPr>
          <w:spacing w:val="-6"/>
        </w:rPr>
        <w:t>公共管理</w:t>
      </w:r>
      <w:r>
        <w:rPr>
          <w:rFonts w:hint="eastAsia"/>
          <w:spacing w:val="-6"/>
        </w:rPr>
        <w:t>、</w:t>
      </w:r>
      <w:r>
        <w:rPr>
          <w:spacing w:val="-6"/>
        </w:rPr>
        <w:t>工商管理</w:t>
      </w:r>
      <w:r>
        <w:rPr>
          <w:rFonts w:hint="eastAsia"/>
          <w:spacing w:val="-6"/>
        </w:rPr>
        <w:t>、马克思主义理论、</w:t>
      </w:r>
      <w:r>
        <w:rPr>
          <w:spacing w:val="-6"/>
        </w:rPr>
        <w:t>安全科学与工程等一级学科</w:t>
      </w:r>
      <w:r>
        <w:rPr>
          <w:rFonts w:hint="eastAsia"/>
          <w:spacing w:val="-6"/>
        </w:rPr>
        <w:t>硕士学位授权点</w:t>
      </w:r>
      <w:r>
        <w:rPr>
          <w:spacing w:val="-6"/>
        </w:rPr>
        <w:t>和法律</w:t>
      </w:r>
      <w:r>
        <w:rPr>
          <w:rFonts w:hint="eastAsia"/>
          <w:spacing w:val="-6"/>
        </w:rPr>
        <w:t>硕士、</w:t>
      </w:r>
      <w:r>
        <w:rPr>
          <w:spacing w:val="-6"/>
        </w:rPr>
        <w:t>会计</w:t>
      </w:r>
      <w:r>
        <w:rPr>
          <w:rFonts w:hint="eastAsia"/>
          <w:spacing w:val="-6"/>
        </w:rPr>
        <w:t>硕士、汉语国际教育硕士</w:t>
      </w:r>
      <w:r>
        <w:rPr>
          <w:spacing w:val="-6"/>
        </w:rPr>
        <w:t>等</w:t>
      </w:r>
      <w:r>
        <w:rPr>
          <w:rFonts w:hint="eastAsia"/>
          <w:spacing w:val="-6"/>
        </w:rPr>
        <w:t>专业硕士学位授权点建设，分批次推动</w:t>
      </w:r>
      <w:r>
        <w:rPr>
          <w:spacing w:val="-6"/>
        </w:rPr>
        <w:t>符合条件的</w:t>
      </w:r>
      <w:r>
        <w:rPr>
          <w:rFonts w:hint="eastAsia"/>
          <w:spacing w:val="-6"/>
        </w:rPr>
        <w:t>学科</w:t>
      </w:r>
      <w:r>
        <w:rPr>
          <w:spacing w:val="-6"/>
        </w:rPr>
        <w:t>专业</w:t>
      </w:r>
      <w:r>
        <w:rPr>
          <w:rFonts w:hint="eastAsia"/>
          <w:spacing w:val="-6"/>
        </w:rPr>
        <w:t>按教育部学位授权审核工作要求</w:t>
      </w:r>
      <w:r>
        <w:rPr>
          <w:spacing w:val="-6"/>
        </w:rPr>
        <w:t>开展申报</w:t>
      </w:r>
      <w:r>
        <w:rPr>
          <w:rFonts w:hint="eastAsia"/>
          <w:spacing w:val="-6"/>
        </w:rPr>
        <w:t>。劳动经济学、</w:t>
      </w:r>
      <w:r>
        <w:rPr>
          <w:spacing w:val="-6"/>
        </w:rPr>
        <w:t>计算机科学与技术</w:t>
      </w:r>
      <w:r>
        <w:rPr>
          <w:rFonts w:hint="eastAsia"/>
          <w:spacing w:val="-6"/>
        </w:rPr>
        <w:t>等特色</w:t>
      </w:r>
      <w:r>
        <w:rPr>
          <w:spacing w:val="-6"/>
        </w:rPr>
        <w:t>学科或基础学科</w:t>
      </w:r>
      <w:r>
        <w:rPr>
          <w:rFonts w:hint="eastAsia"/>
          <w:spacing w:val="-6"/>
        </w:rPr>
        <w:t>应</w:t>
      </w:r>
      <w:r>
        <w:rPr>
          <w:spacing w:val="-6"/>
        </w:rPr>
        <w:t>完成核心基础指标建设</w:t>
      </w:r>
      <w:r>
        <w:rPr>
          <w:rFonts w:hint="eastAsia"/>
          <w:spacing w:val="-6"/>
        </w:rPr>
        <w:t>。</w:t>
      </w:r>
      <w:r>
        <w:rPr>
          <w:spacing w:val="-6"/>
        </w:rPr>
        <w:t>积极开展应急</w:t>
      </w:r>
      <w:r>
        <w:rPr>
          <w:rFonts w:hint="eastAsia"/>
          <w:spacing w:val="-6"/>
        </w:rPr>
        <w:t>技术与</w:t>
      </w:r>
      <w:r>
        <w:rPr>
          <w:spacing w:val="-6"/>
        </w:rPr>
        <w:t>管理申报与建设</w:t>
      </w:r>
      <w:r>
        <w:rPr>
          <w:rFonts w:hint="eastAsia"/>
          <w:spacing w:val="-6"/>
        </w:rPr>
        <w:t>，推动开办劳模研究生班</w:t>
      </w:r>
      <w:r>
        <w:rPr>
          <w:spacing w:val="-6"/>
        </w:rPr>
        <w:t>，</w:t>
      </w:r>
      <w:r>
        <w:rPr>
          <w:rFonts w:hint="eastAsia"/>
          <w:bCs/>
          <w:spacing w:val="-6"/>
        </w:rPr>
        <w:t>积极</w:t>
      </w:r>
      <w:r>
        <w:rPr>
          <w:bCs/>
          <w:spacing w:val="-6"/>
        </w:rPr>
        <w:t>与其</w:t>
      </w:r>
      <w:r>
        <w:rPr>
          <w:rFonts w:hint="eastAsia"/>
          <w:bCs/>
          <w:spacing w:val="-6"/>
        </w:rPr>
        <w:t>他高校院所联合培养博士研究生</w:t>
      </w:r>
      <w:r>
        <w:rPr>
          <w:rFonts w:hint="eastAsia"/>
          <w:spacing w:val="-6"/>
        </w:rPr>
        <w:t>。</w:t>
      </w:r>
    </w:p>
    <w:p>
      <w:pPr>
        <w:spacing w:line="600" w:lineRule="exact"/>
        <w:ind w:firstLine="640" w:firstLineChars="200"/>
        <w:rPr>
          <w:bCs/>
        </w:rPr>
      </w:pPr>
      <w:r>
        <w:rPr>
          <w:rFonts w:hint="eastAsia"/>
          <w:bCs/>
        </w:rPr>
        <w:t>对“十四五”期间获批硕士授权点的学科，制定专门政策单独支持，努力提升人才培养质量。根据实际情况组织参加相关学科专业评估，以评促建，推动学科水平上台阶。</w:t>
      </w:r>
    </w:p>
    <w:p>
      <w:pPr>
        <w:spacing w:before="217" w:beforeLines="50" w:line="500" w:lineRule="exact"/>
        <w:jc w:val="center"/>
        <w:rPr>
          <w:b/>
        </w:rPr>
      </w:pPr>
      <w:r>
        <w:rPr>
          <w:rFonts w:hint="eastAsia"/>
          <w:b/>
        </w:rPr>
        <w:t>表</w:t>
      </w:r>
      <w:r>
        <w:rPr>
          <w:b/>
        </w:rPr>
        <w:t xml:space="preserve">2  </w:t>
      </w:r>
      <w:r>
        <w:rPr>
          <w:rFonts w:hint="eastAsia"/>
          <w:b/>
        </w:rPr>
        <w:t>硕士学位授权点建设核心指标</w:t>
      </w:r>
    </w:p>
    <w:tbl>
      <w:tblPr>
        <w:tblStyle w:val="30"/>
        <w:tblW w:w="85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1134"/>
        <w:gridCol w:w="2230"/>
        <w:gridCol w:w="2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23" w:type="dxa"/>
            <w:vAlign w:val="center"/>
          </w:tcPr>
          <w:p>
            <w:pPr>
              <w:spacing w:line="360" w:lineRule="atLeast"/>
              <w:jc w:val="center"/>
              <w:rPr>
                <w:b/>
                <w:sz w:val="24"/>
                <w:szCs w:val="24"/>
              </w:rPr>
            </w:pPr>
            <w:r>
              <w:rPr>
                <w:rFonts w:hint="eastAsia"/>
                <w:b/>
                <w:sz w:val="24"/>
                <w:szCs w:val="24"/>
              </w:rPr>
              <w:t>主要指标</w:t>
            </w:r>
          </w:p>
        </w:tc>
        <w:tc>
          <w:tcPr>
            <w:tcW w:w="1134" w:type="dxa"/>
            <w:vAlign w:val="center"/>
          </w:tcPr>
          <w:p>
            <w:pPr>
              <w:spacing w:line="360" w:lineRule="atLeast"/>
              <w:jc w:val="center"/>
              <w:rPr>
                <w:b/>
                <w:sz w:val="24"/>
                <w:szCs w:val="24"/>
              </w:rPr>
            </w:pPr>
            <w:r>
              <w:rPr>
                <w:b/>
                <w:sz w:val="24"/>
                <w:szCs w:val="24"/>
              </w:rPr>
              <w:t>2020</w:t>
            </w:r>
            <w:r>
              <w:rPr>
                <w:rFonts w:hint="eastAsia"/>
                <w:b/>
                <w:sz w:val="24"/>
                <w:szCs w:val="24"/>
              </w:rPr>
              <w:t>年</w:t>
            </w:r>
          </w:p>
          <w:p>
            <w:pPr>
              <w:spacing w:line="360" w:lineRule="atLeast"/>
              <w:jc w:val="center"/>
              <w:rPr>
                <w:b/>
                <w:sz w:val="24"/>
                <w:szCs w:val="24"/>
              </w:rPr>
            </w:pPr>
            <w:r>
              <w:rPr>
                <w:rFonts w:hint="eastAsia"/>
                <w:b/>
                <w:sz w:val="24"/>
                <w:szCs w:val="24"/>
              </w:rPr>
              <w:t>现状</w:t>
            </w:r>
          </w:p>
        </w:tc>
        <w:tc>
          <w:tcPr>
            <w:tcW w:w="2230" w:type="dxa"/>
            <w:vAlign w:val="center"/>
          </w:tcPr>
          <w:p>
            <w:pPr>
              <w:spacing w:line="360" w:lineRule="atLeast"/>
              <w:jc w:val="center"/>
              <w:rPr>
                <w:b/>
                <w:sz w:val="24"/>
                <w:szCs w:val="24"/>
              </w:rPr>
            </w:pPr>
            <w:r>
              <w:rPr>
                <w:b/>
                <w:sz w:val="24"/>
                <w:szCs w:val="24"/>
              </w:rPr>
              <w:t>2022</w:t>
            </w:r>
            <w:r>
              <w:rPr>
                <w:rFonts w:hint="eastAsia"/>
                <w:b/>
                <w:sz w:val="24"/>
                <w:szCs w:val="24"/>
              </w:rPr>
              <w:t>年</w:t>
            </w:r>
          </w:p>
          <w:p>
            <w:pPr>
              <w:spacing w:line="360" w:lineRule="atLeast"/>
              <w:jc w:val="center"/>
              <w:rPr>
                <w:b/>
                <w:sz w:val="24"/>
                <w:szCs w:val="24"/>
              </w:rPr>
            </w:pPr>
            <w:r>
              <w:rPr>
                <w:rFonts w:hint="eastAsia"/>
                <w:b/>
                <w:sz w:val="24"/>
                <w:szCs w:val="24"/>
              </w:rPr>
              <w:t>目标值</w:t>
            </w:r>
          </w:p>
        </w:tc>
        <w:tc>
          <w:tcPr>
            <w:tcW w:w="2903" w:type="dxa"/>
            <w:vAlign w:val="center"/>
          </w:tcPr>
          <w:p>
            <w:pPr>
              <w:spacing w:line="360" w:lineRule="atLeast"/>
              <w:jc w:val="center"/>
              <w:rPr>
                <w:b/>
                <w:sz w:val="24"/>
                <w:szCs w:val="24"/>
              </w:rPr>
            </w:pPr>
            <w:r>
              <w:rPr>
                <w:b/>
                <w:sz w:val="24"/>
                <w:szCs w:val="24"/>
              </w:rPr>
              <w:t>2025</w:t>
            </w:r>
            <w:r>
              <w:rPr>
                <w:rFonts w:hint="eastAsia"/>
                <w:b/>
                <w:sz w:val="24"/>
                <w:szCs w:val="24"/>
              </w:rPr>
              <w:t>年</w:t>
            </w:r>
          </w:p>
          <w:p>
            <w:pPr>
              <w:spacing w:line="360" w:lineRule="atLeast"/>
              <w:jc w:val="center"/>
              <w:rPr>
                <w:b/>
                <w:sz w:val="24"/>
                <w:szCs w:val="24"/>
              </w:rPr>
            </w:pPr>
            <w:r>
              <w:rPr>
                <w:rFonts w:hint="eastAsia" w:cs="宋体"/>
                <w:b/>
                <w:bCs/>
                <w:sz w:val="24"/>
                <w:szCs w:val="24"/>
              </w:rPr>
              <w:t>目标</w:t>
            </w:r>
            <w:r>
              <w:rPr>
                <w:rFonts w:hint="eastAsia"/>
                <w:b/>
                <w:sz w:val="24"/>
                <w:szCs w:val="24"/>
              </w:rPr>
              <w:t>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pPr>
              <w:spacing w:line="400" w:lineRule="exact"/>
              <w:jc w:val="center"/>
              <w:rPr>
                <w:spacing w:val="-12"/>
                <w:sz w:val="24"/>
                <w:szCs w:val="24"/>
              </w:rPr>
            </w:pPr>
            <w:r>
              <w:rPr>
                <w:rFonts w:hint="eastAsia"/>
                <w:spacing w:val="-12"/>
                <w:sz w:val="24"/>
                <w:szCs w:val="24"/>
              </w:rPr>
              <w:t>申请获得一级学科硕士学位授权点</w:t>
            </w:r>
          </w:p>
        </w:tc>
        <w:tc>
          <w:tcPr>
            <w:tcW w:w="1134" w:type="dxa"/>
            <w:vAlign w:val="center"/>
          </w:tcPr>
          <w:p>
            <w:pPr>
              <w:spacing w:line="360" w:lineRule="exact"/>
              <w:jc w:val="center"/>
              <w:rPr>
                <w:sz w:val="24"/>
                <w:szCs w:val="24"/>
              </w:rPr>
            </w:pPr>
            <w:r>
              <w:rPr>
                <w:sz w:val="24"/>
                <w:szCs w:val="24"/>
              </w:rPr>
              <w:t>0</w:t>
            </w:r>
          </w:p>
        </w:tc>
        <w:tc>
          <w:tcPr>
            <w:tcW w:w="2230" w:type="dxa"/>
            <w:vAlign w:val="center"/>
          </w:tcPr>
          <w:p>
            <w:pPr>
              <w:spacing w:line="460" w:lineRule="exact"/>
              <w:jc w:val="center"/>
              <w:rPr>
                <w:sz w:val="24"/>
                <w:szCs w:val="24"/>
              </w:rPr>
            </w:pPr>
            <w:r>
              <w:rPr>
                <w:sz w:val="24"/>
                <w:szCs w:val="24"/>
              </w:rPr>
              <w:t>1</w:t>
            </w:r>
          </w:p>
          <w:p>
            <w:pPr>
              <w:spacing w:line="460" w:lineRule="exact"/>
              <w:jc w:val="center"/>
              <w:rPr>
                <w:sz w:val="24"/>
                <w:szCs w:val="24"/>
              </w:rPr>
            </w:pPr>
            <w:r>
              <w:rPr>
                <w:rFonts w:hint="eastAsia"/>
                <w:sz w:val="24"/>
                <w:szCs w:val="24"/>
              </w:rPr>
              <w:t>（新增满足条件）</w:t>
            </w:r>
          </w:p>
        </w:tc>
        <w:tc>
          <w:tcPr>
            <w:tcW w:w="2903" w:type="dxa"/>
            <w:vAlign w:val="center"/>
          </w:tcPr>
          <w:p>
            <w:pPr>
              <w:spacing w:line="460" w:lineRule="exact"/>
              <w:jc w:val="center"/>
              <w:rPr>
                <w:sz w:val="24"/>
                <w:szCs w:val="24"/>
              </w:rPr>
            </w:pPr>
            <w:r>
              <w:rPr>
                <w:sz w:val="24"/>
                <w:szCs w:val="24"/>
              </w:rPr>
              <w:t>1-2</w:t>
            </w:r>
          </w:p>
          <w:p>
            <w:pPr>
              <w:spacing w:line="460" w:lineRule="exact"/>
              <w:jc w:val="center"/>
              <w:rPr>
                <w:sz w:val="24"/>
                <w:szCs w:val="24"/>
              </w:rPr>
            </w:pPr>
            <w:r>
              <w:rPr>
                <w:rFonts w:hint="eastAsia"/>
                <w:sz w:val="24"/>
                <w:szCs w:val="24"/>
              </w:rPr>
              <w:t>（获得</w:t>
            </w:r>
            <w:r>
              <w:rPr>
                <w:sz w:val="24"/>
                <w:szCs w:val="24"/>
              </w:rPr>
              <w:t>1</w:t>
            </w:r>
            <w:r>
              <w:rPr>
                <w:rFonts w:hint="eastAsia"/>
                <w:sz w:val="24"/>
                <w:szCs w:val="24"/>
              </w:rPr>
              <w:t>个授权点</w:t>
            </w:r>
          </w:p>
          <w:p>
            <w:pPr>
              <w:spacing w:line="460" w:lineRule="exact"/>
              <w:jc w:val="center"/>
              <w:rPr>
                <w:sz w:val="24"/>
                <w:szCs w:val="24"/>
              </w:rPr>
            </w:pPr>
            <w:r>
              <w:rPr>
                <w:rFonts w:hint="eastAsia"/>
                <w:sz w:val="24"/>
                <w:szCs w:val="24"/>
              </w:rPr>
              <w:t>新增</w:t>
            </w:r>
            <w:r>
              <w:rPr>
                <w:sz w:val="24"/>
                <w:szCs w:val="24"/>
              </w:rPr>
              <w:t>1</w:t>
            </w:r>
            <w:r>
              <w:rPr>
                <w:rFonts w:hint="eastAsia"/>
                <w:sz w:val="24"/>
                <w:szCs w:val="24"/>
              </w:rPr>
              <w:t>个点满足条件）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323" w:type="dxa"/>
            <w:vAlign w:val="center"/>
          </w:tcPr>
          <w:p>
            <w:pPr>
              <w:spacing w:line="400" w:lineRule="exact"/>
              <w:jc w:val="center"/>
              <w:rPr>
                <w:spacing w:val="-18"/>
                <w:sz w:val="24"/>
                <w:szCs w:val="24"/>
              </w:rPr>
            </w:pPr>
            <w:r>
              <w:rPr>
                <w:rFonts w:hint="eastAsia"/>
                <w:spacing w:val="-18"/>
                <w:sz w:val="24"/>
                <w:szCs w:val="24"/>
              </w:rPr>
              <w:t>申请获得硕士专业学位授权点</w:t>
            </w:r>
          </w:p>
        </w:tc>
        <w:tc>
          <w:tcPr>
            <w:tcW w:w="1134" w:type="dxa"/>
            <w:vAlign w:val="center"/>
          </w:tcPr>
          <w:p>
            <w:pPr>
              <w:spacing w:line="340" w:lineRule="exact"/>
              <w:jc w:val="center"/>
              <w:rPr>
                <w:sz w:val="24"/>
                <w:szCs w:val="24"/>
              </w:rPr>
            </w:pPr>
            <w:r>
              <w:rPr>
                <w:sz w:val="24"/>
                <w:szCs w:val="24"/>
              </w:rPr>
              <w:t>3</w:t>
            </w:r>
          </w:p>
          <w:p>
            <w:pPr>
              <w:spacing w:line="340" w:lineRule="exact"/>
              <w:jc w:val="center"/>
              <w:rPr>
                <w:sz w:val="24"/>
                <w:szCs w:val="24"/>
              </w:rPr>
            </w:pPr>
            <w:r>
              <w:rPr>
                <w:rFonts w:hint="eastAsia"/>
                <w:sz w:val="24"/>
                <w:szCs w:val="24"/>
              </w:rPr>
              <w:t>（申报）</w:t>
            </w:r>
          </w:p>
        </w:tc>
        <w:tc>
          <w:tcPr>
            <w:tcW w:w="2230" w:type="dxa"/>
            <w:vAlign w:val="center"/>
          </w:tcPr>
          <w:p>
            <w:pPr>
              <w:spacing w:line="460" w:lineRule="exact"/>
              <w:jc w:val="center"/>
              <w:rPr>
                <w:sz w:val="24"/>
                <w:szCs w:val="24"/>
              </w:rPr>
            </w:pPr>
            <w:r>
              <w:rPr>
                <w:sz w:val="24"/>
                <w:szCs w:val="24"/>
              </w:rPr>
              <w:t>3-5</w:t>
            </w:r>
          </w:p>
          <w:p>
            <w:pPr>
              <w:spacing w:line="460" w:lineRule="exact"/>
              <w:jc w:val="center"/>
              <w:rPr>
                <w:spacing w:val="-12"/>
                <w:sz w:val="24"/>
                <w:szCs w:val="24"/>
              </w:rPr>
            </w:pPr>
            <w:r>
              <w:rPr>
                <w:rFonts w:hint="eastAsia"/>
                <w:spacing w:val="-12"/>
                <w:sz w:val="24"/>
                <w:szCs w:val="24"/>
              </w:rPr>
              <w:t>（获得</w:t>
            </w:r>
            <w:r>
              <w:rPr>
                <w:spacing w:val="-12"/>
                <w:sz w:val="24"/>
                <w:szCs w:val="24"/>
              </w:rPr>
              <w:t>3</w:t>
            </w:r>
            <w:r>
              <w:rPr>
                <w:rFonts w:hint="eastAsia"/>
                <w:spacing w:val="-12"/>
                <w:sz w:val="24"/>
                <w:szCs w:val="24"/>
              </w:rPr>
              <w:t>个授权点，</w:t>
            </w:r>
          </w:p>
          <w:p>
            <w:pPr>
              <w:spacing w:line="460" w:lineRule="exact"/>
              <w:jc w:val="center"/>
              <w:rPr>
                <w:sz w:val="24"/>
                <w:szCs w:val="24"/>
              </w:rPr>
            </w:pPr>
            <w:r>
              <w:rPr>
                <w:rFonts w:hint="eastAsia"/>
                <w:spacing w:val="-12"/>
                <w:sz w:val="24"/>
                <w:szCs w:val="24"/>
              </w:rPr>
              <w:t>新增</w:t>
            </w:r>
            <w:r>
              <w:rPr>
                <w:spacing w:val="-12"/>
                <w:sz w:val="24"/>
                <w:szCs w:val="24"/>
              </w:rPr>
              <w:t>2</w:t>
            </w:r>
            <w:r>
              <w:rPr>
                <w:rFonts w:hint="eastAsia"/>
                <w:spacing w:val="-12"/>
                <w:sz w:val="24"/>
                <w:szCs w:val="24"/>
              </w:rPr>
              <w:t>个点满足条件）</w:t>
            </w:r>
          </w:p>
        </w:tc>
        <w:tc>
          <w:tcPr>
            <w:tcW w:w="2903" w:type="dxa"/>
            <w:vAlign w:val="center"/>
          </w:tcPr>
          <w:p>
            <w:pPr>
              <w:spacing w:line="460" w:lineRule="exact"/>
              <w:jc w:val="center"/>
              <w:rPr>
                <w:sz w:val="24"/>
                <w:szCs w:val="24"/>
              </w:rPr>
            </w:pPr>
            <w:r>
              <w:rPr>
                <w:sz w:val="24"/>
                <w:szCs w:val="24"/>
              </w:rPr>
              <w:t>5—6</w:t>
            </w:r>
          </w:p>
          <w:p>
            <w:pPr>
              <w:spacing w:line="460" w:lineRule="exact"/>
              <w:jc w:val="center"/>
              <w:rPr>
                <w:spacing w:val="-10"/>
                <w:sz w:val="24"/>
                <w:szCs w:val="24"/>
              </w:rPr>
            </w:pPr>
            <w:r>
              <w:rPr>
                <w:rFonts w:hint="eastAsia"/>
                <w:spacing w:val="-10"/>
                <w:sz w:val="24"/>
                <w:szCs w:val="24"/>
              </w:rPr>
              <w:t>（获得</w:t>
            </w:r>
            <w:r>
              <w:rPr>
                <w:spacing w:val="-10"/>
                <w:sz w:val="24"/>
                <w:szCs w:val="24"/>
              </w:rPr>
              <w:t>5</w:t>
            </w:r>
            <w:r>
              <w:rPr>
                <w:rFonts w:hint="eastAsia"/>
                <w:spacing w:val="-10"/>
                <w:sz w:val="24"/>
                <w:szCs w:val="24"/>
              </w:rPr>
              <w:t>个授权点，</w:t>
            </w:r>
          </w:p>
          <w:p>
            <w:pPr>
              <w:spacing w:line="460" w:lineRule="exact"/>
              <w:jc w:val="center"/>
              <w:rPr>
                <w:sz w:val="24"/>
                <w:szCs w:val="24"/>
              </w:rPr>
            </w:pPr>
            <w:r>
              <w:rPr>
                <w:rFonts w:hint="eastAsia"/>
                <w:spacing w:val="-10"/>
                <w:sz w:val="24"/>
                <w:szCs w:val="24"/>
              </w:rPr>
              <w:t>新增</w:t>
            </w:r>
            <w:r>
              <w:rPr>
                <w:spacing w:val="-10"/>
                <w:sz w:val="24"/>
                <w:szCs w:val="24"/>
              </w:rPr>
              <w:t>1</w:t>
            </w:r>
            <w:r>
              <w:rPr>
                <w:rFonts w:hint="eastAsia"/>
                <w:spacing w:val="-10"/>
                <w:sz w:val="24"/>
                <w:szCs w:val="24"/>
              </w:rPr>
              <w:t>—</w:t>
            </w:r>
            <w:r>
              <w:rPr>
                <w:spacing w:val="-10"/>
                <w:sz w:val="24"/>
                <w:szCs w:val="24"/>
              </w:rPr>
              <w:t>2</w:t>
            </w:r>
            <w:r>
              <w:rPr>
                <w:rFonts w:hint="eastAsia"/>
                <w:spacing w:val="-10"/>
                <w:sz w:val="24"/>
                <w:szCs w:val="24"/>
              </w:rPr>
              <w:t>个点满足条件）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323" w:type="dxa"/>
            <w:vAlign w:val="center"/>
          </w:tcPr>
          <w:p>
            <w:pPr>
              <w:spacing w:line="440" w:lineRule="exact"/>
              <w:jc w:val="center"/>
              <w:rPr>
                <w:sz w:val="24"/>
                <w:szCs w:val="24"/>
              </w:rPr>
            </w:pPr>
            <w:r>
              <w:rPr>
                <w:rFonts w:hint="eastAsia"/>
                <w:sz w:val="24"/>
                <w:szCs w:val="24"/>
              </w:rPr>
              <w:t>联合培养博士的学科点</w:t>
            </w:r>
          </w:p>
        </w:tc>
        <w:tc>
          <w:tcPr>
            <w:tcW w:w="1134" w:type="dxa"/>
            <w:vAlign w:val="center"/>
          </w:tcPr>
          <w:p>
            <w:pPr>
              <w:jc w:val="center"/>
              <w:rPr>
                <w:sz w:val="24"/>
                <w:szCs w:val="24"/>
              </w:rPr>
            </w:pPr>
            <w:r>
              <w:rPr>
                <w:sz w:val="24"/>
                <w:szCs w:val="24"/>
              </w:rPr>
              <w:t>0</w:t>
            </w:r>
          </w:p>
        </w:tc>
        <w:tc>
          <w:tcPr>
            <w:tcW w:w="2230" w:type="dxa"/>
            <w:vAlign w:val="center"/>
          </w:tcPr>
          <w:p>
            <w:pPr>
              <w:spacing w:line="460" w:lineRule="exact"/>
              <w:jc w:val="center"/>
              <w:rPr>
                <w:sz w:val="24"/>
                <w:szCs w:val="24"/>
              </w:rPr>
            </w:pPr>
            <w:r>
              <w:rPr>
                <w:rFonts w:hint="eastAsia"/>
                <w:sz w:val="24"/>
                <w:szCs w:val="24"/>
              </w:rPr>
              <w:t>1</w:t>
            </w:r>
          </w:p>
        </w:tc>
        <w:tc>
          <w:tcPr>
            <w:tcW w:w="2903" w:type="dxa"/>
            <w:vAlign w:val="center"/>
          </w:tcPr>
          <w:p>
            <w:pPr>
              <w:spacing w:line="460" w:lineRule="exact"/>
              <w:jc w:val="center"/>
              <w:rPr>
                <w:sz w:val="24"/>
                <w:szCs w:val="24"/>
              </w:rPr>
            </w:pPr>
            <w:r>
              <w:rPr>
                <w:rFonts w:hint="eastAsia"/>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323" w:type="dxa"/>
            <w:vAlign w:val="center"/>
          </w:tcPr>
          <w:p>
            <w:pPr>
              <w:spacing w:line="440" w:lineRule="exact"/>
              <w:jc w:val="center"/>
              <w:rPr>
                <w:sz w:val="24"/>
                <w:szCs w:val="24"/>
              </w:rPr>
            </w:pPr>
            <w:r>
              <w:rPr>
                <w:rFonts w:hint="eastAsia"/>
                <w:sz w:val="24"/>
                <w:szCs w:val="24"/>
              </w:rPr>
              <w:t>达到一级学科博士点基本要求的学科</w:t>
            </w:r>
          </w:p>
        </w:tc>
        <w:tc>
          <w:tcPr>
            <w:tcW w:w="1134" w:type="dxa"/>
            <w:vAlign w:val="center"/>
          </w:tcPr>
          <w:p>
            <w:pPr>
              <w:jc w:val="center"/>
              <w:rPr>
                <w:sz w:val="24"/>
                <w:szCs w:val="24"/>
              </w:rPr>
            </w:pPr>
            <w:r>
              <w:rPr>
                <w:sz w:val="24"/>
                <w:szCs w:val="24"/>
              </w:rPr>
              <w:t>0</w:t>
            </w:r>
          </w:p>
        </w:tc>
        <w:tc>
          <w:tcPr>
            <w:tcW w:w="2230" w:type="dxa"/>
            <w:vAlign w:val="center"/>
          </w:tcPr>
          <w:p>
            <w:pPr>
              <w:spacing w:line="460" w:lineRule="exact"/>
              <w:jc w:val="center"/>
              <w:rPr>
                <w:sz w:val="24"/>
                <w:szCs w:val="24"/>
              </w:rPr>
            </w:pPr>
            <w:r>
              <w:rPr>
                <w:sz w:val="24"/>
                <w:szCs w:val="24"/>
              </w:rPr>
              <w:t>0</w:t>
            </w:r>
          </w:p>
        </w:tc>
        <w:tc>
          <w:tcPr>
            <w:tcW w:w="2903" w:type="dxa"/>
            <w:vAlign w:val="center"/>
          </w:tcPr>
          <w:p>
            <w:pPr>
              <w:spacing w:line="460" w:lineRule="exact"/>
              <w:jc w:val="center"/>
              <w:rPr>
                <w:sz w:val="24"/>
                <w:szCs w:val="24"/>
              </w:rPr>
            </w:pPr>
            <w:r>
              <w:rPr>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90" w:type="dxa"/>
            <w:gridSpan w:val="4"/>
            <w:vAlign w:val="center"/>
          </w:tcPr>
          <w:p>
            <w:pPr>
              <w:jc w:val="center"/>
              <w:rPr>
                <w:sz w:val="24"/>
                <w:szCs w:val="24"/>
              </w:rPr>
            </w:pPr>
            <w:r>
              <w:rPr>
                <w:rFonts w:hint="eastAsia"/>
                <w:sz w:val="24"/>
                <w:szCs w:val="24"/>
              </w:rPr>
              <w:t>力争获批新增博士学位授予单位立项建设单位，基本满足博士学位授予单位条件</w:t>
            </w:r>
          </w:p>
        </w:tc>
      </w:tr>
    </w:tbl>
    <w:p>
      <w:pPr>
        <w:spacing w:before="217" w:beforeLines="50" w:line="580" w:lineRule="exact"/>
        <w:ind w:firstLine="640" w:firstLineChars="200"/>
        <w:rPr>
          <w:rStyle w:val="32"/>
          <w:rFonts w:ascii="楷体" w:hAnsi="楷体" w:eastAsia="楷体" w:cs="楷体"/>
          <w:b w:val="0"/>
          <w:bCs w:val="0"/>
        </w:rPr>
      </w:pPr>
      <w:bookmarkStart w:id="62" w:name="_Toc77754756"/>
      <w:bookmarkStart w:id="63" w:name="_Toc66728801"/>
      <w:bookmarkStart w:id="64" w:name="_Toc58316089"/>
      <w:r>
        <w:rPr>
          <w:rStyle w:val="32"/>
          <w:rFonts w:hint="eastAsia" w:ascii="楷体" w:hAnsi="楷体" w:eastAsia="楷体" w:cs="楷体"/>
          <w:b w:val="0"/>
          <w:bCs w:val="0"/>
        </w:rPr>
        <w:t>（三）科研创新提升行动</w:t>
      </w:r>
      <w:bookmarkEnd w:id="62"/>
      <w:bookmarkEnd w:id="63"/>
      <w:bookmarkEnd w:id="64"/>
    </w:p>
    <w:p>
      <w:pPr>
        <w:spacing w:line="620" w:lineRule="exact"/>
        <w:ind w:firstLine="641"/>
        <w:rPr>
          <w:rFonts w:cs="Times New Roman"/>
        </w:rPr>
      </w:pPr>
      <w:r>
        <w:rPr>
          <w:rFonts w:hint="eastAsia" w:cs="Times New Roman"/>
        </w:rPr>
        <w:t>加强政策引领，</w:t>
      </w:r>
      <w:r>
        <w:rPr>
          <w:rFonts w:hint="eastAsia" w:cs="Times New Roman"/>
          <w:bCs/>
        </w:rPr>
        <w:t>完善科研管理和评价制度，创新科研体制机制，提升科研服务水平，激发教师科研积极性</w:t>
      </w:r>
      <w:r>
        <w:rPr>
          <w:rFonts w:hint="eastAsia" w:cs="Times New Roman"/>
        </w:rPr>
        <w:t>。加强科研团队建设，围绕 “劳动+”“工会+”特色研究领域着力打造优势研究</w:t>
      </w:r>
      <w:r>
        <w:rPr>
          <w:rFonts w:hint="eastAsia" w:cs="Times New Roman"/>
          <w:bCs/>
        </w:rPr>
        <w:t>方阵</w:t>
      </w:r>
      <w:r>
        <w:rPr>
          <w:rFonts w:hint="eastAsia" w:cs="Times New Roman"/>
        </w:rPr>
        <w:t>。</w:t>
      </w:r>
      <w:r>
        <w:rPr>
          <w:rFonts w:hint="eastAsia" w:cs="Times New Roman"/>
          <w:bCs/>
        </w:rPr>
        <w:t>加强高质量研究成果产出，形成一批代表性科研成果，</w:t>
      </w:r>
      <w:r>
        <w:rPr>
          <w:rFonts w:hint="eastAsia" w:cs="Times New Roman"/>
        </w:rPr>
        <w:t>争取省部级及以上重点项目和科研获奖</w:t>
      </w:r>
      <w:r>
        <w:rPr>
          <w:rFonts w:hint="eastAsia" w:cs="Times New Roman"/>
          <w:bCs/>
        </w:rPr>
        <w:t>取得新</w:t>
      </w:r>
      <w:r>
        <w:rPr>
          <w:rFonts w:hint="eastAsia" w:cs="Times New Roman"/>
        </w:rPr>
        <w:t>突破。加强科研经费保障能力，</w:t>
      </w:r>
      <w:r>
        <w:rPr>
          <w:rFonts w:hint="eastAsia" w:cs="Times New Roman"/>
          <w:bCs/>
        </w:rPr>
        <w:t>多渠道增加科研经费，鼓励各级各类项目申报，稳步提高师均科研经费数量</w:t>
      </w:r>
      <w:r>
        <w:rPr>
          <w:rFonts w:hint="eastAsia" w:cs="Times New Roman"/>
        </w:rPr>
        <w:t>。</w:t>
      </w:r>
      <w:r>
        <w:rPr>
          <w:rFonts w:hint="eastAsia" w:cs="Times New Roman"/>
          <w:bCs/>
        </w:rPr>
        <w:t>加强高水平学术平台建设，充分发挥研究平台作用</w:t>
      </w:r>
      <w:r>
        <w:rPr>
          <w:rFonts w:hint="eastAsia" w:cs="Times New Roman"/>
        </w:rPr>
        <w:t>，推动校内外学术交流深入开展。</w:t>
      </w:r>
    </w:p>
    <w:p>
      <w:pPr>
        <w:spacing w:line="620" w:lineRule="exact"/>
        <w:ind w:firstLine="641"/>
        <w:rPr>
          <w:rFonts w:cs="Times New Roman"/>
        </w:rPr>
      </w:pPr>
      <w:r>
        <w:rPr>
          <w:rFonts w:hint="eastAsia" w:cs="Times New Roman"/>
        </w:rPr>
        <w:t>主要任务：</w:t>
      </w:r>
      <w:r>
        <w:rPr>
          <w:rFonts w:hint="eastAsia" w:cs="Times New Roman"/>
          <w:b/>
        </w:rPr>
        <w:t>一是</w:t>
      </w:r>
      <w:r>
        <w:rPr>
          <w:rFonts w:hint="eastAsia" w:cs="Times New Roman"/>
        </w:rPr>
        <w:t>提升省部级及以上科研项目立项率，提高结项质量，争取省部级及以上重点科研项目的</w:t>
      </w:r>
      <w:r>
        <w:rPr>
          <w:rFonts w:hint="eastAsia" w:cs="Times New Roman"/>
          <w:bCs/>
        </w:rPr>
        <w:t>新</w:t>
      </w:r>
      <w:r>
        <w:rPr>
          <w:rFonts w:hint="eastAsia" w:cs="Times New Roman"/>
        </w:rPr>
        <w:t>突破。开展省部级及以上项目学校培育计划；完善省部级及以上项目申报和结项论证机制。</w:t>
      </w:r>
      <w:r>
        <w:rPr>
          <w:rFonts w:hint="eastAsia" w:cs="Times New Roman"/>
          <w:b/>
        </w:rPr>
        <w:t>二是</w:t>
      </w:r>
      <w:r>
        <w:rPr>
          <w:rFonts w:hint="eastAsia" w:cs="Times New Roman"/>
        </w:rPr>
        <w:t>大力提升</w:t>
      </w:r>
      <w:r>
        <w:rPr>
          <w:rFonts w:hint="eastAsia" w:cs="Times New Roman"/>
          <w:bCs/>
        </w:rPr>
        <w:t>研究</w:t>
      </w:r>
      <w:r>
        <w:rPr>
          <w:rFonts w:hint="eastAsia" w:cs="Times New Roman"/>
        </w:rPr>
        <w:t>成果质量，</w:t>
      </w:r>
      <w:r>
        <w:rPr>
          <w:rFonts w:hint="eastAsia" w:cs="Times New Roman"/>
          <w:bCs/>
        </w:rPr>
        <w:t>积极争取省部级及以上科研成果奖项。加大对劳动和工会领域科学研究的支持力度；加大对高水平科研成果产出的支持力度；提升教师国内外高水平期刊发文能力；</w:t>
      </w:r>
      <w:r>
        <w:rPr>
          <w:rFonts w:hint="eastAsia" w:cs="Times New Roman"/>
        </w:rPr>
        <w:t>开展省部级及以上科研成果奖培育计划。</w:t>
      </w:r>
      <w:r>
        <w:rPr>
          <w:rFonts w:hint="eastAsia" w:cs="Times New Roman"/>
          <w:b/>
        </w:rPr>
        <w:t>三是</w:t>
      </w:r>
      <w:r>
        <w:rPr>
          <w:rFonts w:hint="eastAsia" w:cs="Times New Roman"/>
        </w:rPr>
        <w:t>成立</w:t>
      </w:r>
      <w:r>
        <w:rPr>
          <w:rFonts w:hint="eastAsia" w:cs="Times New Roman"/>
          <w:bCs/>
        </w:rPr>
        <w:t>并充分发挥</w:t>
      </w:r>
      <w:r>
        <w:rPr>
          <w:rFonts w:hint="eastAsia" w:cs="Times New Roman"/>
        </w:rPr>
        <w:t>中国高等教育学会劳动教育专业委员会的作用。</w:t>
      </w:r>
      <w:r>
        <w:rPr>
          <w:rFonts w:hint="eastAsia" w:cs="Times New Roman"/>
          <w:bCs/>
        </w:rPr>
        <w:t>办好全国工会学研究会、中国工人历史与现状研究会、劳动经济学会劳动关系与工会研究会、中国社会法学会劳动法分会和中国社会工作教育协会全国企业社会工作专业委员会</w:t>
      </w:r>
      <w:r>
        <w:rPr>
          <w:rFonts w:hint="eastAsia" w:cs="Times New Roman"/>
        </w:rPr>
        <w:t>。</w:t>
      </w:r>
      <w:r>
        <w:rPr>
          <w:rFonts w:hint="eastAsia" w:cs="Times New Roman"/>
          <w:bCs/>
        </w:rPr>
        <w:t>充分发挥二级学院和各类研究机构作用</w:t>
      </w:r>
      <w:r>
        <w:rPr>
          <w:rFonts w:hint="eastAsia" w:cs="Times New Roman"/>
        </w:rPr>
        <w:t>，</w:t>
      </w:r>
      <w:r>
        <w:rPr>
          <w:rFonts w:hint="eastAsia" w:cs="Times New Roman"/>
          <w:bCs/>
        </w:rPr>
        <w:t>提高期刊办刊质量，力争将《中国劳动关系学院学报》办成在劳动科学和工会研究领域有重要影响力的刊物。</w:t>
      </w:r>
      <w:r>
        <w:rPr>
          <w:rFonts w:hint="eastAsia" w:cs="Times New Roman"/>
          <w:b/>
          <w:bCs/>
        </w:rPr>
        <w:t>四是</w:t>
      </w:r>
      <w:r>
        <w:rPr>
          <w:rFonts w:hint="eastAsia" w:cs="Times New Roman"/>
        </w:rPr>
        <w:t>进行科研体制机制改革，完善科研评价体系。完善科研管理制度；充分发挥二级学院学术委员会作用，激发二级学院（部）、各类研究机构科研积极性；提升学校科研管理人员的服务能力和水平。</w:t>
      </w:r>
    </w:p>
    <w:p>
      <w:pPr>
        <w:spacing w:before="217" w:beforeLines="50" w:line="500" w:lineRule="exact"/>
        <w:jc w:val="center"/>
        <w:rPr>
          <w:b/>
        </w:rPr>
      </w:pPr>
      <w:r>
        <w:rPr>
          <w:rFonts w:hint="eastAsia"/>
          <w:b/>
        </w:rPr>
        <w:t>表</w:t>
      </w:r>
      <w:r>
        <w:rPr>
          <w:b/>
        </w:rPr>
        <w:t>3  科研创新建设核心指标</w:t>
      </w:r>
    </w:p>
    <w:tbl>
      <w:tblPr>
        <w:tblStyle w:val="17"/>
        <w:tblW w:w="86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2814"/>
        <w:gridCol w:w="1276"/>
        <w:gridCol w:w="1276"/>
        <w:gridCol w:w="1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4663" w:type="dxa"/>
            <w:gridSpan w:val="2"/>
            <w:shd w:val="clear" w:color="auto" w:fill="auto"/>
            <w:vAlign w:val="center"/>
          </w:tcPr>
          <w:p>
            <w:pPr>
              <w:widowControl/>
              <w:jc w:val="center"/>
              <w:rPr>
                <w:rFonts w:cs="宋体"/>
                <w:b/>
                <w:bCs/>
                <w:kern w:val="0"/>
                <w:sz w:val="24"/>
                <w:szCs w:val="24"/>
              </w:rPr>
            </w:pPr>
            <w:r>
              <w:rPr>
                <w:rFonts w:hint="eastAsia" w:cs="宋体"/>
                <w:b/>
                <w:bCs/>
                <w:kern w:val="0"/>
                <w:sz w:val="24"/>
                <w:szCs w:val="24"/>
              </w:rPr>
              <w:t>主要指标</w:t>
            </w:r>
          </w:p>
        </w:tc>
        <w:tc>
          <w:tcPr>
            <w:tcW w:w="1276" w:type="dxa"/>
            <w:shd w:val="clear" w:color="auto" w:fill="auto"/>
            <w:vAlign w:val="center"/>
          </w:tcPr>
          <w:p>
            <w:pPr>
              <w:widowControl/>
              <w:jc w:val="center"/>
              <w:rPr>
                <w:rFonts w:cs="Times New Roman"/>
                <w:b/>
                <w:bCs/>
                <w:kern w:val="0"/>
                <w:sz w:val="24"/>
                <w:szCs w:val="24"/>
              </w:rPr>
            </w:pPr>
            <w:r>
              <w:rPr>
                <w:rFonts w:cs="Times New Roman"/>
                <w:b/>
                <w:bCs/>
                <w:kern w:val="0"/>
                <w:sz w:val="24"/>
                <w:szCs w:val="24"/>
              </w:rPr>
              <w:t>2020</w:t>
            </w:r>
            <w:r>
              <w:rPr>
                <w:rFonts w:hint="eastAsia" w:cs="Times New Roman"/>
                <w:b/>
                <w:bCs/>
                <w:kern w:val="0"/>
                <w:sz w:val="24"/>
                <w:szCs w:val="24"/>
              </w:rPr>
              <w:t>年</w:t>
            </w:r>
          </w:p>
          <w:p>
            <w:pPr>
              <w:widowControl/>
              <w:jc w:val="center"/>
              <w:rPr>
                <w:rFonts w:cs="Times New Roman"/>
                <w:b/>
                <w:bCs/>
                <w:kern w:val="0"/>
                <w:sz w:val="24"/>
                <w:szCs w:val="24"/>
              </w:rPr>
            </w:pPr>
            <w:r>
              <w:rPr>
                <w:rFonts w:hint="eastAsia" w:cs="Times New Roman"/>
                <w:b/>
                <w:bCs/>
                <w:kern w:val="0"/>
                <w:sz w:val="24"/>
                <w:szCs w:val="24"/>
              </w:rPr>
              <w:t>现状</w:t>
            </w:r>
          </w:p>
        </w:tc>
        <w:tc>
          <w:tcPr>
            <w:tcW w:w="1276" w:type="dxa"/>
            <w:shd w:val="clear" w:color="auto" w:fill="auto"/>
            <w:vAlign w:val="center"/>
          </w:tcPr>
          <w:p>
            <w:pPr>
              <w:widowControl/>
              <w:jc w:val="center"/>
              <w:rPr>
                <w:rFonts w:cs="Times New Roman"/>
                <w:b/>
                <w:bCs/>
                <w:kern w:val="0"/>
                <w:sz w:val="24"/>
                <w:szCs w:val="24"/>
              </w:rPr>
            </w:pPr>
            <w:r>
              <w:rPr>
                <w:rFonts w:cs="Times New Roman"/>
                <w:b/>
                <w:bCs/>
                <w:kern w:val="0"/>
                <w:sz w:val="24"/>
                <w:szCs w:val="24"/>
              </w:rPr>
              <w:t>2022</w:t>
            </w:r>
            <w:r>
              <w:rPr>
                <w:rFonts w:hint="eastAsia" w:cs="Times New Roman"/>
                <w:b/>
                <w:bCs/>
                <w:kern w:val="0"/>
                <w:sz w:val="24"/>
                <w:szCs w:val="24"/>
              </w:rPr>
              <w:t>年</w:t>
            </w:r>
          </w:p>
          <w:p>
            <w:pPr>
              <w:widowControl/>
              <w:jc w:val="center"/>
              <w:rPr>
                <w:rFonts w:cs="Times New Roman"/>
                <w:b/>
                <w:bCs/>
                <w:kern w:val="0"/>
                <w:sz w:val="24"/>
                <w:szCs w:val="24"/>
              </w:rPr>
            </w:pPr>
            <w:r>
              <w:rPr>
                <w:rFonts w:hint="eastAsia" w:cs="Times New Roman"/>
                <w:b/>
                <w:bCs/>
                <w:kern w:val="0"/>
                <w:sz w:val="24"/>
                <w:szCs w:val="24"/>
              </w:rPr>
              <w:t>目标值</w:t>
            </w:r>
          </w:p>
        </w:tc>
        <w:tc>
          <w:tcPr>
            <w:tcW w:w="1427" w:type="dxa"/>
            <w:shd w:val="clear" w:color="auto" w:fill="auto"/>
            <w:vAlign w:val="center"/>
          </w:tcPr>
          <w:p>
            <w:pPr>
              <w:widowControl/>
              <w:jc w:val="center"/>
              <w:rPr>
                <w:rFonts w:cs="Times New Roman"/>
                <w:b/>
                <w:bCs/>
                <w:kern w:val="0"/>
                <w:sz w:val="24"/>
                <w:szCs w:val="24"/>
              </w:rPr>
            </w:pPr>
            <w:r>
              <w:rPr>
                <w:rFonts w:cs="Times New Roman"/>
                <w:b/>
                <w:bCs/>
                <w:kern w:val="0"/>
                <w:sz w:val="24"/>
                <w:szCs w:val="24"/>
              </w:rPr>
              <w:t>2025</w:t>
            </w:r>
            <w:r>
              <w:rPr>
                <w:rFonts w:hint="eastAsia" w:cs="Times New Roman"/>
                <w:b/>
                <w:bCs/>
                <w:kern w:val="0"/>
                <w:sz w:val="24"/>
                <w:szCs w:val="24"/>
              </w:rPr>
              <w:t>年</w:t>
            </w:r>
          </w:p>
          <w:p>
            <w:pPr>
              <w:widowControl/>
              <w:jc w:val="center"/>
              <w:rPr>
                <w:rFonts w:cs="Times New Roman"/>
                <w:b/>
                <w:bCs/>
                <w:kern w:val="0"/>
                <w:sz w:val="24"/>
                <w:szCs w:val="24"/>
              </w:rPr>
            </w:pPr>
            <w:r>
              <w:rPr>
                <w:rFonts w:hint="eastAsia" w:cs="Times New Roman"/>
                <w:b/>
                <w:bCs/>
                <w:kern w:val="0"/>
                <w:sz w:val="24"/>
                <w:szCs w:val="24"/>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科技经费累计</w:t>
            </w:r>
            <w:r>
              <w:rPr>
                <w:rFonts w:cs="Times New Roman"/>
                <w:kern w:val="0"/>
                <w:sz w:val="24"/>
                <w:szCs w:val="24"/>
              </w:rPr>
              <w:t>(</w:t>
            </w:r>
            <w:r>
              <w:rPr>
                <w:rFonts w:hint="eastAsia" w:cs="宋体"/>
                <w:kern w:val="0"/>
                <w:sz w:val="24"/>
                <w:szCs w:val="24"/>
              </w:rPr>
              <w:t>千万</w:t>
            </w:r>
            <w:r>
              <w:rPr>
                <w:rFonts w:cs="Times New Roman"/>
                <w:kern w:val="0"/>
                <w:sz w:val="24"/>
                <w:szCs w:val="24"/>
              </w:rPr>
              <w:t>)</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6899.15</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7100</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7300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师均科研经费（万元）</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3.8</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3.9</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restart"/>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科研成果奖励</w:t>
            </w:r>
            <w:r>
              <w:rPr>
                <w:rFonts w:cs="Times New Roman"/>
                <w:kern w:val="0"/>
                <w:sz w:val="24"/>
                <w:szCs w:val="24"/>
              </w:rPr>
              <w:t>(</w:t>
            </w:r>
            <w:r>
              <w:rPr>
                <w:rFonts w:hint="eastAsia" w:cs="宋体"/>
                <w:kern w:val="0"/>
                <w:sz w:val="24"/>
                <w:szCs w:val="24"/>
              </w:rPr>
              <w:t>项</w:t>
            </w:r>
            <w:r>
              <w:rPr>
                <w:rFonts w:cs="Times New Roman"/>
                <w:kern w:val="0"/>
                <w:sz w:val="24"/>
                <w:szCs w:val="24"/>
              </w:rPr>
              <w:t>)</w:t>
            </w:r>
          </w:p>
        </w:tc>
        <w:tc>
          <w:tcPr>
            <w:tcW w:w="2814" w:type="dxa"/>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国家级</w:t>
            </w:r>
          </w:p>
        </w:tc>
        <w:tc>
          <w:tcPr>
            <w:tcW w:w="1276" w:type="dxa"/>
            <w:shd w:val="clear" w:color="auto" w:fill="auto"/>
            <w:vAlign w:val="center"/>
          </w:tcPr>
          <w:p>
            <w:pPr>
              <w:widowControl/>
              <w:spacing w:line="500" w:lineRule="exact"/>
              <w:jc w:val="center"/>
              <w:rPr>
                <w:rFonts w:cs="Times New Roman"/>
                <w:kern w:val="0"/>
                <w:sz w:val="24"/>
                <w:szCs w:val="24"/>
              </w:rPr>
            </w:pPr>
            <w:r>
              <w:rPr>
                <w:sz w:val="24"/>
                <w:szCs w:val="24"/>
              </w:rPr>
              <w:t>0</w:t>
            </w:r>
          </w:p>
        </w:tc>
        <w:tc>
          <w:tcPr>
            <w:tcW w:w="1276" w:type="dxa"/>
            <w:shd w:val="clear" w:color="auto" w:fill="auto"/>
            <w:vAlign w:val="center"/>
          </w:tcPr>
          <w:p>
            <w:pPr>
              <w:widowControl/>
              <w:spacing w:line="500" w:lineRule="exact"/>
              <w:jc w:val="center"/>
              <w:rPr>
                <w:rFonts w:cs="Times New Roman"/>
                <w:bCs/>
                <w:kern w:val="0"/>
                <w:sz w:val="24"/>
                <w:szCs w:val="24"/>
              </w:rPr>
            </w:pPr>
            <w:r>
              <w:rPr>
                <w:rFonts w:cs="Times New Roman"/>
                <w:bCs/>
                <w:kern w:val="0"/>
                <w:sz w:val="24"/>
                <w:szCs w:val="24"/>
              </w:rPr>
              <w:t>0</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continue"/>
            <w:vAlign w:val="center"/>
          </w:tcPr>
          <w:p>
            <w:pPr>
              <w:widowControl/>
              <w:spacing w:line="500" w:lineRule="exact"/>
              <w:jc w:val="left"/>
              <w:rPr>
                <w:rFonts w:cs="宋体"/>
                <w:kern w:val="0"/>
                <w:sz w:val="24"/>
                <w:szCs w:val="24"/>
              </w:rPr>
            </w:pPr>
          </w:p>
        </w:tc>
        <w:tc>
          <w:tcPr>
            <w:tcW w:w="2814" w:type="dxa"/>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省部级</w:t>
            </w:r>
          </w:p>
        </w:tc>
        <w:tc>
          <w:tcPr>
            <w:tcW w:w="1276" w:type="dxa"/>
            <w:shd w:val="clear" w:color="auto" w:fill="auto"/>
            <w:vAlign w:val="center"/>
          </w:tcPr>
          <w:p>
            <w:pPr>
              <w:widowControl/>
              <w:spacing w:line="500" w:lineRule="exact"/>
              <w:jc w:val="center"/>
              <w:rPr>
                <w:rFonts w:cs="Times New Roman"/>
                <w:kern w:val="0"/>
                <w:sz w:val="24"/>
                <w:szCs w:val="24"/>
              </w:rPr>
            </w:pPr>
            <w:r>
              <w:rPr>
                <w:sz w:val="24"/>
                <w:szCs w:val="24"/>
              </w:rPr>
              <w:t>0</w:t>
            </w:r>
          </w:p>
        </w:tc>
        <w:tc>
          <w:tcPr>
            <w:tcW w:w="1276" w:type="dxa"/>
            <w:shd w:val="clear" w:color="auto" w:fill="auto"/>
            <w:vAlign w:val="center"/>
          </w:tcPr>
          <w:p>
            <w:pPr>
              <w:widowControl/>
              <w:spacing w:line="500" w:lineRule="exact"/>
              <w:jc w:val="center"/>
              <w:rPr>
                <w:rFonts w:cs="Times New Roman"/>
                <w:bCs/>
                <w:kern w:val="0"/>
                <w:sz w:val="24"/>
                <w:szCs w:val="24"/>
              </w:rPr>
            </w:pPr>
            <w:r>
              <w:rPr>
                <w:rFonts w:cs="Times New Roman"/>
                <w:bCs/>
                <w:kern w:val="0"/>
                <w:sz w:val="24"/>
                <w:szCs w:val="24"/>
              </w:rPr>
              <w:t>0</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continue"/>
            <w:vAlign w:val="center"/>
          </w:tcPr>
          <w:p>
            <w:pPr>
              <w:widowControl/>
              <w:spacing w:line="500" w:lineRule="exact"/>
              <w:jc w:val="left"/>
              <w:rPr>
                <w:rFonts w:cs="宋体"/>
                <w:kern w:val="0"/>
                <w:sz w:val="24"/>
                <w:szCs w:val="24"/>
              </w:rPr>
            </w:pPr>
          </w:p>
        </w:tc>
        <w:tc>
          <w:tcPr>
            <w:tcW w:w="2814" w:type="dxa"/>
            <w:shd w:val="clear" w:color="auto" w:fill="auto"/>
            <w:vAlign w:val="center"/>
          </w:tcPr>
          <w:p>
            <w:pPr>
              <w:widowControl/>
              <w:spacing w:line="500" w:lineRule="exact"/>
              <w:jc w:val="center"/>
              <w:rPr>
                <w:rFonts w:cs="宋体"/>
                <w:kern w:val="0"/>
                <w:sz w:val="24"/>
                <w:szCs w:val="24"/>
                <w:shd w:val="pct10" w:color="auto" w:fill="FFFFFF"/>
              </w:rPr>
            </w:pPr>
            <w:r>
              <w:rPr>
                <w:rFonts w:hint="eastAsia" w:cs="宋体"/>
                <w:kern w:val="0"/>
                <w:sz w:val="24"/>
                <w:szCs w:val="24"/>
              </w:rPr>
              <w:t>行业协会</w:t>
            </w:r>
          </w:p>
        </w:tc>
        <w:tc>
          <w:tcPr>
            <w:tcW w:w="1276" w:type="dxa"/>
            <w:shd w:val="clear" w:color="auto" w:fill="auto"/>
            <w:vAlign w:val="center"/>
          </w:tcPr>
          <w:p>
            <w:pPr>
              <w:widowControl/>
              <w:spacing w:line="500" w:lineRule="exact"/>
              <w:jc w:val="center"/>
              <w:rPr>
                <w:rFonts w:cs="Times New Roman"/>
                <w:kern w:val="0"/>
                <w:sz w:val="24"/>
                <w:szCs w:val="24"/>
              </w:rPr>
            </w:pPr>
            <w:r>
              <w:rPr>
                <w:sz w:val="24"/>
                <w:szCs w:val="24"/>
              </w:rPr>
              <w:t>0</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restart"/>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科研项目数</w:t>
            </w:r>
            <w:r>
              <w:rPr>
                <w:rFonts w:cs="Times New Roman"/>
                <w:kern w:val="0"/>
                <w:sz w:val="24"/>
                <w:szCs w:val="24"/>
              </w:rPr>
              <w:t>(</w:t>
            </w:r>
            <w:r>
              <w:rPr>
                <w:rFonts w:hint="eastAsia" w:cs="宋体"/>
                <w:kern w:val="0"/>
                <w:sz w:val="24"/>
                <w:szCs w:val="24"/>
              </w:rPr>
              <w:t>项</w:t>
            </w:r>
            <w:r>
              <w:rPr>
                <w:rFonts w:cs="Times New Roman"/>
                <w:kern w:val="0"/>
                <w:sz w:val="24"/>
                <w:szCs w:val="24"/>
              </w:rPr>
              <w:t>)</w:t>
            </w:r>
          </w:p>
        </w:tc>
        <w:tc>
          <w:tcPr>
            <w:tcW w:w="2814" w:type="dxa"/>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国家级</w:t>
            </w:r>
          </w:p>
        </w:tc>
        <w:tc>
          <w:tcPr>
            <w:tcW w:w="1276" w:type="dxa"/>
            <w:shd w:val="clear" w:color="auto" w:fill="auto"/>
            <w:vAlign w:val="center"/>
          </w:tcPr>
          <w:p>
            <w:pPr>
              <w:widowControl/>
              <w:spacing w:line="500" w:lineRule="exact"/>
              <w:jc w:val="center"/>
              <w:rPr>
                <w:kern w:val="0"/>
                <w:sz w:val="24"/>
              </w:rPr>
            </w:pPr>
            <w:r>
              <w:rPr>
                <w:rFonts w:cs="Times New Roman"/>
                <w:kern w:val="0"/>
                <w:sz w:val="24"/>
                <w:szCs w:val="24"/>
              </w:rPr>
              <w:t>21</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22</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continue"/>
            <w:vAlign w:val="center"/>
          </w:tcPr>
          <w:p>
            <w:pPr>
              <w:widowControl/>
              <w:spacing w:line="500" w:lineRule="exact"/>
              <w:jc w:val="left"/>
              <w:rPr>
                <w:rFonts w:cs="宋体"/>
                <w:kern w:val="0"/>
                <w:sz w:val="24"/>
                <w:szCs w:val="24"/>
              </w:rPr>
            </w:pPr>
          </w:p>
        </w:tc>
        <w:tc>
          <w:tcPr>
            <w:tcW w:w="2814" w:type="dxa"/>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省部级</w:t>
            </w:r>
          </w:p>
        </w:tc>
        <w:tc>
          <w:tcPr>
            <w:tcW w:w="1276" w:type="dxa"/>
            <w:shd w:val="clear" w:color="auto" w:fill="auto"/>
            <w:vAlign w:val="center"/>
          </w:tcPr>
          <w:p>
            <w:pPr>
              <w:widowControl/>
              <w:spacing w:line="500" w:lineRule="exact"/>
              <w:jc w:val="center"/>
              <w:rPr>
                <w:kern w:val="0"/>
                <w:sz w:val="24"/>
              </w:rPr>
            </w:pPr>
            <w:r>
              <w:rPr>
                <w:kern w:val="0"/>
                <w:sz w:val="24"/>
              </w:rPr>
              <w:t>40</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42</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continue"/>
            <w:vAlign w:val="center"/>
          </w:tcPr>
          <w:p>
            <w:pPr>
              <w:widowControl/>
              <w:spacing w:line="500" w:lineRule="exact"/>
              <w:jc w:val="left"/>
              <w:rPr>
                <w:rFonts w:cs="宋体"/>
                <w:kern w:val="0"/>
                <w:sz w:val="24"/>
                <w:szCs w:val="24"/>
              </w:rPr>
            </w:pPr>
          </w:p>
        </w:tc>
        <w:tc>
          <w:tcPr>
            <w:tcW w:w="2814" w:type="dxa"/>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横向</w:t>
            </w:r>
          </w:p>
        </w:tc>
        <w:tc>
          <w:tcPr>
            <w:tcW w:w="1276" w:type="dxa"/>
            <w:shd w:val="clear" w:color="auto" w:fill="auto"/>
            <w:vAlign w:val="center"/>
          </w:tcPr>
          <w:p>
            <w:pPr>
              <w:widowControl/>
              <w:spacing w:line="500" w:lineRule="exact"/>
              <w:jc w:val="center"/>
              <w:rPr>
                <w:kern w:val="0"/>
                <w:sz w:val="24"/>
              </w:rPr>
            </w:pPr>
            <w:r>
              <w:rPr>
                <w:rFonts w:cs="Times New Roman"/>
                <w:kern w:val="0"/>
                <w:sz w:val="24"/>
                <w:szCs w:val="24"/>
              </w:rPr>
              <w:t>270</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273</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权威期刊发文（篇）</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19</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20</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核心期刊发文（篇）</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805</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845</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进入核心期刊的期刊数（个）</w:t>
            </w:r>
          </w:p>
        </w:tc>
        <w:tc>
          <w:tcPr>
            <w:tcW w:w="1276" w:type="dxa"/>
            <w:shd w:val="clear" w:color="auto" w:fill="auto"/>
            <w:vAlign w:val="center"/>
          </w:tcPr>
          <w:p>
            <w:pPr>
              <w:widowControl/>
              <w:spacing w:line="500" w:lineRule="exact"/>
              <w:jc w:val="center"/>
              <w:rPr>
                <w:rFonts w:cs="Times New Roman"/>
                <w:kern w:val="0"/>
                <w:sz w:val="24"/>
                <w:szCs w:val="24"/>
              </w:rPr>
            </w:pPr>
            <w:r>
              <w:rPr>
                <w:sz w:val="24"/>
                <w:szCs w:val="24"/>
              </w:rPr>
              <w:t>0</w:t>
            </w:r>
          </w:p>
        </w:tc>
        <w:tc>
          <w:tcPr>
            <w:tcW w:w="1276" w:type="dxa"/>
            <w:shd w:val="clear" w:color="auto" w:fill="auto"/>
            <w:vAlign w:val="center"/>
          </w:tcPr>
          <w:p>
            <w:pPr>
              <w:widowControl/>
              <w:spacing w:line="500" w:lineRule="exact"/>
              <w:jc w:val="center"/>
              <w:rPr>
                <w:rFonts w:cs="Times New Roman"/>
                <w:kern w:val="0"/>
                <w:sz w:val="24"/>
                <w:szCs w:val="24"/>
              </w:rPr>
            </w:pPr>
            <w:r>
              <w:rPr>
                <w:sz w:val="24"/>
                <w:szCs w:val="24"/>
              </w:rPr>
              <w:t>0</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学术著作</w:t>
            </w:r>
            <w:r>
              <w:rPr>
                <w:rFonts w:hint="eastAsia" w:cs="Times New Roman"/>
                <w:kern w:val="0"/>
                <w:sz w:val="24"/>
                <w:szCs w:val="24"/>
              </w:rPr>
              <w:t>（</w:t>
            </w:r>
            <w:r>
              <w:rPr>
                <w:rFonts w:hint="eastAsia" w:cs="宋体"/>
                <w:kern w:val="0"/>
                <w:sz w:val="24"/>
                <w:szCs w:val="24"/>
              </w:rPr>
              <w:t>专著、译著、编著</w:t>
            </w:r>
            <w:r>
              <w:rPr>
                <w:rFonts w:hint="eastAsia" w:cs="Times New Roman"/>
                <w:kern w:val="0"/>
                <w:sz w:val="24"/>
                <w:szCs w:val="24"/>
              </w:rPr>
              <w:t>）（</w:t>
            </w:r>
            <w:r>
              <w:rPr>
                <w:rFonts w:hint="eastAsia" w:cs="宋体"/>
                <w:kern w:val="0"/>
                <w:sz w:val="24"/>
                <w:szCs w:val="24"/>
              </w:rPr>
              <w:t>部</w:t>
            </w:r>
            <w:r>
              <w:rPr>
                <w:rFonts w:hint="eastAsia" w:cs="Times New Roman"/>
                <w:kern w:val="0"/>
                <w:sz w:val="24"/>
                <w:szCs w:val="24"/>
              </w:rPr>
              <w:t>）</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100</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105</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入选国家社科文库或被翻译为外文的专著</w:t>
            </w:r>
          </w:p>
        </w:tc>
        <w:tc>
          <w:tcPr>
            <w:tcW w:w="1276" w:type="dxa"/>
            <w:shd w:val="clear" w:color="auto" w:fill="auto"/>
            <w:vAlign w:val="center"/>
          </w:tcPr>
          <w:p>
            <w:pPr>
              <w:widowControl/>
              <w:spacing w:line="500" w:lineRule="exact"/>
              <w:jc w:val="center"/>
              <w:rPr>
                <w:rFonts w:cs="Times New Roman"/>
                <w:kern w:val="0"/>
                <w:sz w:val="24"/>
                <w:szCs w:val="24"/>
              </w:rPr>
            </w:pPr>
            <w:r>
              <w:rPr>
                <w:sz w:val="24"/>
                <w:szCs w:val="24"/>
              </w:rPr>
              <w:t>0</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1</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3" w:type="dxa"/>
            <w:gridSpan w:val="2"/>
            <w:shd w:val="clear" w:color="auto" w:fill="auto"/>
            <w:vAlign w:val="center"/>
          </w:tcPr>
          <w:p>
            <w:pPr>
              <w:widowControl/>
              <w:spacing w:line="500" w:lineRule="exact"/>
              <w:jc w:val="center"/>
              <w:rPr>
                <w:rFonts w:cs="宋体"/>
                <w:kern w:val="0"/>
                <w:sz w:val="24"/>
                <w:szCs w:val="24"/>
              </w:rPr>
            </w:pPr>
            <w:r>
              <w:rPr>
                <w:rFonts w:hint="eastAsia" w:cs="宋体"/>
                <w:kern w:val="0"/>
                <w:sz w:val="24"/>
                <w:szCs w:val="24"/>
              </w:rPr>
              <w:t>主办的全国性重要学术会议数（个）</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58</w:t>
            </w:r>
          </w:p>
        </w:tc>
        <w:tc>
          <w:tcPr>
            <w:tcW w:w="1276"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61</w:t>
            </w:r>
          </w:p>
        </w:tc>
        <w:tc>
          <w:tcPr>
            <w:tcW w:w="1427" w:type="dxa"/>
            <w:shd w:val="clear" w:color="auto" w:fill="auto"/>
            <w:vAlign w:val="center"/>
          </w:tcPr>
          <w:p>
            <w:pPr>
              <w:widowControl/>
              <w:spacing w:line="500" w:lineRule="exact"/>
              <w:jc w:val="center"/>
              <w:rPr>
                <w:rFonts w:cs="Times New Roman"/>
                <w:kern w:val="0"/>
                <w:sz w:val="24"/>
                <w:szCs w:val="24"/>
              </w:rPr>
            </w:pPr>
            <w:r>
              <w:rPr>
                <w:rFonts w:cs="Times New Roman"/>
                <w:kern w:val="0"/>
                <w:sz w:val="24"/>
                <w:szCs w:val="24"/>
              </w:rPr>
              <w:t>64</w:t>
            </w:r>
          </w:p>
        </w:tc>
      </w:tr>
    </w:tbl>
    <w:p>
      <w:pPr>
        <w:spacing w:after="217" w:afterLines="50"/>
        <w:ind w:firstLine="600" w:firstLineChars="250"/>
        <w:rPr>
          <w:rFonts w:ascii="楷体" w:hAnsi="楷体" w:eastAsia="楷体"/>
          <w:sz w:val="24"/>
          <w:szCs w:val="24"/>
        </w:rPr>
      </w:pPr>
      <w:r>
        <w:rPr>
          <w:rFonts w:hint="eastAsia" w:ascii="楷体" w:hAnsi="楷体" w:eastAsia="楷体"/>
          <w:sz w:val="24"/>
          <w:szCs w:val="24"/>
        </w:rPr>
        <w:t>说明：上述现状和目标值均为近五年累计值。</w:t>
      </w:r>
    </w:p>
    <w:p>
      <w:pPr>
        <w:spacing w:line="580" w:lineRule="exact"/>
        <w:ind w:firstLine="640" w:firstLineChars="200"/>
        <w:rPr>
          <w:rStyle w:val="32"/>
          <w:rFonts w:ascii="楷体" w:hAnsi="楷体" w:eastAsia="楷体" w:cs="楷体"/>
          <w:b w:val="0"/>
          <w:bCs w:val="0"/>
        </w:rPr>
      </w:pPr>
      <w:r>
        <w:rPr>
          <w:rStyle w:val="32"/>
          <w:rFonts w:hint="eastAsia" w:ascii="楷体" w:hAnsi="楷体" w:eastAsia="楷体" w:cs="楷体"/>
          <w:b w:val="0"/>
          <w:bCs w:val="0"/>
        </w:rPr>
        <w:t>（四）智库赋能增效行动</w:t>
      </w:r>
    </w:p>
    <w:p>
      <w:pPr>
        <w:spacing w:line="580" w:lineRule="exact"/>
        <w:ind w:firstLine="640" w:firstLineChars="200"/>
      </w:pPr>
      <w:r>
        <w:rPr>
          <w:rFonts w:hint="eastAsia"/>
        </w:rPr>
        <w:t>加强智库运行与管理体制机制建设，着力打造劳动和工会领域研究的高端智库，推进劳动教育领域新型高校智库建设。加强智库研究团队建设，充分发挥智库平台作用，形成特色鲜明、结构合理、具有影响力的稳定的研究队伍。加强高质量智库研究成果产出，增强智库研究成果的影响力和落地见效的能力。加强智库服务工会和国家发展战略的能力，在“劳动+”“工会+”领域理论研究、政策建言、决策服务、数据库建设等方面发挥更大作用。加强智库建设资源保障能力，优化人财物保障机制。</w:t>
      </w:r>
    </w:p>
    <w:p>
      <w:pPr>
        <w:spacing w:line="580" w:lineRule="exact"/>
        <w:ind w:firstLine="640" w:firstLineChars="200"/>
      </w:pPr>
      <w:r>
        <w:rPr>
          <w:rFonts w:hint="eastAsia"/>
        </w:rPr>
        <w:t>主要任务：</w:t>
      </w:r>
      <w:r>
        <w:rPr>
          <w:rFonts w:hint="eastAsia"/>
          <w:b/>
        </w:rPr>
        <w:t>一是</w:t>
      </w:r>
      <w:r>
        <w:rPr>
          <w:rFonts w:hint="eastAsia"/>
        </w:rPr>
        <w:t>提升智库建设水平。加强与全总智库密切合作，提升劳动关系与工会研究院建设水平，争取纳入全总智库成员单位，争取入选中国智库索引（</w:t>
      </w:r>
      <w:r>
        <w:t>CTTI</w:t>
      </w:r>
      <w:r>
        <w:rPr>
          <w:rFonts w:hint="eastAsia"/>
        </w:rPr>
        <w:t>）。依托劳动教育研究院创建北京市“新时代劳动教育高精尖创新中心”，争取成为教育部人文社会科学重点研究基地。</w:t>
      </w:r>
      <w:r>
        <w:rPr>
          <w:rFonts w:hint="eastAsia"/>
          <w:b/>
        </w:rPr>
        <w:t>二是</w:t>
      </w:r>
      <w:r>
        <w:rPr>
          <w:rFonts w:hint="eastAsia"/>
        </w:rPr>
        <w:t>加强特色领域研究团队建设，形成稳定的特色研究方向，持续产出系列具有代表性研究成果。加大对“劳动+”“工会+”领域研究团队全过程培育与支持力度，形成专兼职相结合的研究人员队伍，巩固并充分发挥劳动教育、劳动关系、工会改革、产业工人队伍建设改革和职工发展等优势研究领域团队作用，持续推出特色鲜明、类型多样的高质量智库成果。</w:t>
      </w:r>
      <w:r>
        <w:rPr>
          <w:rFonts w:hint="eastAsia"/>
          <w:b/>
        </w:rPr>
        <w:t>三是</w:t>
      </w:r>
      <w:r>
        <w:rPr>
          <w:rFonts w:hint="eastAsia"/>
        </w:rPr>
        <w:t>推动成立工会系统智库联盟。整合工会系统研究力量，巩固并提升劳动关系与工会研究院在工会系统的引领力与影响力。</w:t>
      </w:r>
      <w:r>
        <w:rPr>
          <w:rFonts w:hint="eastAsia"/>
          <w:b/>
        </w:rPr>
        <w:t>四是</w:t>
      </w:r>
      <w:r>
        <w:rPr>
          <w:rFonts w:hint="eastAsia"/>
        </w:rPr>
        <w:t>拓展合作与交流渠道。增加服务面向，加强与各级党政、工会、企业、学校、社会组织、智库、学术团体等以及国外相关领域的组织与机构合作，构建多样化交流平台，拓展智库报送渠道与成果转化渠道，不断提升服务社会的能力和水平。</w:t>
      </w:r>
      <w:r>
        <w:rPr>
          <w:rFonts w:hint="eastAsia"/>
          <w:b/>
        </w:rPr>
        <w:t>五是</w:t>
      </w:r>
      <w:r>
        <w:rPr>
          <w:rFonts w:hint="eastAsia"/>
        </w:rPr>
        <w:t>健全智库运行与管理体制机制。加强党建引领，明确岗位设置与工作职责，优化人员配置与工作流程，畅通职业发展路径，推进实体化建设；完善智库经费来源与使用、成果认定、项目管理、调查研究、学习培训等制度，提升管理效能；建立定期会商与研判制度，健全决策咨询制度，加强智库专家团队建设，发挥其在理论研究、建言献策等方面的作用；加强与职能部门、二级学院、研究机构的联系与合作，提升对学科建设的支撑水平。加强宣传工作力度，不断提升智库影响力。</w:t>
      </w:r>
      <w:r>
        <w:rPr>
          <w:rFonts w:hint="eastAsia"/>
          <w:b/>
        </w:rPr>
        <w:t>六是</w:t>
      </w:r>
      <w:r>
        <w:rPr>
          <w:rFonts w:hint="eastAsia"/>
        </w:rPr>
        <w:t>加强智库资料与数据库建设。与相关部门机构合作，有计划、分阶段建设资料库，形成特定领域的数据库。</w:t>
      </w:r>
    </w:p>
    <w:p>
      <w:pPr>
        <w:spacing w:before="217" w:beforeLines="50" w:line="500" w:lineRule="exact"/>
        <w:jc w:val="center"/>
        <w:rPr>
          <w:b/>
        </w:rPr>
      </w:pPr>
      <w:r>
        <w:rPr>
          <w:rFonts w:hint="eastAsia"/>
          <w:b/>
        </w:rPr>
        <w:t>表</w:t>
      </w:r>
      <w:r>
        <w:rPr>
          <w:b/>
        </w:rPr>
        <w:t>4  智库平台建设核心指标</w:t>
      </w:r>
    </w:p>
    <w:tbl>
      <w:tblPr>
        <w:tblStyle w:val="17"/>
        <w:tblW w:w="86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2956"/>
        <w:gridCol w:w="1276"/>
        <w:gridCol w:w="1275"/>
        <w:gridCol w:w="1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4805" w:type="dxa"/>
            <w:gridSpan w:val="2"/>
            <w:shd w:val="clear" w:color="auto" w:fill="auto"/>
            <w:vAlign w:val="center"/>
          </w:tcPr>
          <w:p>
            <w:pPr>
              <w:widowControl/>
              <w:spacing w:line="400" w:lineRule="exact"/>
              <w:jc w:val="center"/>
              <w:rPr>
                <w:rFonts w:cs="宋体"/>
                <w:b/>
                <w:bCs/>
                <w:kern w:val="0"/>
                <w:sz w:val="24"/>
                <w:szCs w:val="24"/>
              </w:rPr>
            </w:pPr>
            <w:r>
              <w:rPr>
                <w:rFonts w:hint="eastAsia" w:cs="宋体"/>
                <w:b/>
                <w:bCs/>
                <w:kern w:val="0"/>
                <w:sz w:val="24"/>
                <w:szCs w:val="24"/>
              </w:rPr>
              <w:t>主要指标</w:t>
            </w:r>
          </w:p>
        </w:tc>
        <w:tc>
          <w:tcPr>
            <w:tcW w:w="1276" w:type="dxa"/>
            <w:shd w:val="clear" w:color="auto" w:fill="auto"/>
            <w:vAlign w:val="center"/>
          </w:tcPr>
          <w:p>
            <w:pPr>
              <w:widowControl/>
              <w:spacing w:line="400" w:lineRule="exact"/>
              <w:jc w:val="center"/>
              <w:rPr>
                <w:rFonts w:cs="Times New Roman"/>
                <w:b/>
                <w:bCs/>
                <w:kern w:val="0"/>
                <w:sz w:val="24"/>
                <w:szCs w:val="24"/>
              </w:rPr>
            </w:pPr>
            <w:r>
              <w:rPr>
                <w:rFonts w:cs="Times New Roman"/>
                <w:b/>
                <w:bCs/>
                <w:kern w:val="0"/>
                <w:sz w:val="24"/>
                <w:szCs w:val="24"/>
              </w:rPr>
              <w:t>2020</w:t>
            </w:r>
            <w:r>
              <w:rPr>
                <w:rFonts w:hint="eastAsia" w:cs="Times New Roman"/>
                <w:b/>
                <w:bCs/>
                <w:kern w:val="0"/>
                <w:sz w:val="24"/>
                <w:szCs w:val="24"/>
              </w:rPr>
              <w:t>年</w:t>
            </w:r>
          </w:p>
          <w:p>
            <w:pPr>
              <w:widowControl/>
              <w:spacing w:line="400" w:lineRule="exact"/>
              <w:jc w:val="center"/>
              <w:rPr>
                <w:rFonts w:cs="Times New Roman"/>
                <w:b/>
                <w:bCs/>
                <w:kern w:val="0"/>
                <w:sz w:val="24"/>
                <w:szCs w:val="24"/>
              </w:rPr>
            </w:pPr>
            <w:r>
              <w:rPr>
                <w:rFonts w:hint="eastAsia" w:cs="Times New Roman"/>
                <w:b/>
                <w:bCs/>
                <w:kern w:val="0"/>
                <w:sz w:val="24"/>
                <w:szCs w:val="24"/>
              </w:rPr>
              <w:t>现状</w:t>
            </w:r>
          </w:p>
        </w:tc>
        <w:tc>
          <w:tcPr>
            <w:tcW w:w="1275" w:type="dxa"/>
            <w:shd w:val="clear" w:color="auto" w:fill="auto"/>
            <w:vAlign w:val="center"/>
          </w:tcPr>
          <w:p>
            <w:pPr>
              <w:widowControl/>
              <w:spacing w:line="400" w:lineRule="exact"/>
              <w:jc w:val="center"/>
              <w:rPr>
                <w:rFonts w:cs="Times New Roman"/>
                <w:b/>
                <w:bCs/>
                <w:kern w:val="0"/>
                <w:sz w:val="24"/>
                <w:szCs w:val="24"/>
              </w:rPr>
            </w:pPr>
            <w:r>
              <w:rPr>
                <w:rFonts w:cs="Times New Roman"/>
                <w:b/>
                <w:bCs/>
                <w:kern w:val="0"/>
                <w:sz w:val="24"/>
                <w:szCs w:val="24"/>
              </w:rPr>
              <w:t>2022</w:t>
            </w:r>
            <w:r>
              <w:rPr>
                <w:rFonts w:hint="eastAsia" w:cs="Times New Roman"/>
                <w:b/>
                <w:bCs/>
                <w:kern w:val="0"/>
                <w:sz w:val="24"/>
                <w:szCs w:val="24"/>
              </w:rPr>
              <w:t>年</w:t>
            </w:r>
          </w:p>
          <w:p>
            <w:pPr>
              <w:widowControl/>
              <w:spacing w:line="400" w:lineRule="exact"/>
              <w:jc w:val="center"/>
              <w:rPr>
                <w:rFonts w:cs="Times New Roman"/>
                <w:b/>
                <w:bCs/>
                <w:kern w:val="0"/>
                <w:sz w:val="24"/>
                <w:szCs w:val="24"/>
              </w:rPr>
            </w:pPr>
            <w:r>
              <w:rPr>
                <w:rFonts w:hint="eastAsia" w:cs="Times New Roman"/>
                <w:b/>
                <w:bCs/>
                <w:kern w:val="0"/>
                <w:sz w:val="24"/>
                <w:szCs w:val="24"/>
              </w:rPr>
              <w:t>目标值</w:t>
            </w:r>
          </w:p>
        </w:tc>
        <w:tc>
          <w:tcPr>
            <w:tcW w:w="1286" w:type="dxa"/>
            <w:shd w:val="clear" w:color="auto" w:fill="auto"/>
            <w:vAlign w:val="center"/>
          </w:tcPr>
          <w:p>
            <w:pPr>
              <w:widowControl/>
              <w:spacing w:line="400" w:lineRule="exact"/>
              <w:jc w:val="center"/>
              <w:rPr>
                <w:rFonts w:cs="Times New Roman"/>
                <w:b/>
                <w:bCs/>
                <w:kern w:val="0"/>
                <w:sz w:val="24"/>
                <w:szCs w:val="24"/>
              </w:rPr>
            </w:pPr>
            <w:r>
              <w:rPr>
                <w:rFonts w:cs="Times New Roman"/>
                <w:b/>
                <w:bCs/>
                <w:kern w:val="0"/>
                <w:sz w:val="24"/>
                <w:szCs w:val="24"/>
              </w:rPr>
              <w:t>2025</w:t>
            </w:r>
            <w:r>
              <w:rPr>
                <w:rFonts w:hint="eastAsia" w:cs="Times New Roman"/>
                <w:b/>
                <w:bCs/>
                <w:kern w:val="0"/>
                <w:sz w:val="24"/>
                <w:szCs w:val="24"/>
              </w:rPr>
              <w:t>年</w:t>
            </w:r>
          </w:p>
          <w:p>
            <w:pPr>
              <w:widowControl/>
              <w:spacing w:line="400" w:lineRule="exact"/>
              <w:jc w:val="center"/>
              <w:rPr>
                <w:rFonts w:cs="Times New Roman"/>
                <w:b/>
                <w:bCs/>
                <w:kern w:val="0"/>
                <w:sz w:val="24"/>
                <w:szCs w:val="24"/>
              </w:rPr>
            </w:pPr>
            <w:r>
              <w:rPr>
                <w:rFonts w:hint="eastAsia" w:cs="Times New Roman"/>
                <w:b/>
                <w:bCs/>
                <w:kern w:val="0"/>
                <w:sz w:val="24"/>
                <w:szCs w:val="24"/>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restart"/>
            <w:shd w:val="clear" w:color="auto" w:fill="auto"/>
            <w:vAlign w:val="center"/>
          </w:tcPr>
          <w:p>
            <w:pPr>
              <w:widowControl/>
              <w:spacing w:line="400" w:lineRule="exact"/>
              <w:jc w:val="center"/>
              <w:rPr>
                <w:rFonts w:cs="宋体"/>
                <w:kern w:val="0"/>
                <w:sz w:val="24"/>
                <w:szCs w:val="24"/>
              </w:rPr>
            </w:pPr>
            <w:r>
              <w:rPr>
                <w:rFonts w:hint="eastAsia" w:cs="宋体"/>
                <w:kern w:val="0"/>
                <w:sz w:val="24"/>
                <w:szCs w:val="24"/>
              </w:rPr>
              <w:t>科研基地和平台（个）</w:t>
            </w:r>
          </w:p>
        </w:tc>
        <w:tc>
          <w:tcPr>
            <w:tcW w:w="2956" w:type="dxa"/>
            <w:shd w:val="clear" w:color="auto" w:fill="auto"/>
            <w:vAlign w:val="center"/>
          </w:tcPr>
          <w:p>
            <w:pPr>
              <w:widowControl/>
              <w:spacing w:line="400" w:lineRule="exact"/>
              <w:jc w:val="center"/>
              <w:rPr>
                <w:rFonts w:cs="宋体"/>
                <w:kern w:val="0"/>
                <w:sz w:val="24"/>
                <w:szCs w:val="24"/>
              </w:rPr>
            </w:pPr>
            <w:r>
              <w:rPr>
                <w:rFonts w:hint="eastAsia" w:cs="宋体"/>
                <w:kern w:val="0"/>
                <w:sz w:val="24"/>
                <w:szCs w:val="24"/>
              </w:rPr>
              <w:t>国家级</w:t>
            </w:r>
          </w:p>
        </w:tc>
        <w:tc>
          <w:tcPr>
            <w:tcW w:w="1276" w:type="dxa"/>
            <w:shd w:val="clear" w:color="auto" w:fill="auto"/>
            <w:vAlign w:val="center"/>
          </w:tcPr>
          <w:p>
            <w:pPr>
              <w:widowControl/>
              <w:spacing w:line="400" w:lineRule="exact"/>
              <w:jc w:val="center"/>
              <w:rPr>
                <w:rFonts w:cs="Times New Roman"/>
                <w:kern w:val="0"/>
                <w:sz w:val="24"/>
                <w:szCs w:val="24"/>
              </w:rPr>
            </w:pPr>
            <w:r>
              <w:rPr>
                <w:sz w:val="24"/>
                <w:szCs w:val="24"/>
              </w:rPr>
              <w:t>0</w:t>
            </w:r>
          </w:p>
        </w:tc>
        <w:tc>
          <w:tcPr>
            <w:tcW w:w="1275"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0</w:t>
            </w:r>
          </w:p>
        </w:tc>
        <w:tc>
          <w:tcPr>
            <w:tcW w:w="1286"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continue"/>
            <w:vAlign w:val="center"/>
          </w:tcPr>
          <w:p>
            <w:pPr>
              <w:widowControl/>
              <w:spacing w:line="400" w:lineRule="exact"/>
              <w:jc w:val="left"/>
              <w:rPr>
                <w:rFonts w:cs="宋体"/>
                <w:kern w:val="0"/>
                <w:sz w:val="24"/>
                <w:szCs w:val="24"/>
              </w:rPr>
            </w:pPr>
          </w:p>
        </w:tc>
        <w:tc>
          <w:tcPr>
            <w:tcW w:w="2956" w:type="dxa"/>
            <w:shd w:val="clear" w:color="auto" w:fill="auto"/>
            <w:vAlign w:val="center"/>
          </w:tcPr>
          <w:p>
            <w:pPr>
              <w:widowControl/>
              <w:spacing w:line="400" w:lineRule="exact"/>
              <w:jc w:val="center"/>
              <w:rPr>
                <w:rFonts w:cs="宋体"/>
                <w:kern w:val="0"/>
                <w:sz w:val="24"/>
                <w:szCs w:val="24"/>
              </w:rPr>
            </w:pPr>
            <w:r>
              <w:rPr>
                <w:rFonts w:hint="eastAsia" w:cs="宋体"/>
                <w:kern w:val="0"/>
                <w:sz w:val="24"/>
                <w:szCs w:val="24"/>
              </w:rPr>
              <w:t>省部级</w:t>
            </w:r>
          </w:p>
        </w:tc>
        <w:tc>
          <w:tcPr>
            <w:tcW w:w="1276" w:type="dxa"/>
            <w:shd w:val="clear" w:color="auto" w:fill="auto"/>
            <w:vAlign w:val="center"/>
          </w:tcPr>
          <w:p>
            <w:pPr>
              <w:widowControl/>
              <w:spacing w:line="400" w:lineRule="exact"/>
              <w:jc w:val="center"/>
              <w:rPr>
                <w:rFonts w:cs="Times New Roman"/>
                <w:kern w:val="0"/>
                <w:sz w:val="24"/>
                <w:szCs w:val="24"/>
              </w:rPr>
            </w:pPr>
            <w:r>
              <w:rPr>
                <w:sz w:val="24"/>
                <w:szCs w:val="24"/>
              </w:rPr>
              <w:t>0</w:t>
            </w:r>
          </w:p>
        </w:tc>
        <w:tc>
          <w:tcPr>
            <w:tcW w:w="1275"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1</w:t>
            </w:r>
          </w:p>
        </w:tc>
        <w:tc>
          <w:tcPr>
            <w:tcW w:w="1286"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vMerge w:val="continue"/>
            <w:vAlign w:val="center"/>
          </w:tcPr>
          <w:p>
            <w:pPr>
              <w:widowControl/>
              <w:spacing w:line="400" w:lineRule="exact"/>
              <w:jc w:val="left"/>
              <w:rPr>
                <w:rFonts w:cs="宋体"/>
                <w:kern w:val="0"/>
                <w:sz w:val="24"/>
                <w:szCs w:val="24"/>
              </w:rPr>
            </w:pPr>
          </w:p>
        </w:tc>
        <w:tc>
          <w:tcPr>
            <w:tcW w:w="2956" w:type="dxa"/>
            <w:shd w:val="clear" w:color="auto" w:fill="auto"/>
            <w:vAlign w:val="center"/>
          </w:tcPr>
          <w:p>
            <w:pPr>
              <w:widowControl/>
              <w:spacing w:line="400" w:lineRule="exact"/>
              <w:jc w:val="center"/>
              <w:rPr>
                <w:rFonts w:cs="宋体"/>
                <w:kern w:val="0"/>
                <w:sz w:val="24"/>
                <w:szCs w:val="24"/>
              </w:rPr>
            </w:pPr>
            <w:r>
              <w:rPr>
                <w:rFonts w:hint="eastAsia" w:cs="宋体"/>
                <w:kern w:val="0"/>
                <w:sz w:val="24"/>
                <w:szCs w:val="24"/>
              </w:rPr>
              <w:t>横向（含与学会、企业等合作的研究基地）</w:t>
            </w:r>
          </w:p>
        </w:tc>
        <w:tc>
          <w:tcPr>
            <w:tcW w:w="1276" w:type="dxa"/>
            <w:shd w:val="clear" w:color="auto" w:fill="auto"/>
            <w:vAlign w:val="center"/>
          </w:tcPr>
          <w:p>
            <w:pPr>
              <w:widowControl/>
              <w:spacing w:line="400" w:lineRule="exact"/>
              <w:jc w:val="center"/>
              <w:rPr>
                <w:rFonts w:cs="Times New Roman"/>
                <w:kern w:val="0"/>
                <w:sz w:val="24"/>
                <w:szCs w:val="24"/>
              </w:rPr>
            </w:pPr>
            <w:r>
              <w:rPr>
                <w:sz w:val="24"/>
                <w:szCs w:val="24"/>
              </w:rPr>
              <w:t>3</w:t>
            </w:r>
          </w:p>
        </w:tc>
        <w:tc>
          <w:tcPr>
            <w:tcW w:w="1275"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3</w:t>
            </w:r>
          </w:p>
        </w:tc>
        <w:tc>
          <w:tcPr>
            <w:tcW w:w="1286"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805" w:type="dxa"/>
            <w:gridSpan w:val="2"/>
            <w:shd w:val="clear" w:color="auto" w:fill="auto"/>
            <w:vAlign w:val="center"/>
          </w:tcPr>
          <w:p>
            <w:pPr>
              <w:widowControl/>
              <w:spacing w:line="400" w:lineRule="exact"/>
              <w:jc w:val="center"/>
              <w:rPr>
                <w:rFonts w:cs="宋体"/>
                <w:kern w:val="0"/>
                <w:sz w:val="24"/>
                <w:szCs w:val="24"/>
              </w:rPr>
            </w:pPr>
            <w:r>
              <w:rPr>
                <w:rFonts w:hint="eastAsia" w:cs="宋体"/>
                <w:kern w:val="0"/>
                <w:sz w:val="24"/>
                <w:szCs w:val="24"/>
              </w:rPr>
              <w:t>获得国家部委、省市及以上人民政府及其所属司局级部门采纳的咨询报告（篇）</w:t>
            </w:r>
          </w:p>
        </w:tc>
        <w:tc>
          <w:tcPr>
            <w:tcW w:w="1276"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13</w:t>
            </w:r>
          </w:p>
        </w:tc>
        <w:tc>
          <w:tcPr>
            <w:tcW w:w="1275"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14</w:t>
            </w:r>
          </w:p>
        </w:tc>
        <w:tc>
          <w:tcPr>
            <w:tcW w:w="1286" w:type="dxa"/>
            <w:shd w:val="clear" w:color="auto" w:fill="auto"/>
            <w:vAlign w:val="center"/>
          </w:tcPr>
          <w:p>
            <w:pPr>
              <w:widowControl/>
              <w:spacing w:line="400" w:lineRule="exact"/>
              <w:jc w:val="center"/>
              <w:rPr>
                <w:rFonts w:cs="Times New Roman"/>
                <w:kern w:val="0"/>
                <w:sz w:val="24"/>
                <w:szCs w:val="24"/>
              </w:rPr>
            </w:pPr>
            <w:r>
              <w:rPr>
                <w:rFonts w:cs="Times New Roman"/>
                <w:kern w:val="0"/>
                <w:sz w:val="24"/>
                <w:szCs w:val="24"/>
              </w:rPr>
              <w:t>15</w:t>
            </w:r>
          </w:p>
        </w:tc>
      </w:tr>
    </w:tbl>
    <w:p>
      <w:pPr>
        <w:spacing w:after="217" w:afterLines="50"/>
        <w:ind w:firstLine="600" w:firstLineChars="250"/>
        <w:rPr>
          <w:sz w:val="24"/>
          <w:szCs w:val="24"/>
        </w:rPr>
      </w:pPr>
      <w:r>
        <w:rPr>
          <w:rFonts w:hint="eastAsia" w:ascii="楷体" w:hAnsi="楷体" w:eastAsia="楷体"/>
          <w:sz w:val="24"/>
          <w:szCs w:val="24"/>
        </w:rPr>
        <w:t>说明：上述现状和目标值均为近五年累计值。</w:t>
      </w:r>
    </w:p>
    <w:p>
      <w:pPr>
        <w:spacing w:line="570" w:lineRule="exact"/>
        <w:ind w:firstLine="641"/>
        <w:rPr>
          <w:rStyle w:val="32"/>
        </w:rPr>
      </w:pPr>
      <w:bookmarkStart w:id="65" w:name="_Toc66728802"/>
      <w:bookmarkStart w:id="66" w:name="_Toc58316090"/>
      <w:bookmarkStart w:id="67" w:name="_Toc77754757"/>
      <w:r>
        <w:rPr>
          <w:rStyle w:val="32"/>
          <w:rFonts w:hint="eastAsia" w:ascii="楷体" w:hAnsi="楷体" w:eastAsia="楷体" w:cs="楷体"/>
          <w:b w:val="0"/>
          <w:bCs w:val="0"/>
        </w:rPr>
        <w:t>（五）学科队伍优化行动</w:t>
      </w:r>
      <w:bookmarkEnd w:id="65"/>
      <w:bookmarkEnd w:id="66"/>
      <w:bookmarkEnd w:id="67"/>
    </w:p>
    <w:p>
      <w:pPr>
        <w:spacing w:line="570" w:lineRule="exact"/>
        <w:ind w:firstLine="640" w:firstLineChars="200"/>
      </w:pPr>
      <w:r>
        <w:rPr>
          <w:rFonts w:hint="eastAsia"/>
        </w:rPr>
        <w:t>以人才强校为基础，对照发展目标，构建规模结构合理的学术队伍。各学科培养建设一定比例的领军人才、学科带头人、学术骨干，以及一定数量的优秀教学科研创新团队。明确学科带头人、学科骨干的职责和要求，有效推动传统学科的建设、新学科的孵化和培育，逐步构建行业特色鲜明的学科体系。推动业内与社会领军人才的培育，推进形成结构合理、分工明确、具有影响力的学科团队。加强对“</w:t>
      </w:r>
      <w:r>
        <w:t>劳动+</w:t>
      </w:r>
      <w:r>
        <w:rPr>
          <w:rFonts w:hint="eastAsia"/>
        </w:rPr>
        <w:t>”“工会</w:t>
      </w:r>
      <w:r>
        <w:t>+</w:t>
      </w:r>
      <w:r>
        <w:rPr>
          <w:rFonts w:hint="eastAsia"/>
        </w:rPr>
        <w:t>”</w:t>
      </w:r>
      <w:r>
        <w:t>特色学科师资队伍的培育与支持力度，逐步构建行业特色鲜明的学科体系与师资队伍体系。推进形成国家级、省部级、校级、学院级等四级人才队伍体系，在国家级人才项目上力争突破；在省部级人才项目（含教学名师）入选2—</w:t>
      </w:r>
      <w:r>
        <w:rPr>
          <w:rFonts w:hint="eastAsia"/>
        </w:rPr>
        <w:t>5</w:t>
      </w:r>
      <w:r>
        <w:t>人；推进未来学者计划等校级人才项目，与学科带头人、学术骨干共同构成校级人才师资队伍；鼓励二级学院根据需要自主设立1—3名学术骨干。</w:t>
      </w:r>
    </w:p>
    <w:p>
      <w:pPr>
        <w:spacing w:before="217" w:beforeLines="50" w:line="500" w:lineRule="exact"/>
        <w:jc w:val="center"/>
        <w:rPr>
          <w:b/>
        </w:rPr>
      </w:pPr>
      <w:r>
        <w:rPr>
          <w:rFonts w:hint="eastAsia"/>
          <w:b/>
        </w:rPr>
        <w:t>表</w:t>
      </w:r>
      <w:r>
        <w:rPr>
          <w:b/>
        </w:rPr>
        <w:t xml:space="preserve">5  </w:t>
      </w:r>
      <w:r>
        <w:rPr>
          <w:rFonts w:hint="eastAsia"/>
          <w:b/>
        </w:rPr>
        <w:t>学科（学术）队伍梯队建设核心指标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3544"/>
        <w:gridCol w:w="1283"/>
        <w:gridCol w:w="1283"/>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876" w:type="pct"/>
            <w:gridSpan w:val="2"/>
            <w:shd w:val="clear" w:color="auto" w:fill="auto"/>
            <w:vAlign w:val="center"/>
          </w:tcPr>
          <w:p>
            <w:pPr>
              <w:jc w:val="center"/>
              <w:rPr>
                <w:b/>
                <w:sz w:val="24"/>
                <w:szCs w:val="24"/>
                <w:shd w:val="pct10" w:color="auto" w:fill="FFFFFF"/>
              </w:rPr>
            </w:pPr>
            <w:r>
              <w:rPr>
                <w:rFonts w:hint="eastAsia"/>
                <w:b/>
                <w:sz w:val="24"/>
                <w:szCs w:val="24"/>
              </w:rPr>
              <w:t>主要指标</w:t>
            </w:r>
          </w:p>
        </w:tc>
        <w:tc>
          <w:tcPr>
            <w:tcW w:w="708" w:type="pct"/>
            <w:vAlign w:val="center"/>
          </w:tcPr>
          <w:p>
            <w:pPr>
              <w:spacing w:line="360" w:lineRule="exact"/>
              <w:jc w:val="center"/>
              <w:rPr>
                <w:b/>
                <w:sz w:val="24"/>
                <w:szCs w:val="24"/>
              </w:rPr>
            </w:pPr>
            <w:r>
              <w:rPr>
                <w:b/>
                <w:sz w:val="24"/>
                <w:szCs w:val="24"/>
              </w:rPr>
              <w:t>2020</w:t>
            </w:r>
            <w:r>
              <w:rPr>
                <w:rFonts w:hint="eastAsia"/>
                <w:b/>
                <w:sz w:val="24"/>
                <w:szCs w:val="24"/>
              </w:rPr>
              <w:t>年</w:t>
            </w:r>
          </w:p>
          <w:p>
            <w:pPr>
              <w:spacing w:line="360" w:lineRule="exact"/>
              <w:jc w:val="center"/>
              <w:rPr>
                <w:b/>
                <w:sz w:val="24"/>
                <w:szCs w:val="24"/>
              </w:rPr>
            </w:pPr>
            <w:r>
              <w:rPr>
                <w:rFonts w:hint="eastAsia"/>
                <w:b/>
                <w:sz w:val="24"/>
                <w:szCs w:val="24"/>
              </w:rPr>
              <w:t>现状</w:t>
            </w:r>
          </w:p>
        </w:tc>
        <w:tc>
          <w:tcPr>
            <w:tcW w:w="708" w:type="pct"/>
          </w:tcPr>
          <w:p>
            <w:pPr>
              <w:spacing w:line="360" w:lineRule="exact"/>
              <w:jc w:val="center"/>
              <w:rPr>
                <w:b/>
                <w:sz w:val="24"/>
                <w:szCs w:val="24"/>
              </w:rPr>
            </w:pPr>
            <w:r>
              <w:rPr>
                <w:b/>
                <w:sz w:val="24"/>
                <w:szCs w:val="24"/>
              </w:rPr>
              <w:t>2022</w:t>
            </w:r>
            <w:r>
              <w:rPr>
                <w:rFonts w:hint="eastAsia"/>
                <w:b/>
                <w:sz w:val="24"/>
                <w:szCs w:val="24"/>
              </w:rPr>
              <w:t>年</w:t>
            </w:r>
          </w:p>
          <w:p>
            <w:pPr>
              <w:spacing w:line="360" w:lineRule="exact"/>
              <w:jc w:val="center"/>
              <w:rPr>
                <w:b/>
                <w:sz w:val="24"/>
                <w:szCs w:val="24"/>
              </w:rPr>
            </w:pPr>
            <w:r>
              <w:rPr>
                <w:rFonts w:hint="eastAsia"/>
                <w:b/>
                <w:sz w:val="24"/>
                <w:szCs w:val="24"/>
              </w:rPr>
              <w:t>目标值</w:t>
            </w:r>
          </w:p>
        </w:tc>
        <w:tc>
          <w:tcPr>
            <w:tcW w:w="708" w:type="pct"/>
            <w:vAlign w:val="center"/>
          </w:tcPr>
          <w:p>
            <w:pPr>
              <w:spacing w:line="360" w:lineRule="exact"/>
              <w:jc w:val="center"/>
              <w:rPr>
                <w:b/>
                <w:sz w:val="24"/>
                <w:szCs w:val="24"/>
              </w:rPr>
            </w:pPr>
            <w:r>
              <w:rPr>
                <w:b/>
                <w:sz w:val="24"/>
                <w:szCs w:val="24"/>
              </w:rPr>
              <w:t>2025</w:t>
            </w:r>
            <w:r>
              <w:rPr>
                <w:rFonts w:hint="eastAsia"/>
                <w:b/>
                <w:sz w:val="24"/>
                <w:szCs w:val="24"/>
              </w:rPr>
              <w:t>年</w:t>
            </w:r>
          </w:p>
          <w:p>
            <w:pPr>
              <w:spacing w:line="360" w:lineRule="exact"/>
              <w:jc w:val="center"/>
              <w:rPr>
                <w:b/>
                <w:sz w:val="24"/>
                <w:szCs w:val="24"/>
              </w:rPr>
            </w:pPr>
            <w:r>
              <w:rPr>
                <w:rFonts w:hint="eastAsia"/>
                <w:b/>
                <w:sz w:val="24"/>
                <w:szCs w:val="24"/>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6" w:type="pct"/>
            <w:gridSpan w:val="2"/>
            <w:shd w:val="clear" w:color="auto" w:fill="auto"/>
            <w:vAlign w:val="center"/>
          </w:tcPr>
          <w:p>
            <w:pPr>
              <w:spacing w:line="460" w:lineRule="exact"/>
              <w:jc w:val="center"/>
              <w:rPr>
                <w:sz w:val="24"/>
                <w:szCs w:val="24"/>
                <w:highlight w:val="yellow"/>
              </w:rPr>
            </w:pPr>
            <w:r>
              <w:rPr>
                <w:rFonts w:hint="eastAsia"/>
                <w:sz w:val="24"/>
                <w:szCs w:val="24"/>
              </w:rPr>
              <w:t>教师总数（人）</w:t>
            </w:r>
          </w:p>
        </w:tc>
        <w:tc>
          <w:tcPr>
            <w:tcW w:w="708" w:type="pct"/>
            <w:vAlign w:val="center"/>
          </w:tcPr>
          <w:p>
            <w:pPr>
              <w:spacing w:line="460" w:lineRule="exact"/>
              <w:jc w:val="center"/>
              <w:rPr>
                <w:sz w:val="24"/>
                <w:szCs w:val="24"/>
              </w:rPr>
            </w:pPr>
            <w:r>
              <w:rPr>
                <w:sz w:val="24"/>
                <w:szCs w:val="24"/>
              </w:rPr>
              <w:t>368</w:t>
            </w:r>
          </w:p>
        </w:tc>
        <w:tc>
          <w:tcPr>
            <w:tcW w:w="708" w:type="pct"/>
            <w:vAlign w:val="center"/>
          </w:tcPr>
          <w:p>
            <w:pPr>
              <w:spacing w:line="460" w:lineRule="exact"/>
              <w:jc w:val="center"/>
              <w:rPr>
                <w:sz w:val="24"/>
                <w:szCs w:val="24"/>
              </w:rPr>
            </w:pPr>
            <w:r>
              <w:rPr>
                <w:sz w:val="24"/>
                <w:szCs w:val="24"/>
              </w:rPr>
              <w:t>392</w:t>
            </w:r>
          </w:p>
        </w:tc>
        <w:tc>
          <w:tcPr>
            <w:tcW w:w="708" w:type="pct"/>
            <w:vAlign w:val="center"/>
          </w:tcPr>
          <w:p>
            <w:pPr>
              <w:spacing w:line="460" w:lineRule="exact"/>
              <w:jc w:val="center"/>
              <w:rPr>
                <w:sz w:val="24"/>
                <w:szCs w:val="24"/>
              </w:rPr>
            </w:pPr>
            <w:r>
              <w:rPr>
                <w:sz w:val="24"/>
                <w:szCs w:val="24"/>
              </w:rPr>
              <w:t>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6" w:type="pct"/>
            <w:gridSpan w:val="2"/>
            <w:shd w:val="clear" w:color="auto" w:fill="auto"/>
            <w:vAlign w:val="center"/>
          </w:tcPr>
          <w:p>
            <w:pPr>
              <w:spacing w:line="460" w:lineRule="exact"/>
              <w:jc w:val="center"/>
              <w:rPr>
                <w:sz w:val="24"/>
                <w:szCs w:val="24"/>
              </w:rPr>
            </w:pPr>
            <w:r>
              <w:rPr>
                <w:rFonts w:hint="eastAsia"/>
                <w:sz w:val="24"/>
                <w:szCs w:val="24"/>
              </w:rPr>
              <w:t>其中：博士学位比例</w:t>
            </w:r>
          </w:p>
        </w:tc>
        <w:tc>
          <w:tcPr>
            <w:tcW w:w="708" w:type="pct"/>
            <w:vAlign w:val="center"/>
          </w:tcPr>
          <w:p>
            <w:pPr>
              <w:spacing w:line="460" w:lineRule="exact"/>
              <w:jc w:val="center"/>
              <w:rPr>
                <w:sz w:val="24"/>
                <w:szCs w:val="24"/>
              </w:rPr>
            </w:pPr>
            <w:r>
              <w:rPr>
                <w:sz w:val="24"/>
                <w:szCs w:val="24"/>
              </w:rPr>
              <w:t>53.7%</w:t>
            </w:r>
          </w:p>
        </w:tc>
        <w:tc>
          <w:tcPr>
            <w:tcW w:w="708" w:type="pct"/>
            <w:vAlign w:val="center"/>
          </w:tcPr>
          <w:p>
            <w:pPr>
              <w:spacing w:line="460" w:lineRule="exact"/>
              <w:jc w:val="center"/>
              <w:rPr>
                <w:sz w:val="24"/>
                <w:szCs w:val="24"/>
              </w:rPr>
            </w:pPr>
            <w:r>
              <w:rPr>
                <w:sz w:val="24"/>
                <w:szCs w:val="24"/>
              </w:rPr>
              <w:t>55%</w:t>
            </w:r>
          </w:p>
        </w:tc>
        <w:tc>
          <w:tcPr>
            <w:tcW w:w="708" w:type="pct"/>
            <w:vAlign w:val="center"/>
          </w:tcPr>
          <w:p>
            <w:pPr>
              <w:spacing w:line="460" w:lineRule="exact"/>
              <w:jc w:val="center"/>
              <w:rPr>
                <w:sz w:val="24"/>
                <w:szCs w:val="24"/>
              </w:rPr>
            </w:pPr>
            <w:r>
              <w:rPr>
                <w:sz w:val="24"/>
                <w:szCs w:val="24"/>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6" w:type="pct"/>
            <w:gridSpan w:val="2"/>
            <w:shd w:val="clear" w:color="auto" w:fill="auto"/>
            <w:vAlign w:val="center"/>
          </w:tcPr>
          <w:p>
            <w:pPr>
              <w:spacing w:line="460" w:lineRule="exact"/>
              <w:jc w:val="center"/>
              <w:rPr>
                <w:sz w:val="24"/>
                <w:szCs w:val="24"/>
              </w:rPr>
            </w:pPr>
            <w:r>
              <w:rPr>
                <w:sz w:val="24"/>
                <w:szCs w:val="24"/>
              </w:rPr>
              <w:t xml:space="preserve">      </w:t>
            </w:r>
            <w:r>
              <w:rPr>
                <w:rFonts w:hint="eastAsia"/>
                <w:sz w:val="24"/>
                <w:szCs w:val="24"/>
              </w:rPr>
              <w:t>高级职称比例</w:t>
            </w:r>
          </w:p>
        </w:tc>
        <w:tc>
          <w:tcPr>
            <w:tcW w:w="708" w:type="pct"/>
            <w:vAlign w:val="center"/>
          </w:tcPr>
          <w:p>
            <w:pPr>
              <w:spacing w:line="460" w:lineRule="exact"/>
              <w:jc w:val="center"/>
              <w:rPr>
                <w:sz w:val="24"/>
                <w:szCs w:val="24"/>
              </w:rPr>
            </w:pPr>
            <w:r>
              <w:rPr>
                <w:sz w:val="24"/>
                <w:szCs w:val="24"/>
              </w:rPr>
              <w:t>44.1%</w:t>
            </w:r>
          </w:p>
        </w:tc>
        <w:tc>
          <w:tcPr>
            <w:tcW w:w="708" w:type="pct"/>
            <w:vAlign w:val="center"/>
          </w:tcPr>
          <w:p>
            <w:pPr>
              <w:spacing w:line="460" w:lineRule="exact"/>
              <w:jc w:val="center"/>
              <w:rPr>
                <w:sz w:val="24"/>
                <w:szCs w:val="24"/>
              </w:rPr>
            </w:pPr>
            <w:r>
              <w:rPr>
                <w:sz w:val="24"/>
                <w:szCs w:val="24"/>
              </w:rPr>
              <w:t>45%</w:t>
            </w:r>
          </w:p>
        </w:tc>
        <w:tc>
          <w:tcPr>
            <w:tcW w:w="708" w:type="pct"/>
            <w:vAlign w:val="center"/>
          </w:tcPr>
          <w:p>
            <w:pPr>
              <w:spacing w:line="460" w:lineRule="exact"/>
              <w:jc w:val="center"/>
              <w:rPr>
                <w:sz w:val="24"/>
                <w:szCs w:val="24"/>
              </w:rPr>
            </w:pPr>
            <w:r>
              <w:rPr>
                <w:sz w:val="24"/>
                <w:szCs w:val="24"/>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6" w:type="pct"/>
            <w:gridSpan w:val="2"/>
            <w:shd w:val="clear" w:color="auto" w:fill="auto"/>
            <w:vAlign w:val="center"/>
          </w:tcPr>
          <w:p>
            <w:pPr>
              <w:spacing w:line="460" w:lineRule="exact"/>
              <w:jc w:val="center"/>
              <w:rPr>
                <w:sz w:val="24"/>
                <w:szCs w:val="24"/>
              </w:rPr>
            </w:pPr>
            <w:r>
              <w:rPr>
                <w:sz w:val="24"/>
                <w:szCs w:val="24"/>
              </w:rPr>
              <w:t xml:space="preserve">       </w:t>
            </w:r>
            <w:r>
              <w:rPr>
                <w:rFonts w:hint="eastAsia"/>
                <w:sz w:val="24"/>
                <w:szCs w:val="24"/>
              </w:rPr>
              <w:t>有境外交流、培训等经历的教师占比</w:t>
            </w:r>
          </w:p>
        </w:tc>
        <w:tc>
          <w:tcPr>
            <w:tcW w:w="708" w:type="pct"/>
            <w:vAlign w:val="center"/>
          </w:tcPr>
          <w:p>
            <w:pPr>
              <w:spacing w:line="460" w:lineRule="exact"/>
              <w:jc w:val="center"/>
              <w:rPr>
                <w:sz w:val="24"/>
                <w:szCs w:val="24"/>
              </w:rPr>
            </w:pPr>
            <w:r>
              <w:rPr>
                <w:sz w:val="24"/>
                <w:szCs w:val="24"/>
              </w:rPr>
              <w:t>22.8%</w:t>
            </w:r>
          </w:p>
        </w:tc>
        <w:tc>
          <w:tcPr>
            <w:tcW w:w="708" w:type="pct"/>
            <w:vAlign w:val="center"/>
          </w:tcPr>
          <w:p>
            <w:pPr>
              <w:spacing w:line="460" w:lineRule="exact"/>
              <w:jc w:val="center"/>
              <w:rPr>
                <w:sz w:val="24"/>
                <w:szCs w:val="24"/>
              </w:rPr>
            </w:pPr>
            <w:r>
              <w:rPr>
                <w:sz w:val="24"/>
                <w:szCs w:val="24"/>
              </w:rPr>
              <w:t>24%</w:t>
            </w:r>
          </w:p>
        </w:tc>
        <w:tc>
          <w:tcPr>
            <w:tcW w:w="708" w:type="pct"/>
            <w:vAlign w:val="center"/>
          </w:tcPr>
          <w:p>
            <w:pPr>
              <w:spacing w:line="460" w:lineRule="exact"/>
              <w:jc w:val="center"/>
              <w:rPr>
                <w:sz w:val="24"/>
                <w:szCs w:val="24"/>
              </w:rPr>
            </w:pPr>
            <w:r>
              <w:rPr>
                <w:sz w:val="24"/>
                <w:szCs w:val="24"/>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6" w:type="pct"/>
            <w:gridSpan w:val="2"/>
            <w:shd w:val="clear" w:color="auto" w:fill="auto"/>
            <w:vAlign w:val="center"/>
          </w:tcPr>
          <w:p>
            <w:pPr>
              <w:spacing w:line="460" w:lineRule="exact"/>
              <w:jc w:val="center"/>
              <w:rPr>
                <w:sz w:val="24"/>
                <w:szCs w:val="24"/>
              </w:rPr>
            </w:pPr>
            <w:r>
              <w:rPr>
                <w:sz w:val="24"/>
                <w:szCs w:val="24"/>
              </w:rPr>
              <w:t xml:space="preserve">        </w:t>
            </w:r>
            <w:r>
              <w:rPr>
                <w:rFonts w:hint="eastAsia"/>
                <w:sz w:val="24"/>
                <w:szCs w:val="24"/>
              </w:rPr>
              <w:t>双师型教师占比</w:t>
            </w:r>
          </w:p>
        </w:tc>
        <w:tc>
          <w:tcPr>
            <w:tcW w:w="708" w:type="pct"/>
            <w:vAlign w:val="center"/>
          </w:tcPr>
          <w:p>
            <w:pPr>
              <w:spacing w:line="460" w:lineRule="exact"/>
              <w:jc w:val="center"/>
              <w:rPr>
                <w:sz w:val="24"/>
                <w:szCs w:val="24"/>
              </w:rPr>
            </w:pPr>
            <w:r>
              <w:rPr>
                <w:sz w:val="24"/>
                <w:szCs w:val="24"/>
              </w:rPr>
              <w:t>19%</w:t>
            </w:r>
          </w:p>
        </w:tc>
        <w:tc>
          <w:tcPr>
            <w:tcW w:w="708" w:type="pct"/>
            <w:vAlign w:val="center"/>
          </w:tcPr>
          <w:p>
            <w:pPr>
              <w:spacing w:line="460" w:lineRule="exact"/>
              <w:jc w:val="center"/>
              <w:rPr>
                <w:sz w:val="24"/>
                <w:szCs w:val="24"/>
              </w:rPr>
            </w:pPr>
            <w:r>
              <w:rPr>
                <w:sz w:val="24"/>
                <w:szCs w:val="24"/>
              </w:rPr>
              <w:t>20%</w:t>
            </w:r>
          </w:p>
        </w:tc>
        <w:tc>
          <w:tcPr>
            <w:tcW w:w="708" w:type="pct"/>
            <w:vAlign w:val="center"/>
          </w:tcPr>
          <w:p>
            <w:pPr>
              <w:spacing w:line="460" w:lineRule="exact"/>
              <w:jc w:val="center"/>
              <w:rPr>
                <w:sz w:val="24"/>
                <w:szCs w:val="24"/>
              </w:rPr>
            </w:pPr>
            <w:r>
              <w:rPr>
                <w:sz w:val="24"/>
                <w:szCs w:val="24"/>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restart"/>
            <w:shd w:val="clear" w:color="auto" w:fill="auto"/>
            <w:vAlign w:val="center"/>
          </w:tcPr>
          <w:p>
            <w:pPr>
              <w:widowControl/>
              <w:spacing w:line="460" w:lineRule="exact"/>
              <w:jc w:val="center"/>
              <w:rPr>
                <w:sz w:val="24"/>
                <w:szCs w:val="24"/>
              </w:rPr>
            </w:pPr>
            <w:r>
              <w:rPr>
                <w:rFonts w:hint="eastAsia"/>
                <w:sz w:val="24"/>
                <w:szCs w:val="24"/>
              </w:rPr>
              <w:t>人才项目</w:t>
            </w:r>
          </w:p>
        </w:tc>
        <w:tc>
          <w:tcPr>
            <w:tcW w:w="1956" w:type="pct"/>
            <w:vAlign w:val="center"/>
          </w:tcPr>
          <w:p>
            <w:pPr>
              <w:widowControl/>
              <w:spacing w:line="460" w:lineRule="exact"/>
              <w:jc w:val="center"/>
              <w:rPr>
                <w:sz w:val="24"/>
                <w:szCs w:val="24"/>
              </w:rPr>
            </w:pPr>
            <w:r>
              <w:rPr>
                <w:rFonts w:hint="eastAsia"/>
                <w:sz w:val="24"/>
                <w:szCs w:val="24"/>
              </w:rPr>
              <w:t>国家级</w:t>
            </w:r>
          </w:p>
        </w:tc>
        <w:tc>
          <w:tcPr>
            <w:tcW w:w="708" w:type="pct"/>
            <w:vAlign w:val="center"/>
          </w:tcPr>
          <w:p>
            <w:pPr>
              <w:spacing w:line="460" w:lineRule="exact"/>
              <w:jc w:val="center"/>
              <w:rPr>
                <w:sz w:val="24"/>
                <w:szCs w:val="24"/>
              </w:rPr>
            </w:pPr>
            <w:r>
              <w:rPr>
                <w:sz w:val="24"/>
                <w:szCs w:val="24"/>
              </w:rPr>
              <w:t>0</w:t>
            </w:r>
          </w:p>
        </w:tc>
        <w:tc>
          <w:tcPr>
            <w:tcW w:w="708" w:type="pct"/>
            <w:vAlign w:val="center"/>
          </w:tcPr>
          <w:p>
            <w:pPr>
              <w:spacing w:line="460" w:lineRule="exact"/>
              <w:jc w:val="center"/>
              <w:rPr>
                <w:sz w:val="24"/>
                <w:szCs w:val="24"/>
              </w:rPr>
            </w:pPr>
            <w:r>
              <w:rPr>
                <w:sz w:val="24"/>
                <w:szCs w:val="24"/>
              </w:rPr>
              <w:t>0</w:t>
            </w:r>
          </w:p>
        </w:tc>
        <w:tc>
          <w:tcPr>
            <w:tcW w:w="708" w:type="pct"/>
            <w:vAlign w:val="center"/>
          </w:tcPr>
          <w:p>
            <w:pPr>
              <w:spacing w:line="460" w:lineRule="exact"/>
              <w:jc w:val="center"/>
              <w:rPr>
                <w:sz w:val="24"/>
                <w:szCs w:val="24"/>
              </w:rPr>
            </w:pPr>
            <w:r>
              <w:rPr>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continue"/>
            <w:shd w:val="clear" w:color="auto" w:fill="auto"/>
            <w:vAlign w:val="center"/>
          </w:tcPr>
          <w:p>
            <w:pPr>
              <w:widowControl/>
              <w:spacing w:line="460" w:lineRule="exact"/>
              <w:jc w:val="center"/>
              <w:rPr>
                <w:sz w:val="24"/>
                <w:szCs w:val="24"/>
              </w:rPr>
            </w:pPr>
          </w:p>
        </w:tc>
        <w:tc>
          <w:tcPr>
            <w:tcW w:w="1956" w:type="pct"/>
            <w:vAlign w:val="center"/>
          </w:tcPr>
          <w:p>
            <w:pPr>
              <w:widowControl/>
              <w:spacing w:line="460" w:lineRule="exact"/>
              <w:jc w:val="center"/>
              <w:rPr>
                <w:sz w:val="24"/>
                <w:szCs w:val="24"/>
              </w:rPr>
            </w:pPr>
            <w:r>
              <w:rPr>
                <w:rFonts w:hint="eastAsia"/>
                <w:sz w:val="24"/>
                <w:szCs w:val="24"/>
              </w:rPr>
              <w:t>省部级</w:t>
            </w:r>
          </w:p>
        </w:tc>
        <w:tc>
          <w:tcPr>
            <w:tcW w:w="708" w:type="pct"/>
            <w:vAlign w:val="center"/>
          </w:tcPr>
          <w:p>
            <w:pPr>
              <w:spacing w:line="460" w:lineRule="exact"/>
              <w:jc w:val="center"/>
              <w:rPr>
                <w:sz w:val="24"/>
                <w:szCs w:val="24"/>
              </w:rPr>
            </w:pPr>
            <w:r>
              <w:rPr>
                <w:sz w:val="24"/>
                <w:szCs w:val="24"/>
              </w:rPr>
              <w:t>3</w:t>
            </w:r>
          </w:p>
        </w:tc>
        <w:tc>
          <w:tcPr>
            <w:tcW w:w="708" w:type="pct"/>
            <w:vAlign w:val="center"/>
          </w:tcPr>
          <w:p>
            <w:pPr>
              <w:spacing w:line="460" w:lineRule="exact"/>
              <w:jc w:val="center"/>
              <w:rPr>
                <w:sz w:val="24"/>
                <w:szCs w:val="24"/>
              </w:rPr>
            </w:pPr>
            <w:r>
              <w:rPr>
                <w:sz w:val="24"/>
                <w:szCs w:val="24"/>
              </w:rPr>
              <w:t>4</w:t>
            </w:r>
          </w:p>
        </w:tc>
        <w:tc>
          <w:tcPr>
            <w:tcW w:w="708" w:type="pct"/>
            <w:vAlign w:val="center"/>
          </w:tcPr>
          <w:p>
            <w:pPr>
              <w:spacing w:line="460" w:lineRule="exact"/>
              <w:jc w:val="center"/>
              <w:rPr>
                <w:sz w:val="24"/>
                <w:szCs w:val="24"/>
              </w:rPr>
            </w:pPr>
            <w:r>
              <w:rPr>
                <w:sz w:val="24"/>
                <w:szCs w:val="24"/>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continue"/>
            <w:shd w:val="clear" w:color="auto" w:fill="auto"/>
            <w:vAlign w:val="center"/>
          </w:tcPr>
          <w:p>
            <w:pPr>
              <w:widowControl/>
              <w:spacing w:line="460" w:lineRule="exact"/>
              <w:jc w:val="center"/>
              <w:rPr>
                <w:sz w:val="24"/>
                <w:szCs w:val="24"/>
              </w:rPr>
            </w:pPr>
          </w:p>
        </w:tc>
        <w:tc>
          <w:tcPr>
            <w:tcW w:w="1956" w:type="pct"/>
            <w:vAlign w:val="center"/>
          </w:tcPr>
          <w:p>
            <w:pPr>
              <w:widowControl/>
              <w:spacing w:line="460" w:lineRule="exact"/>
              <w:jc w:val="center"/>
              <w:rPr>
                <w:sz w:val="24"/>
                <w:szCs w:val="24"/>
              </w:rPr>
            </w:pPr>
            <w:r>
              <w:rPr>
                <w:rFonts w:hint="eastAsia"/>
                <w:sz w:val="24"/>
                <w:szCs w:val="24"/>
              </w:rPr>
              <w:t>学科带头人（人）</w:t>
            </w:r>
          </w:p>
        </w:tc>
        <w:tc>
          <w:tcPr>
            <w:tcW w:w="708" w:type="pct"/>
            <w:vAlign w:val="center"/>
          </w:tcPr>
          <w:p>
            <w:pPr>
              <w:spacing w:line="460" w:lineRule="exact"/>
              <w:jc w:val="center"/>
              <w:rPr>
                <w:sz w:val="24"/>
                <w:szCs w:val="24"/>
              </w:rPr>
            </w:pPr>
            <w:r>
              <w:rPr>
                <w:sz w:val="24"/>
                <w:szCs w:val="24"/>
              </w:rPr>
              <w:t>16</w:t>
            </w:r>
          </w:p>
        </w:tc>
        <w:tc>
          <w:tcPr>
            <w:tcW w:w="708" w:type="pct"/>
            <w:vAlign w:val="center"/>
          </w:tcPr>
          <w:p>
            <w:pPr>
              <w:spacing w:line="460" w:lineRule="exact"/>
              <w:jc w:val="center"/>
              <w:rPr>
                <w:sz w:val="24"/>
                <w:szCs w:val="24"/>
              </w:rPr>
            </w:pPr>
            <w:r>
              <w:rPr>
                <w:sz w:val="24"/>
                <w:szCs w:val="24"/>
              </w:rPr>
              <w:t>5-7</w:t>
            </w:r>
            <w:r>
              <w:rPr>
                <w:rFonts w:hint="eastAsia"/>
                <w:sz w:val="24"/>
                <w:szCs w:val="24"/>
              </w:rPr>
              <w:t xml:space="preserve"> </w:t>
            </w:r>
          </w:p>
        </w:tc>
        <w:tc>
          <w:tcPr>
            <w:tcW w:w="708" w:type="pct"/>
            <w:vAlign w:val="center"/>
          </w:tcPr>
          <w:p>
            <w:pPr>
              <w:spacing w:line="460" w:lineRule="exact"/>
              <w:jc w:val="center"/>
              <w:rPr>
                <w:sz w:val="24"/>
                <w:szCs w:val="24"/>
              </w:rPr>
            </w:pPr>
            <w:r>
              <w:rPr>
                <w:sz w:val="24"/>
                <w:szCs w:val="24"/>
              </w:rPr>
              <w:t>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continue"/>
            <w:shd w:val="clear" w:color="auto" w:fill="auto"/>
            <w:vAlign w:val="center"/>
          </w:tcPr>
          <w:p>
            <w:pPr>
              <w:widowControl/>
              <w:spacing w:line="460" w:lineRule="exact"/>
              <w:jc w:val="center"/>
              <w:rPr>
                <w:sz w:val="24"/>
                <w:szCs w:val="24"/>
              </w:rPr>
            </w:pPr>
          </w:p>
        </w:tc>
        <w:tc>
          <w:tcPr>
            <w:tcW w:w="1956" w:type="pct"/>
            <w:vAlign w:val="center"/>
          </w:tcPr>
          <w:p>
            <w:pPr>
              <w:widowControl/>
              <w:spacing w:line="460" w:lineRule="exact"/>
              <w:jc w:val="center"/>
              <w:rPr>
                <w:sz w:val="24"/>
                <w:szCs w:val="24"/>
              </w:rPr>
            </w:pPr>
            <w:r>
              <w:rPr>
                <w:rFonts w:hint="eastAsia"/>
                <w:sz w:val="24"/>
                <w:szCs w:val="24"/>
              </w:rPr>
              <w:t>学术骨干（人）</w:t>
            </w:r>
          </w:p>
        </w:tc>
        <w:tc>
          <w:tcPr>
            <w:tcW w:w="708" w:type="pct"/>
            <w:vAlign w:val="center"/>
          </w:tcPr>
          <w:p>
            <w:pPr>
              <w:spacing w:line="460" w:lineRule="exact"/>
              <w:jc w:val="center"/>
              <w:rPr>
                <w:sz w:val="24"/>
                <w:szCs w:val="24"/>
              </w:rPr>
            </w:pPr>
            <w:r>
              <w:rPr>
                <w:sz w:val="24"/>
                <w:szCs w:val="24"/>
              </w:rPr>
              <w:t>12</w:t>
            </w:r>
          </w:p>
        </w:tc>
        <w:tc>
          <w:tcPr>
            <w:tcW w:w="708" w:type="pct"/>
            <w:vAlign w:val="center"/>
          </w:tcPr>
          <w:p>
            <w:pPr>
              <w:spacing w:line="460" w:lineRule="exact"/>
              <w:jc w:val="center"/>
              <w:rPr>
                <w:sz w:val="24"/>
                <w:szCs w:val="24"/>
              </w:rPr>
            </w:pPr>
            <w:r>
              <w:rPr>
                <w:sz w:val="24"/>
                <w:szCs w:val="24"/>
              </w:rPr>
              <w:t>10-15</w:t>
            </w:r>
          </w:p>
        </w:tc>
        <w:tc>
          <w:tcPr>
            <w:tcW w:w="708" w:type="pct"/>
            <w:vAlign w:val="center"/>
          </w:tcPr>
          <w:p>
            <w:pPr>
              <w:spacing w:line="460" w:lineRule="exact"/>
              <w:jc w:val="center"/>
              <w:rPr>
                <w:sz w:val="24"/>
                <w:szCs w:val="24"/>
              </w:rPr>
            </w:pPr>
            <w:r>
              <w:rPr>
                <w:sz w:val="24"/>
                <w:szCs w:val="24"/>
              </w:rPr>
              <w:t>16-20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continue"/>
            <w:shd w:val="clear" w:color="auto" w:fill="auto"/>
            <w:vAlign w:val="center"/>
          </w:tcPr>
          <w:p>
            <w:pPr>
              <w:spacing w:line="460" w:lineRule="exact"/>
              <w:jc w:val="center"/>
              <w:rPr>
                <w:sz w:val="24"/>
                <w:szCs w:val="24"/>
              </w:rPr>
            </w:pPr>
          </w:p>
        </w:tc>
        <w:tc>
          <w:tcPr>
            <w:tcW w:w="1956" w:type="pct"/>
            <w:vAlign w:val="center"/>
          </w:tcPr>
          <w:p>
            <w:pPr>
              <w:spacing w:line="460" w:lineRule="exact"/>
              <w:jc w:val="center"/>
              <w:rPr>
                <w:sz w:val="24"/>
                <w:szCs w:val="24"/>
              </w:rPr>
            </w:pPr>
            <w:r>
              <w:rPr>
                <w:rFonts w:hint="eastAsia"/>
                <w:sz w:val="24"/>
                <w:szCs w:val="24"/>
              </w:rPr>
              <w:t>未来卓越学者（人）</w:t>
            </w:r>
          </w:p>
        </w:tc>
        <w:tc>
          <w:tcPr>
            <w:tcW w:w="708" w:type="pct"/>
            <w:vAlign w:val="center"/>
          </w:tcPr>
          <w:p>
            <w:pPr>
              <w:spacing w:line="460" w:lineRule="exact"/>
              <w:jc w:val="center"/>
              <w:rPr>
                <w:sz w:val="24"/>
                <w:szCs w:val="24"/>
              </w:rPr>
            </w:pPr>
            <w:r>
              <w:rPr>
                <w:sz w:val="24"/>
                <w:szCs w:val="24"/>
              </w:rPr>
              <w:t>0</w:t>
            </w:r>
          </w:p>
        </w:tc>
        <w:tc>
          <w:tcPr>
            <w:tcW w:w="708" w:type="pct"/>
            <w:vAlign w:val="center"/>
          </w:tcPr>
          <w:p>
            <w:pPr>
              <w:spacing w:line="460" w:lineRule="exact"/>
              <w:jc w:val="center"/>
              <w:rPr>
                <w:sz w:val="24"/>
                <w:szCs w:val="24"/>
              </w:rPr>
            </w:pPr>
            <w:r>
              <w:rPr>
                <w:sz w:val="24"/>
                <w:szCs w:val="24"/>
              </w:rPr>
              <w:t>15</w:t>
            </w:r>
          </w:p>
        </w:tc>
        <w:tc>
          <w:tcPr>
            <w:tcW w:w="708" w:type="pct"/>
            <w:vAlign w:val="center"/>
          </w:tcPr>
          <w:p>
            <w:pPr>
              <w:spacing w:line="460" w:lineRule="exact"/>
              <w:jc w:val="center"/>
              <w:rPr>
                <w:sz w:val="24"/>
                <w:szCs w:val="24"/>
              </w:rPr>
            </w:pPr>
            <w:r>
              <w:rPr>
                <w:sz w:val="24"/>
                <w:szCs w:val="24"/>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restart"/>
            <w:shd w:val="clear" w:color="auto" w:fill="auto"/>
            <w:vAlign w:val="center"/>
          </w:tcPr>
          <w:p>
            <w:pPr>
              <w:spacing w:line="460" w:lineRule="exact"/>
              <w:jc w:val="center"/>
              <w:rPr>
                <w:spacing w:val="-10"/>
                <w:sz w:val="24"/>
                <w:szCs w:val="24"/>
              </w:rPr>
            </w:pPr>
            <w:r>
              <w:rPr>
                <w:rFonts w:hint="eastAsia"/>
                <w:spacing w:val="-10"/>
                <w:sz w:val="24"/>
                <w:szCs w:val="24"/>
              </w:rPr>
              <w:t>高水平团队</w:t>
            </w:r>
          </w:p>
        </w:tc>
        <w:tc>
          <w:tcPr>
            <w:tcW w:w="1956" w:type="pct"/>
            <w:vAlign w:val="center"/>
          </w:tcPr>
          <w:p>
            <w:pPr>
              <w:spacing w:line="460" w:lineRule="exact"/>
              <w:jc w:val="center"/>
              <w:rPr>
                <w:sz w:val="24"/>
                <w:szCs w:val="24"/>
              </w:rPr>
            </w:pPr>
            <w:r>
              <w:rPr>
                <w:rFonts w:hint="eastAsia"/>
                <w:sz w:val="24"/>
                <w:szCs w:val="24"/>
              </w:rPr>
              <w:t>科研团队、智库专家团队（个）</w:t>
            </w:r>
          </w:p>
        </w:tc>
        <w:tc>
          <w:tcPr>
            <w:tcW w:w="708" w:type="pct"/>
            <w:vAlign w:val="center"/>
          </w:tcPr>
          <w:p>
            <w:pPr>
              <w:spacing w:line="460" w:lineRule="exact"/>
              <w:jc w:val="center"/>
              <w:rPr>
                <w:sz w:val="24"/>
                <w:szCs w:val="24"/>
              </w:rPr>
            </w:pPr>
            <w:r>
              <w:rPr>
                <w:sz w:val="24"/>
                <w:szCs w:val="24"/>
              </w:rPr>
              <w:t>1</w:t>
            </w:r>
          </w:p>
        </w:tc>
        <w:tc>
          <w:tcPr>
            <w:tcW w:w="708" w:type="pct"/>
            <w:vAlign w:val="center"/>
          </w:tcPr>
          <w:p>
            <w:pPr>
              <w:spacing w:line="460" w:lineRule="exact"/>
              <w:jc w:val="center"/>
              <w:rPr>
                <w:sz w:val="24"/>
                <w:szCs w:val="24"/>
              </w:rPr>
            </w:pPr>
            <w:r>
              <w:rPr>
                <w:sz w:val="24"/>
                <w:szCs w:val="24"/>
              </w:rPr>
              <w:t>2</w:t>
            </w:r>
          </w:p>
        </w:tc>
        <w:tc>
          <w:tcPr>
            <w:tcW w:w="708" w:type="pct"/>
            <w:vAlign w:val="center"/>
          </w:tcPr>
          <w:p>
            <w:pPr>
              <w:spacing w:line="460" w:lineRule="exact"/>
              <w:jc w:val="center"/>
              <w:rPr>
                <w:sz w:val="24"/>
                <w:szCs w:val="24"/>
              </w:rPr>
            </w:pPr>
            <w:r>
              <w:rPr>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vMerge w:val="continue"/>
            <w:shd w:val="clear" w:color="auto" w:fill="auto"/>
            <w:vAlign w:val="center"/>
          </w:tcPr>
          <w:p>
            <w:pPr>
              <w:spacing w:line="460" w:lineRule="exact"/>
              <w:jc w:val="center"/>
              <w:rPr>
                <w:spacing w:val="-10"/>
                <w:sz w:val="24"/>
                <w:szCs w:val="24"/>
              </w:rPr>
            </w:pPr>
          </w:p>
        </w:tc>
        <w:tc>
          <w:tcPr>
            <w:tcW w:w="1956" w:type="pct"/>
            <w:vAlign w:val="center"/>
          </w:tcPr>
          <w:p>
            <w:pPr>
              <w:spacing w:line="460" w:lineRule="exact"/>
              <w:jc w:val="center"/>
              <w:rPr>
                <w:sz w:val="24"/>
                <w:szCs w:val="24"/>
              </w:rPr>
            </w:pPr>
            <w:r>
              <w:rPr>
                <w:rFonts w:hint="eastAsia"/>
                <w:sz w:val="24"/>
                <w:szCs w:val="24"/>
              </w:rPr>
              <w:t>教学团队（个）</w:t>
            </w:r>
          </w:p>
        </w:tc>
        <w:tc>
          <w:tcPr>
            <w:tcW w:w="708" w:type="pct"/>
            <w:vAlign w:val="center"/>
          </w:tcPr>
          <w:p>
            <w:pPr>
              <w:spacing w:line="460" w:lineRule="exact"/>
              <w:jc w:val="center"/>
              <w:rPr>
                <w:sz w:val="24"/>
                <w:szCs w:val="24"/>
              </w:rPr>
            </w:pPr>
            <w:r>
              <w:rPr>
                <w:sz w:val="24"/>
                <w:szCs w:val="24"/>
              </w:rPr>
              <w:t>5</w:t>
            </w:r>
          </w:p>
        </w:tc>
        <w:tc>
          <w:tcPr>
            <w:tcW w:w="708" w:type="pct"/>
            <w:vAlign w:val="center"/>
          </w:tcPr>
          <w:p>
            <w:pPr>
              <w:spacing w:line="460" w:lineRule="exact"/>
              <w:jc w:val="center"/>
              <w:rPr>
                <w:sz w:val="24"/>
                <w:szCs w:val="24"/>
              </w:rPr>
            </w:pPr>
            <w:r>
              <w:rPr>
                <w:sz w:val="24"/>
                <w:szCs w:val="24"/>
              </w:rPr>
              <w:t>6</w:t>
            </w:r>
          </w:p>
        </w:tc>
        <w:tc>
          <w:tcPr>
            <w:tcW w:w="708" w:type="pct"/>
            <w:vAlign w:val="center"/>
          </w:tcPr>
          <w:p>
            <w:pPr>
              <w:spacing w:line="460" w:lineRule="exact"/>
              <w:jc w:val="center"/>
              <w:rPr>
                <w:sz w:val="24"/>
                <w:szCs w:val="24"/>
              </w:rPr>
            </w:pPr>
            <w:r>
              <w:rPr>
                <w:sz w:val="24"/>
                <w:szCs w:val="24"/>
              </w:rPr>
              <w:t>7-8</w:t>
            </w:r>
          </w:p>
        </w:tc>
      </w:tr>
    </w:tbl>
    <w:p>
      <w:pPr>
        <w:spacing w:before="217" w:beforeLines="50" w:line="600" w:lineRule="exact"/>
        <w:ind w:firstLine="640" w:firstLineChars="200"/>
        <w:rPr>
          <w:rStyle w:val="32"/>
          <w:rFonts w:ascii="楷体" w:hAnsi="楷体" w:eastAsia="楷体" w:cs="楷体"/>
          <w:b w:val="0"/>
          <w:bCs w:val="0"/>
        </w:rPr>
      </w:pPr>
      <w:bookmarkStart w:id="68" w:name="_Toc77754758"/>
      <w:bookmarkStart w:id="69" w:name="_Toc58316091"/>
      <w:bookmarkStart w:id="70" w:name="_Toc66728803"/>
      <w:r>
        <w:rPr>
          <w:rStyle w:val="32"/>
          <w:rFonts w:hint="eastAsia" w:ascii="楷体" w:hAnsi="楷体" w:eastAsia="楷体" w:cs="楷体"/>
          <w:b w:val="0"/>
          <w:bCs w:val="0"/>
        </w:rPr>
        <w:t>（六）研究生培养质量提升行动</w:t>
      </w:r>
      <w:bookmarkEnd w:id="68"/>
      <w:bookmarkEnd w:id="69"/>
      <w:bookmarkEnd w:id="70"/>
    </w:p>
    <w:p>
      <w:pPr>
        <w:spacing w:line="600" w:lineRule="exact"/>
        <w:ind w:firstLine="640" w:firstLineChars="200"/>
        <w:rPr>
          <w:bCs/>
        </w:rPr>
      </w:pPr>
      <w:r>
        <w:rPr>
          <w:rFonts w:hint="eastAsia"/>
          <w:bCs/>
        </w:rPr>
        <w:t>以人才培养为根本，改革、创新研究生培养机制，构建夯实研究生教育体系，全面提升研究生培养质量。</w:t>
      </w:r>
    </w:p>
    <w:p>
      <w:pPr>
        <w:spacing w:line="600" w:lineRule="exact"/>
        <w:ind w:firstLine="640" w:firstLineChars="200"/>
        <w:rPr>
          <w:bCs/>
        </w:rPr>
      </w:pPr>
      <w:r>
        <w:rPr>
          <w:rFonts w:hint="eastAsia"/>
          <w:bCs/>
        </w:rPr>
        <w:t>严格规范研究生考试招生工作。严慎细实做好研究生考试招生工作，确保公开、公平、公正。</w:t>
      </w:r>
    </w:p>
    <w:p>
      <w:pPr>
        <w:spacing w:line="580" w:lineRule="exact"/>
        <w:ind w:firstLine="640" w:firstLineChars="200"/>
        <w:rPr>
          <w:bCs/>
        </w:rPr>
      </w:pPr>
      <w:r>
        <w:rPr>
          <w:rFonts w:hint="eastAsia"/>
          <w:bCs/>
        </w:rPr>
        <w:t>严抓培养全过程监控与质量保证。</w:t>
      </w:r>
      <w:r>
        <w:rPr>
          <w:rFonts w:hint="eastAsia"/>
          <w:b/>
        </w:rPr>
        <w:t>一是</w:t>
      </w:r>
      <w:r>
        <w:rPr>
          <w:rFonts w:hint="eastAsia"/>
          <w:bCs/>
        </w:rPr>
        <w:t>加强研究生课程体系建设。按照教指委相关制度，建设满足各学科方向培养目标要求、体现学校办学特色、独具特色的研究生课程体系。</w:t>
      </w:r>
      <w:r>
        <w:rPr>
          <w:rFonts w:hint="eastAsia"/>
          <w:b/>
        </w:rPr>
        <w:t>二是</w:t>
      </w:r>
      <w:r>
        <w:rPr>
          <w:rFonts w:hint="eastAsia"/>
          <w:bCs/>
        </w:rPr>
        <w:t>加强研究生教学方法改革。推动学位授权点教学研讨制度，建设建立适合培养特点的教学方法规范与基本模式，提高研究生课程教学的有效性；提升教学改革立项及建设水平。</w:t>
      </w:r>
      <w:r>
        <w:rPr>
          <w:rFonts w:hint="eastAsia"/>
          <w:b/>
        </w:rPr>
        <w:t>三是</w:t>
      </w:r>
      <w:r>
        <w:rPr>
          <w:rFonts w:hint="eastAsia"/>
          <w:bCs/>
        </w:rPr>
        <w:t>提升研究生实践能力。以产教融合和实践能力培养为核心，提高硕士生培养质量；推进“实践</w:t>
      </w:r>
      <w:r>
        <w:rPr>
          <w:bCs/>
        </w:rPr>
        <w:t>—理论—实践”的三段制培养模式</w:t>
      </w:r>
      <w:r>
        <w:rPr>
          <w:rFonts w:hint="eastAsia"/>
          <w:bCs/>
        </w:rPr>
        <w:t>。</w:t>
      </w:r>
      <w:r>
        <w:rPr>
          <w:bCs/>
        </w:rPr>
        <w:t>探索与国家职业资格认证评价的有机衔接</w:t>
      </w:r>
      <w:r>
        <w:rPr>
          <w:rFonts w:hint="eastAsia"/>
          <w:bCs/>
        </w:rPr>
        <w:t>；推动</w:t>
      </w:r>
      <w:r>
        <w:rPr>
          <w:bCs/>
        </w:rPr>
        <w:t>开展联合培养示范基地建设。</w:t>
      </w:r>
    </w:p>
    <w:p>
      <w:pPr>
        <w:spacing w:line="580" w:lineRule="exact"/>
        <w:ind w:firstLine="640" w:firstLineChars="200"/>
      </w:pPr>
      <w:r>
        <w:rPr>
          <w:rFonts w:hint="eastAsia"/>
          <w:shd w:val="clear" w:color="auto" w:fill="FFFFFF"/>
        </w:rPr>
        <w:t>加强学位论文和学位授予管理。</w:t>
      </w:r>
      <w:r>
        <w:rPr>
          <w:rFonts w:hint="eastAsia"/>
          <w:b/>
          <w:bCs/>
          <w:shd w:val="clear" w:color="auto" w:fill="FFFFFF"/>
        </w:rPr>
        <w:t>一是</w:t>
      </w:r>
      <w:r>
        <w:rPr>
          <w:rFonts w:hint="eastAsia"/>
          <w:bCs/>
        </w:rPr>
        <w:t>加强研究生导师队伍建设。完善导师队伍管理制度，明确导师职责，强调以满足学生需求为导向，强化导师身份和管理者身份的融合。</w:t>
      </w:r>
      <w:r>
        <w:rPr>
          <w:rFonts w:hint="eastAsia"/>
          <w:b/>
        </w:rPr>
        <w:t>二是</w:t>
      </w:r>
      <w:r>
        <w:rPr>
          <w:rFonts w:hint="eastAsia"/>
          <w:bCs/>
        </w:rPr>
        <w:t>加强导师遴选管理，完善新增导师培训制度、任课教师培训制度。</w:t>
      </w:r>
      <w:r>
        <w:rPr>
          <w:rFonts w:hint="eastAsia"/>
          <w:b/>
        </w:rPr>
        <w:t>三是</w:t>
      </w:r>
      <w:r>
        <w:rPr>
          <w:rFonts w:hint="eastAsia"/>
          <w:bCs/>
        </w:rPr>
        <w:t>加强校院两级学位论文质量管理，对各硕士点开展专项评估。</w:t>
      </w:r>
      <w:r>
        <w:rPr>
          <w:rFonts w:hint="eastAsia"/>
          <w:b/>
        </w:rPr>
        <w:t>四是</w:t>
      </w:r>
      <w:r>
        <w:rPr>
          <w:rFonts w:hint="eastAsia"/>
          <w:shd w:val="clear" w:color="auto" w:fill="FFFFFF"/>
        </w:rPr>
        <w:t>健全处置学术不端有效机制，学术诚信管理与督导常态化。</w:t>
      </w:r>
    </w:p>
    <w:p>
      <w:pPr>
        <w:spacing w:line="580" w:lineRule="exact"/>
        <w:ind w:firstLine="640" w:firstLineChars="200"/>
        <w:rPr>
          <w:bCs/>
        </w:rPr>
      </w:pPr>
      <w:r>
        <w:rPr>
          <w:rFonts w:hint="eastAsia"/>
          <w:bCs/>
        </w:rPr>
        <w:t>全面加强研究生党建与思想政治工作，加强规范管理。加强研究生归口管理，推动建立并完善包括学生党建、日常管理、学生资助等方面的管理制度体系；</w:t>
      </w:r>
      <w:r>
        <w:t>完善导师和研究生对处理决定的</w:t>
      </w:r>
      <w:r>
        <w:rPr>
          <w:rFonts w:hint="eastAsia"/>
        </w:rPr>
        <w:t>复议</w:t>
      </w:r>
      <w:r>
        <w:t>机制和规则，建立正当权益保护和救济机制</w:t>
      </w:r>
      <w:r>
        <w:rPr>
          <w:rFonts w:hint="eastAsia"/>
        </w:rPr>
        <w:t>；</w:t>
      </w:r>
      <w:r>
        <w:rPr>
          <w:rFonts w:hint="eastAsia"/>
          <w:bCs/>
        </w:rPr>
        <w:t>推动学校研究生会建设。</w:t>
      </w:r>
    </w:p>
    <w:p>
      <w:pPr>
        <w:spacing w:line="580" w:lineRule="exact"/>
        <w:ind w:firstLine="640" w:firstLineChars="200"/>
        <w:rPr>
          <w:rStyle w:val="32"/>
          <w:rFonts w:ascii="楷体" w:hAnsi="楷体" w:eastAsia="楷体" w:cs="楷体"/>
          <w:b w:val="0"/>
          <w:bCs w:val="0"/>
        </w:rPr>
      </w:pPr>
      <w:bookmarkStart w:id="71" w:name="_Toc66728804"/>
      <w:bookmarkStart w:id="72" w:name="_Toc77754759"/>
      <w:bookmarkStart w:id="73" w:name="_Toc58316092"/>
      <w:r>
        <w:rPr>
          <w:rStyle w:val="32"/>
          <w:rFonts w:hint="eastAsia" w:ascii="楷体" w:hAnsi="楷体" w:eastAsia="楷体" w:cs="楷体"/>
          <w:b w:val="0"/>
          <w:bCs w:val="0"/>
        </w:rPr>
        <w:t>（七）国际交流合作提升行动</w:t>
      </w:r>
      <w:bookmarkEnd w:id="71"/>
      <w:bookmarkEnd w:id="72"/>
      <w:bookmarkEnd w:id="73"/>
    </w:p>
    <w:p>
      <w:pPr>
        <w:spacing w:line="580" w:lineRule="exact"/>
        <w:ind w:firstLine="640" w:firstLineChars="200"/>
        <w:rPr>
          <w:bCs/>
        </w:rPr>
      </w:pPr>
      <w:bookmarkStart w:id="74" w:name="_Toc77754760"/>
      <w:bookmarkStart w:id="75" w:name="_Toc58316093"/>
      <w:bookmarkStart w:id="76" w:name="_Toc66728805"/>
      <w:r>
        <w:rPr>
          <w:rFonts w:hint="eastAsia"/>
          <w:bCs/>
        </w:rPr>
        <w:t>扩大对外开放办学，加强同世界各国高校的互鉴、互容、互通、互信，增强中国特色劳动学科的国际传播能力；有序推进“请进来”和“走出去”双向贯通，建立一定规模的、高质量的师生国际流动常态化机制；形成符合自身学科建设条件的国际交流规划，有针对性地选择国际交流内容，不断深化学校和师生在国际交流中对学科建设的认识；提升师资队伍国际交流水平，为建设国际知名大学打下坚实基础。</w:t>
      </w:r>
    </w:p>
    <w:p>
      <w:pPr>
        <w:spacing w:line="580" w:lineRule="exact"/>
        <w:ind w:firstLine="640" w:firstLineChars="200"/>
        <w:rPr>
          <w:bCs/>
        </w:rPr>
      </w:pPr>
      <w:r>
        <w:rPr>
          <w:rFonts w:hint="eastAsia"/>
          <w:bCs/>
        </w:rPr>
        <w:t>主要任务：</w:t>
      </w:r>
      <w:r>
        <w:rPr>
          <w:rFonts w:hint="eastAsia"/>
          <w:b/>
          <w:bCs/>
        </w:rPr>
        <w:t>一是</w:t>
      </w:r>
      <w:r>
        <w:rPr>
          <w:rFonts w:hint="eastAsia"/>
          <w:bCs/>
        </w:rPr>
        <w:t>强化国际学术交流，促进基础和特色学科建设。加强与具有相同工会和劳动关系背景的知名海外高校、研究院所的合作交流，开展具有实质性的本科阶段、研究生阶段的学制合作项目；新增</w:t>
      </w:r>
      <w:r>
        <w:rPr>
          <w:bCs/>
        </w:rPr>
        <w:t>5</w:t>
      </w:r>
      <w:r>
        <w:rPr>
          <w:rFonts w:hint="eastAsia"/>
          <w:bCs/>
        </w:rPr>
        <w:t>—</w:t>
      </w:r>
      <w:r>
        <w:rPr>
          <w:bCs/>
        </w:rPr>
        <w:t>7</w:t>
      </w:r>
      <w:r>
        <w:rPr>
          <w:rFonts w:hint="eastAsia"/>
          <w:bCs/>
        </w:rPr>
        <w:t>所海外高校合作伙伴，签订包括学制合作、师生交流、联合研究在内的合作协议；围绕学校特色学科建设的需求，有重点地参加劳动领域权威学会举办的国际性学术年会、专题研讨会和学术讲座；将年度性劳动关系系列讲座打造成学校国际学术交流的可持续发展项目品牌；出版年度《中国劳动关系研究》（英文版）和编辑《国际劳动关系研究动态》内刊，向世界传播学校教师研究成果，及时了解国际研究前沿动向。</w:t>
      </w:r>
      <w:r>
        <w:rPr>
          <w:rFonts w:hint="eastAsia"/>
          <w:b/>
          <w:bCs/>
        </w:rPr>
        <w:t>二是</w:t>
      </w:r>
      <w:r>
        <w:rPr>
          <w:rFonts w:hint="eastAsia"/>
          <w:bCs/>
        </w:rPr>
        <w:t>扩充相关专业国际课程资源。通过适当引进海外高校优质在线课程、聘请外籍教师、开设全英文和双语课堂等方式，优化学校专业课程群的建设；探索和尝试国际工会干部培训新模式，积极输出构建和谐劳动关系的中国经验、中国智慧和中国方案；积极推进和开展国际学生教育工作，培养更多知华、友华的国际友人。</w:t>
      </w:r>
      <w:r>
        <w:rPr>
          <w:rFonts w:hint="eastAsia"/>
          <w:b/>
          <w:bCs/>
        </w:rPr>
        <w:t>三是</w:t>
      </w:r>
      <w:r>
        <w:rPr>
          <w:rFonts w:hint="eastAsia"/>
          <w:bCs/>
        </w:rPr>
        <w:t>提升教师团队教学科研国际交流合作能力。通过激励性措施，提升教师在海外论文发文量；鼓励教师接受海外高水平大学客座教授的聘请并开展实质性教学科研活动；鼓励聘请外籍专家学者任教或做访问学者；鼓励教师积极参加专业领域内高水平国际性学术会议；争取政策支持、持续开展年度性教师海外培训团组项目；切实提高教师英文授课和参与国际学术交流的对话能力。</w:t>
      </w:r>
      <w:r>
        <w:rPr>
          <w:rFonts w:hint="eastAsia"/>
          <w:b/>
          <w:bCs/>
        </w:rPr>
        <w:t>四是</w:t>
      </w:r>
      <w:r>
        <w:rPr>
          <w:rFonts w:hint="eastAsia"/>
          <w:bCs/>
        </w:rPr>
        <w:t>培养具有国际视野的高素质人才。每年组织选送学生参与海外交流项目（涵盖各类中长短期项目，线上和线下相结合的形式）；围绕特色优势专业，每年新增</w:t>
      </w:r>
      <w:r>
        <w:rPr>
          <w:bCs/>
        </w:rPr>
        <w:t>1</w:t>
      </w:r>
      <w:r>
        <w:rPr>
          <w:rFonts w:hint="eastAsia"/>
          <w:bCs/>
        </w:rPr>
        <w:t>—</w:t>
      </w:r>
      <w:r>
        <w:rPr>
          <w:bCs/>
        </w:rPr>
        <w:t>2</w:t>
      </w:r>
      <w:r>
        <w:rPr>
          <w:rFonts w:hint="eastAsia"/>
          <w:bCs/>
        </w:rPr>
        <w:t>个学制合作型人才联合培养项目；五年内，力争培养并向国际组织（特别是国际劳工组织）输送优秀实习生</w:t>
      </w:r>
      <w:r>
        <w:rPr>
          <w:bCs/>
        </w:rPr>
        <w:t>5</w:t>
      </w:r>
      <w:r>
        <w:rPr>
          <w:rFonts w:hint="eastAsia"/>
          <w:bCs/>
        </w:rPr>
        <w:t>—</w:t>
      </w:r>
      <w:r>
        <w:rPr>
          <w:bCs/>
        </w:rPr>
        <w:t>10</w:t>
      </w:r>
      <w:r>
        <w:rPr>
          <w:rFonts w:hint="eastAsia"/>
          <w:bCs/>
        </w:rPr>
        <w:t>名。</w:t>
      </w:r>
    </w:p>
    <w:p>
      <w:pPr>
        <w:spacing w:before="217" w:beforeLines="50" w:line="500" w:lineRule="exact"/>
        <w:jc w:val="center"/>
        <w:rPr>
          <w:b/>
        </w:rPr>
      </w:pPr>
      <w:r>
        <w:rPr>
          <w:rFonts w:hint="eastAsia"/>
          <w:b/>
        </w:rPr>
        <w:t>表</w:t>
      </w:r>
      <w:r>
        <w:rPr>
          <w:b/>
        </w:rPr>
        <w:t>6</w:t>
      </w:r>
      <w:r>
        <w:rPr>
          <w:rFonts w:hint="eastAsia"/>
          <w:b/>
        </w:rPr>
        <w:t xml:space="preserve">  国际交流合作提升行动建设核心指标</w:t>
      </w:r>
    </w:p>
    <w:tbl>
      <w:tblPr>
        <w:tblStyle w:val="17"/>
        <w:tblW w:w="87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3368"/>
        <w:gridCol w:w="1748"/>
        <w:gridCol w:w="1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25" w:type="dxa"/>
            <w:gridSpan w:val="2"/>
            <w:tcBorders>
              <w:top w:val="single" w:color="auto" w:sz="12" w:space="0"/>
              <w:left w:val="single" w:color="auto" w:sz="12"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主要指标</w:t>
            </w:r>
          </w:p>
        </w:tc>
        <w:tc>
          <w:tcPr>
            <w:tcW w:w="1748"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2022</w:t>
            </w:r>
            <w:r>
              <w:rPr>
                <w:rFonts w:hint="eastAsia" w:ascii="Times New Roman" w:hAnsi="Times New Roman" w:eastAsia="宋体" w:cs="Times New Roman"/>
                <w:b/>
                <w:bCs/>
                <w:kern w:val="0"/>
                <w:sz w:val="24"/>
                <w:szCs w:val="24"/>
              </w:rPr>
              <w:t>年</w:t>
            </w:r>
          </w:p>
          <w:p>
            <w:pPr>
              <w:widowControl/>
              <w:spacing w:line="2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目标值</w:t>
            </w:r>
          </w:p>
        </w:tc>
        <w:tc>
          <w:tcPr>
            <w:tcW w:w="1708" w:type="dxa"/>
            <w:tcBorders>
              <w:top w:val="single" w:color="auto" w:sz="12" w:space="0"/>
              <w:left w:val="single" w:color="auto" w:sz="4" w:space="0"/>
              <w:bottom w:val="single" w:color="auto" w:sz="4" w:space="0"/>
              <w:right w:val="single" w:color="auto" w:sz="12" w:space="0"/>
            </w:tcBorders>
            <w:vAlign w:val="center"/>
          </w:tcPr>
          <w:p>
            <w:pPr>
              <w:widowControl/>
              <w:spacing w:line="24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2025</w:t>
            </w:r>
            <w:r>
              <w:rPr>
                <w:rFonts w:hint="eastAsia" w:ascii="Times New Roman" w:hAnsi="Times New Roman" w:eastAsia="宋体" w:cs="Times New Roman"/>
                <w:b/>
                <w:bCs/>
                <w:kern w:val="0"/>
                <w:sz w:val="24"/>
                <w:szCs w:val="24"/>
              </w:rPr>
              <w:t>年</w:t>
            </w:r>
          </w:p>
          <w:p>
            <w:pPr>
              <w:widowControl/>
              <w:spacing w:line="2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57" w:type="dxa"/>
            <w:vMerge w:val="restart"/>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战略规划与组织</w:t>
            </w: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校级外事专职管理人员占比（以在校教职工总人数计）</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1.75%</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spacing w:val="-16"/>
                <w:kern w:val="0"/>
                <w:sz w:val="24"/>
                <w:szCs w:val="24"/>
              </w:rPr>
            </w:pPr>
            <w:r>
              <w:rPr>
                <w:rFonts w:hint="eastAsia" w:cs="Times New Roman"/>
                <w:spacing w:val="-16"/>
                <w:kern w:val="0"/>
                <w:sz w:val="24"/>
                <w:szCs w:val="24"/>
              </w:rPr>
              <w:t>设置专兼职外事人员的学院比例</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100%</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restart"/>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人员构成与交流</w:t>
            </w: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spacing w:val="-16"/>
                <w:kern w:val="0"/>
                <w:sz w:val="24"/>
                <w:szCs w:val="24"/>
              </w:rPr>
            </w:pPr>
            <w:r>
              <w:rPr>
                <w:rFonts w:hint="eastAsia" w:cs="Times New Roman"/>
                <w:spacing w:val="-16"/>
                <w:kern w:val="0"/>
                <w:sz w:val="24"/>
                <w:szCs w:val="24"/>
              </w:rPr>
              <w:t>一年及以上出国经历的教师占比</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21%</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获得海外学位的教师占比</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5.5%</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外籍教师人数</w:t>
            </w:r>
            <w:r>
              <w:rPr>
                <w:rFonts w:cs="Times New Roman"/>
                <w:kern w:val="0"/>
                <w:sz w:val="24"/>
                <w:szCs w:val="24"/>
              </w:rPr>
              <w:t>(</w:t>
            </w:r>
            <w:r>
              <w:rPr>
                <w:rFonts w:hint="eastAsia" w:cs="Times New Roman"/>
                <w:kern w:val="0"/>
                <w:sz w:val="24"/>
                <w:szCs w:val="24"/>
              </w:rPr>
              <w:t>占比</w:t>
            </w:r>
            <w:r>
              <w:rPr>
                <w:rFonts w:cs="Times New Roman"/>
                <w:kern w:val="0"/>
                <w:sz w:val="24"/>
                <w:szCs w:val="24"/>
              </w:rPr>
              <w:t>)</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3</w:t>
            </w:r>
            <w:r>
              <w:rPr>
                <w:rFonts w:hint="eastAsia" w:cs="Times New Roman"/>
                <w:kern w:val="0"/>
                <w:sz w:val="24"/>
                <w:szCs w:val="24"/>
              </w:rPr>
              <w:t>人（</w:t>
            </w:r>
            <w:r>
              <w:rPr>
                <w:rFonts w:cs="Times New Roman"/>
                <w:kern w:val="0"/>
                <w:sz w:val="24"/>
                <w:szCs w:val="24"/>
              </w:rPr>
              <w:t>1%</w:t>
            </w:r>
            <w:r>
              <w:rPr>
                <w:rFonts w:hint="eastAsia" w:cs="Times New Roman"/>
                <w:kern w:val="0"/>
                <w:sz w:val="24"/>
                <w:szCs w:val="24"/>
              </w:rPr>
              <w:t>）</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rPr>
                <w:rFonts w:cs="Times New Roman"/>
                <w:kern w:val="0"/>
                <w:sz w:val="24"/>
                <w:szCs w:val="24"/>
              </w:rPr>
            </w:pPr>
            <w:r>
              <w:rPr>
                <w:rFonts w:cs="Times New Roman"/>
                <w:kern w:val="0"/>
                <w:sz w:val="24"/>
                <w:szCs w:val="24"/>
              </w:rPr>
              <w:t>10</w:t>
            </w:r>
            <w:r>
              <w:rPr>
                <w:rFonts w:hint="eastAsia" w:cs="Times New Roman"/>
                <w:kern w:val="0"/>
                <w:sz w:val="24"/>
                <w:szCs w:val="24"/>
              </w:rPr>
              <w:t>人</w:t>
            </w:r>
            <w:r>
              <w:rPr>
                <w:rFonts w:cs="Times New Roman"/>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留学生人数</w:t>
            </w:r>
            <w:r>
              <w:rPr>
                <w:rFonts w:cs="Times New Roman"/>
                <w:kern w:val="0"/>
                <w:sz w:val="24"/>
                <w:szCs w:val="24"/>
              </w:rPr>
              <w:t>(</w:t>
            </w:r>
            <w:r>
              <w:rPr>
                <w:rFonts w:hint="eastAsia" w:cs="Times New Roman"/>
                <w:kern w:val="0"/>
                <w:sz w:val="24"/>
                <w:szCs w:val="24"/>
              </w:rPr>
              <w:t>占比</w:t>
            </w:r>
            <w:r>
              <w:rPr>
                <w:rFonts w:cs="Times New Roman"/>
                <w:kern w:val="0"/>
                <w:sz w:val="24"/>
                <w:szCs w:val="24"/>
              </w:rPr>
              <w:t>)</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0</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30-50</w:t>
            </w:r>
            <w:r>
              <w:rPr>
                <w:rFonts w:hint="eastAsia" w:cs="Times New Roman"/>
                <w:kern w:val="0"/>
                <w:sz w:val="24"/>
                <w:szCs w:val="24"/>
              </w:rPr>
              <w:t>人</w:t>
            </w:r>
            <w:r>
              <w:rPr>
                <w:rFonts w:cs="Times New Roman"/>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学生出国交流人数占比</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2.5%</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restart"/>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教学与科研</w:t>
            </w: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新增校际国际合作协议</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1-2</w:t>
            </w:r>
            <w:r>
              <w:rPr>
                <w:rFonts w:hint="eastAsia" w:cs="Times New Roman"/>
                <w:kern w:val="0"/>
                <w:sz w:val="24"/>
                <w:szCs w:val="24"/>
              </w:rPr>
              <w:t>个</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5-7</w:t>
            </w:r>
            <w:r>
              <w:rPr>
                <w:rFonts w:hint="eastAsia" w:cs="Times New Roman"/>
                <w:kern w:val="0"/>
                <w:sz w:val="24"/>
                <w:szCs w:val="24"/>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用外语授课的课程</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sz w:val="24"/>
                <w:szCs w:val="24"/>
              </w:rPr>
            </w:pPr>
            <w:r>
              <w:rPr>
                <w:rFonts w:hint="eastAsia" w:cs="Times New Roman"/>
                <w:kern w:val="0"/>
                <w:sz w:val="24"/>
                <w:szCs w:val="24"/>
              </w:rPr>
              <w:t>增长</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sz w:val="24"/>
                <w:szCs w:val="24"/>
              </w:rPr>
            </w:pPr>
            <w:r>
              <w:rPr>
                <w:rFonts w:hint="eastAsia" w:cs="Times New Roman"/>
                <w:kern w:val="0"/>
                <w:sz w:val="24"/>
                <w:szCs w:val="24"/>
              </w:rPr>
              <w:t>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cs="Times New Roman"/>
                <w:kern w:val="0"/>
                <w:sz w:val="24"/>
                <w:szCs w:val="24"/>
              </w:rPr>
            </w:pPr>
            <w:r>
              <w:rPr>
                <w:rFonts w:hint="eastAsia" w:cs="Times New Roman"/>
                <w:kern w:val="0"/>
                <w:sz w:val="24"/>
                <w:szCs w:val="24"/>
              </w:rPr>
              <w:t>国际合作科研项目数</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1-2</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restart"/>
            <w:tcBorders>
              <w:top w:val="single" w:color="auto" w:sz="4" w:space="0"/>
              <w:left w:val="single" w:color="auto" w:sz="12" w:space="0"/>
              <w:bottom w:val="single" w:color="auto" w:sz="12"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相关条件与设施</w:t>
            </w: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Times New Roman"/>
                <w:kern w:val="0"/>
                <w:sz w:val="24"/>
                <w:szCs w:val="24"/>
              </w:rPr>
            </w:pPr>
            <w:r>
              <w:rPr>
                <w:rFonts w:hint="eastAsia" w:cs="Times New Roman"/>
                <w:kern w:val="0"/>
                <w:sz w:val="24"/>
                <w:szCs w:val="24"/>
              </w:rPr>
              <w:t>外文书籍</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增长</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Times New Roman"/>
                <w:kern w:val="0"/>
                <w:sz w:val="24"/>
                <w:szCs w:val="24"/>
              </w:rPr>
            </w:pPr>
            <w:r>
              <w:rPr>
                <w:rFonts w:hint="eastAsia" w:cs="Times New Roman"/>
                <w:kern w:val="0"/>
                <w:sz w:val="24"/>
                <w:szCs w:val="24"/>
              </w:rPr>
              <w:t>外文期刊</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增长</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Times New Roman"/>
                <w:kern w:val="0"/>
                <w:sz w:val="24"/>
                <w:szCs w:val="24"/>
              </w:rPr>
            </w:pPr>
            <w:r>
              <w:rPr>
                <w:rFonts w:hint="eastAsia" w:cs="Times New Roman"/>
                <w:kern w:val="0"/>
                <w:sz w:val="24"/>
                <w:szCs w:val="24"/>
              </w:rPr>
              <w:t>留学生宿舍楼</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hint="eastAsia" w:cs="Times New Roman"/>
                <w:kern w:val="0"/>
                <w:sz w:val="24"/>
                <w:szCs w:val="24"/>
              </w:rPr>
              <w:t>筹备</w:t>
            </w:r>
          </w:p>
        </w:tc>
        <w:tc>
          <w:tcPr>
            <w:tcW w:w="1708" w:type="dxa"/>
            <w:tcBorders>
              <w:top w:val="single" w:color="auto" w:sz="4" w:space="0"/>
              <w:left w:val="single" w:color="auto" w:sz="4" w:space="0"/>
              <w:bottom w:val="single" w:color="auto" w:sz="4" w:space="0"/>
              <w:right w:val="single" w:color="auto" w:sz="12" w:space="0"/>
            </w:tcBorders>
            <w:noWrap/>
            <w:vAlign w:val="center"/>
          </w:tcPr>
          <w:p>
            <w:pPr>
              <w:widowControl/>
              <w:spacing w:line="240" w:lineRule="exact"/>
              <w:jc w:val="center"/>
              <w:rPr>
                <w:rFonts w:cs="Times New Roman"/>
                <w:kern w:val="0"/>
                <w:sz w:val="24"/>
                <w:szCs w:val="24"/>
              </w:rPr>
            </w:pPr>
            <w:r>
              <w:rPr>
                <w:rFonts w:hint="eastAsia" w:cs="Times New Roman"/>
                <w:kern w:val="0"/>
                <w:sz w:val="24"/>
                <w:szCs w:val="24"/>
              </w:rPr>
              <w:t>投入使用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Times New Roman"/>
                <w:kern w:val="0"/>
                <w:sz w:val="24"/>
                <w:szCs w:val="24"/>
              </w:rPr>
            </w:pPr>
            <w:r>
              <w:rPr>
                <w:rFonts w:hint="eastAsia" w:cs="Times New Roman"/>
                <w:kern w:val="0"/>
                <w:sz w:val="24"/>
                <w:szCs w:val="24"/>
              </w:rPr>
              <w:t>参加国际会议占比（按人次计占在校教师人数的比例）</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4%</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Times New Roman"/>
                <w:kern w:val="0"/>
                <w:sz w:val="24"/>
                <w:szCs w:val="24"/>
              </w:rPr>
            </w:pPr>
            <w:r>
              <w:rPr>
                <w:rFonts w:hint="eastAsia" w:cs="Times New Roman"/>
                <w:kern w:val="0"/>
                <w:sz w:val="24"/>
                <w:szCs w:val="24"/>
              </w:rPr>
              <w:t>国外参加会议占比（按人次计占在校教师人数的比例）</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4%</w:t>
            </w:r>
          </w:p>
        </w:tc>
        <w:tc>
          <w:tcPr>
            <w:tcW w:w="1708" w:type="dxa"/>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6%</w:t>
            </w:r>
          </w:p>
          <w:p>
            <w:pPr>
              <w:widowControl/>
              <w:spacing w:line="240" w:lineRule="exact"/>
              <w:jc w:val="center"/>
              <w:rPr>
                <w:rFonts w:cs="Times New Roman"/>
                <w:kern w:val="0"/>
                <w:sz w:val="24"/>
                <w:szCs w:val="24"/>
              </w:rPr>
            </w:pPr>
            <w:r>
              <w:rPr>
                <w:rFonts w:cs="Times New Roman"/>
                <w:kern w:val="0"/>
                <w:sz w:val="24"/>
                <w:szCs w:val="24"/>
              </w:rPr>
              <w:t>(</w:t>
            </w:r>
            <w:r>
              <w:rPr>
                <w:rFonts w:hint="eastAsia" w:cs="Times New Roman"/>
                <w:kern w:val="0"/>
                <w:sz w:val="24"/>
                <w:szCs w:val="24"/>
              </w:rPr>
              <w:t>包括线上</w:t>
            </w:r>
            <w:r>
              <w:rPr>
                <w:rFonts w:cs="Times New Roman"/>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240" w:lineRule="exact"/>
              <w:jc w:val="left"/>
              <w:rPr>
                <w:rFonts w:cs="Times New Roman"/>
                <w:kern w:val="0"/>
                <w:sz w:val="24"/>
                <w:szCs w:val="24"/>
              </w:rPr>
            </w:pPr>
          </w:p>
        </w:tc>
        <w:tc>
          <w:tcPr>
            <w:tcW w:w="3368" w:type="dxa"/>
            <w:tcBorders>
              <w:top w:val="single" w:color="auto" w:sz="4" w:space="0"/>
              <w:left w:val="single" w:color="auto" w:sz="4" w:space="0"/>
              <w:bottom w:val="single" w:color="auto" w:sz="12" w:space="0"/>
              <w:right w:val="single" w:color="auto" w:sz="4" w:space="0"/>
            </w:tcBorders>
            <w:vAlign w:val="center"/>
          </w:tcPr>
          <w:p>
            <w:pPr>
              <w:widowControl/>
              <w:spacing w:line="280" w:lineRule="exact"/>
              <w:jc w:val="center"/>
              <w:rPr>
                <w:rFonts w:cs="Times New Roman"/>
                <w:kern w:val="0"/>
                <w:sz w:val="24"/>
                <w:szCs w:val="24"/>
              </w:rPr>
            </w:pPr>
            <w:r>
              <w:rPr>
                <w:rFonts w:hint="eastAsia" w:cs="Times New Roman"/>
                <w:kern w:val="0"/>
                <w:sz w:val="24"/>
                <w:szCs w:val="24"/>
              </w:rPr>
              <w:t>在国外发表的论文数（占五年内总发文量的比例）</w:t>
            </w:r>
          </w:p>
        </w:tc>
        <w:tc>
          <w:tcPr>
            <w:tcW w:w="1748" w:type="dxa"/>
            <w:tcBorders>
              <w:top w:val="single" w:color="auto" w:sz="4" w:space="0"/>
              <w:left w:val="single" w:color="auto" w:sz="4" w:space="0"/>
              <w:bottom w:val="single" w:color="auto" w:sz="12" w:space="0"/>
              <w:right w:val="single" w:color="auto" w:sz="4" w:space="0"/>
            </w:tcBorders>
            <w:vAlign w:val="center"/>
          </w:tcPr>
          <w:p>
            <w:pPr>
              <w:widowControl/>
              <w:spacing w:line="240" w:lineRule="exact"/>
              <w:jc w:val="center"/>
              <w:rPr>
                <w:rFonts w:cs="Times New Roman"/>
                <w:kern w:val="0"/>
                <w:sz w:val="24"/>
                <w:szCs w:val="24"/>
              </w:rPr>
            </w:pPr>
            <w:r>
              <w:rPr>
                <w:rFonts w:cs="Times New Roman"/>
                <w:kern w:val="0"/>
                <w:sz w:val="24"/>
                <w:szCs w:val="24"/>
              </w:rPr>
              <w:t>1.5%</w:t>
            </w:r>
          </w:p>
        </w:tc>
        <w:tc>
          <w:tcPr>
            <w:tcW w:w="1708" w:type="dxa"/>
            <w:tcBorders>
              <w:top w:val="single" w:color="auto" w:sz="4" w:space="0"/>
              <w:left w:val="single" w:color="auto" w:sz="4" w:space="0"/>
              <w:bottom w:val="single" w:color="auto" w:sz="12" w:space="0"/>
              <w:right w:val="single" w:color="auto" w:sz="12" w:space="0"/>
            </w:tcBorders>
            <w:vAlign w:val="center"/>
          </w:tcPr>
          <w:p>
            <w:pPr>
              <w:widowControl/>
              <w:spacing w:line="240" w:lineRule="exact"/>
              <w:jc w:val="center"/>
              <w:rPr>
                <w:rFonts w:cs="Times New Roman"/>
                <w:kern w:val="0"/>
                <w:sz w:val="24"/>
                <w:szCs w:val="24"/>
              </w:rPr>
            </w:pPr>
            <w:r>
              <w:rPr>
                <w:rFonts w:cs="Times New Roman"/>
                <w:kern w:val="0"/>
                <w:sz w:val="24"/>
                <w:szCs w:val="24"/>
              </w:rPr>
              <w:t>1.8%</w:t>
            </w:r>
          </w:p>
        </w:tc>
      </w:tr>
    </w:tbl>
    <w:p>
      <w:pPr>
        <w:spacing w:before="217" w:beforeLines="50" w:line="580" w:lineRule="exact"/>
        <w:ind w:firstLine="640" w:firstLineChars="200"/>
        <w:rPr>
          <w:rFonts w:ascii="黑体" w:hAnsi="黑体" w:eastAsia="黑体"/>
        </w:rPr>
      </w:pPr>
      <w:r>
        <w:rPr>
          <w:rStyle w:val="26"/>
          <w:rFonts w:hint="eastAsia"/>
          <w:szCs w:val="32"/>
        </w:rPr>
        <w:t>四、保障措施</w:t>
      </w:r>
      <w:bookmarkEnd w:id="74"/>
      <w:bookmarkEnd w:id="75"/>
      <w:bookmarkEnd w:id="76"/>
    </w:p>
    <w:p>
      <w:pPr>
        <w:spacing w:line="580" w:lineRule="exact"/>
        <w:ind w:firstLine="640" w:firstLineChars="200"/>
        <w:rPr>
          <w:rFonts w:ascii="楷体" w:hAnsi="楷体" w:eastAsia="楷体" w:cs="楷体"/>
          <w:bCs/>
        </w:rPr>
      </w:pPr>
      <w:bookmarkStart w:id="77" w:name="_Toc58316094"/>
      <w:bookmarkStart w:id="78" w:name="_Toc77754761"/>
      <w:bookmarkStart w:id="79" w:name="_Toc66728806"/>
      <w:r>
        <w:rPr>
          <w:rFonts w:hint="eastAsia" w:ascii="楷体" w:hAnsi="楷体" w:eastAsia="楷体" w:cs="楷体"/>
          <w:bCs/>
        </w:rPr>
        <w:t>（一）组织保障</w:t>
      </w:r>
      <w:bookmarkEnd w:id="77"/>
      <w:bookmarkEnd w:id="78"/>
      <w:bookmarkEnd w:id="79"/>
    </w:p>
    <w:p>
      <w:pPr>
        <w:spacing w:line="580" w:lineRule="exact"/>
        <w:ind w:firstLine="640" w:firstLineChars="200"/>
      </w:pPr>
      <w:r>
        <w:rPr>
          <w:rFonts w:hint="eastAsia"/>
        </w:rPr>
        <w:t>探索</w:t>
      </w:r>
      <w:r>
        <w:t>管理体制改革，</w:t>
      </w:r>
      <w:r>
        <w:rPr>
          <w:rFonts w:hint="eastAsia"/>
        </w:rPr>
        <w:t>争取建立专业硕士学位授权点教学中心，推进</w:t>
      </w:r>
      <w:r>
        <w:t>学科专业</w:t>
      </w:r>
      <w:r>
        <w:rPr>
          <w:rFonts w:hint="eastAsia"/>
        </w:rPr>
        <w:t>协同发展，</w:t>
      </w:r>
      <w:r>
        <w:t>形成促进学科综合与交叉的体制保障。</w:t>
      </w:r>
      <w:r>
        <w:rPr>
          <w:rFonts w:hint="eastAsia"/>
        </w:rPr>
        <w:t>以推进学科规划布局、资源结构优化为主旨，充分发挥学校学术委员会学科建设指导作用，建立和完善关于学科规划的制定、落实、评价等工作机制，促进学科的科学化、合理化建设和可持续发展。</w:t>
      </w:r>
    </w:p>
    <w:p>
      <w:pPr>
        <w:spacing w:line="580" w:lineRule="exact"/>
        <w:ind w:firstLine="640" w:firstLineChars="200"/>
        <w:rPr>
          <w:rFonts w:ascii="楷体" w:hAnsi="楷体" w:eastAsia="楷体" w:cs="楷体"/>
          <w:bCs/>
        </w:rPr>
      </w:pPr>
      <w:bookmarkStart w:id="80" w:name="_Toc66728807"/>
      <w:bookmarkStart w:id="81" w:name="_Toc58316095"/>
      <w:bookmarkStart w:id="82" w:name="_Toc77754762"/>
      <w:r>
        <w:rPr>
          <w:rFonts w:hint="eastAsia" w:ascii="楷体" w:hAnsi="楷体" w:eastAsia="楷体" w:cs="楷体"/>
          <w:bCs/>
        </w:rPr>
        <w:t>（二）制度保障</w:t>
      </w:r>
      <w:bookmarkEnd w:id="80"/>
      <w:bookmarkEnd w:id="81"/>
      <w:bookmarkEnd w:id="82"/>
    </w:p>
    <w:p>
      <w:pPr>
        <w:spacing w:line="580" w:lineRule="exact"/>
        <w:ind w:firstLine="640" w:firstLineChars="200"/>
      </w:pPr>
      <w:r>
        <w:rPr>
          <w:rFonts w:hint="eastAsia"/>
        </w:rPr>
        <w:t>构建符合学校和各二级学院特点的职责与权益相统一的学科建设机制和研究生管理制度，建立健全学科方向《</w:t>
      </w:r>
      <w:r>
        <w:t>学科带头人责任制</w:t>
      </w:r>
      <w:r>
        <w:rPr>
          <w:rFonts w:hint="eastAsia"/>
        </w:rPr>
        <w:t>》《学科建设</w:t>
      </w:r>
      <w:r>
        <w:t>校外专家的咨询指导制度</w:t>
      </w:r>
      <w:r>
        <w:rPr>
          <w:rFonts w:hint="eastAsia"/>
        </w:rPr>
        <w:t>》《研究生日常管理制度》，以及加强研究生党建与思想政治工作相关制度，制定学校《横向科研项目管理办法（试行）》《科研项目间接费用管理办法（试行）》，修订《期刊分类办法》《教师科研工作量考核管理办法》，</w:t>
      </w:r>
      <w:r>
        <w:rPr>
          <w:rFonts w:hint="eastAsia" w:cs="宋体"/>
          <w:szCs w:val="21"/>
        </w:rPr>
        <w:t>为学科结构优化、学科方向建设、学科项目与平台搭建等提供制度保障。</w:t>
      </w:r>
      <w:r>
        <w:rPr>
          <w:rFonts w:hint="eastAsia"/>
        </w:rPr>
        <w:t>建立和完善关于学科设计与规划的制定、落实、评价等工作机制，促进学科的科学化、合理化建设和可持续发展。</w:t>
      </w:r>
    </w:p>
    <w:p>
      <w:pPr>
        <w:spacing w:line="580" w:lineRule="exact"/>
        <w:ind w:firstLine="640" w:firstLineChars="200"/>
        <w:rPr>
          <w:rFonts w:ascii="楷体" w:hAnsi="楷体" w:eastAsia="楷体" w:cs="楷体"/>
          <w:bCs/>
        </w:rPr>
      </w:pPr>
      <w:bookmarkStart w:id="83" w:name="_Toc58316096"/>
      <w:bookmarkStart w:id="84" w:name="_Toc77754763"/>
      <w:bookmarkStart w:id="85" w:name="_Toc66728808"/>
      <w:r>
        <w:rPr>
          <w:rFonts w:hint="eastAsia" w:ascii="楷体" w:hAnsi="楷体" w:eastAsia="楷体" w:cs="楷体"/>
          <w:bCs/>
        </w:rPr>
        <w:t>（三）经费保障</w:t>
      </w:r>
      <w:bookmarkEnd w:id="83"/>
      <w:bookmarkEnd w:id="84"/>
      <w:bookmarkEnd w:id="85"/>
    </w:p>
    <w:p>
      <w:pPr>
        <w:spacing w:line="580" w:lineRule="exact"/>
        <w:ind w:firstLine="640" w:firstLineChars="200"/>
      </w:pPr>
      <w:r>
        <w:rPr>
          <w:rFonts w:hint="eastAsia"/>
        </w:rPr>
        <w:t>学校设立学科建设专项资金，以学科建设任务的方式资助学</w:t>
      </w:r>
    </w:p>
    <w:p>
      <w:pPr>
        <w:spacing w:line="580" w:lineRule="exact"/>
      </w:pPr>
      <w:r>
        <w:rPr>
          <w:rFonts w:hint="eastAsia"/>
        </w:rPr>
        <w:t>科建设，持续加大学科建设支持力度。</w:t>
      </w:r>
    </w:p>
    <w:sectPr>
      <w:footerReference r:id="rId9" w:type="first"/>
      <w:footerReference r:id="rId8" w:type="even"/>
      <w:footnotePr>
        <w:numFmt w:val="decimalEnclosedCircleChinese"/>
      </w:footnotePr>
      <w:pgSz w:w="11906" w:h="16838"/>
      <w:pgMar w:top="1701" w:right="1531" w:bottom="1701" w:left="1531" w:header="851" w:footer="992" w:gutter="0"/>
      <w:pgNumType w:fmt="numberInDash" w:start="1"/>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11F6E0-EED6-47E3-B8A9-D1F2B4EF3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5F91660-7B1E-4A0B-B162-386C9625D871}"/>
  </w:font>
  <w:font w:name="仿宋">
    <w:panose1 w:val="02010609060101010101"/>
    <w:charset w:val="86"/>
    <w:family w:val="modern"/>
    <w:pitch w:val="default"/>
    <w:sig w:usb0="800002BF" w:usb1="38CF7CFA" w:usb2="00000016" w:usb3="00000000" w:csb0="00040001" w:csb1="00000000"/>
    <w:embedRegular r:id="rId3" w:fontKey="{CDA06E7D-1B18-440F-9D8F-44B90FC5A304}"/>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CAAEBAF6-7A3E-4997-BA12-791DA1B89E28}"/>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5" w:fontKey="{FFE5BA93-D472-4B5B-8327-BA87051E7C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203728"/>
    </w:sdtPr>
    <w:sdtEndPr>
      <w:rPr>
        <w:rFonts w:asciiTheme="minorEastAsia" w:hAnsiTheme="minorEastAsia" w:eastAsiaTheme="minorEastAsia"/>
        <w:sz w:val="24"/>
        <w:szCs w:val="24"/>
      </w:rPr>
    </w:sdtEndPr>
    <w:sdtContent>
      <w:p>
        <w:pPr>
          <w:pStyle w:val="11"/>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23 -</w:t>
        </w:r>
        <w:r>
          <w:rPr>
            <w:rFonts w:asciiTheme="minorEastAsia" w:hAnsiTheme="minorEastAsia" w:eastAsiaTheme="minorEastAsia"/>
            <w:sz w:val="24"/>
            <w:szCs w:val="24"/>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33476"/>
      <w:docPartObj>
        <w:docPartGallery w:val="AutoText"/>
      </w:docPartObj>
    </w:sdtPr>
    <w:sdtEndPr>
      <w:rPr>
        <w:rFonts w:asciiTheme="minorEastAsia" w:hAnsiTheme="minorEastAsia" w:eastAsiaTheme="minorEastAsia"/>
        <w:sz w:val="24"/>
        <w:szCs w:val="24"/>
      </w:rPr>
    </w:sdtEndPr>
    <w:sdtContent>
      <w:p>
        <w:pPr>
          <w:pStyle w:val="11"/>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052600"/>
      <w:docPartObj>
        <w:docPartGallery w:val="AutoText"/>
      </w:docPartObj>
    </w:sdtPr>
    <w:sdtEndPr>
      <w:rPr>
        <w:rFonts w:asciiTheme="minorEastAsia" w:hAnsiTheme="minorEastAsia" w:eastAsiaTheme="minorEastAsia"/>
        <w:sz w:val="24"/>
        <w:szCs w:val="24"/>
      </w:rPr>
    </w:sdtEndPr>
    <w:sdtContent>
      <w:p>
        <w:pPr>
          <w:pStyle w:val="11"/>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860403"/>
    </w:sdtPr>
    <w:sdtEndPr>
      <w:rPr>
        <w:rFonts w:asciiTheme="minorEastAsia" w:hAnsiTheme="minorEastAsia" w:eastAsiaTheme="minorEastAsia"/>
        <w:sz w:val="24"/>
        <w:szCs w:val="24"/>
      </w:rPr>
    </w:sdtEndPr>
    <w:sdtContent>
      <w:p>
        <w:pPr>
          <w:pStyle w:val="11"/>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24 -</w:t>
        </w:r>
        <w:r>
          <w:rPr>
            <w:rFonts w:asciiTheme="minorEastAsia" w:hAnsiTheme="minorEastAsia" w:eastAsiaTheme="minorEastAsia"/>
            <w:sz w:val="24"/>
            <w:szCs w:val="24"/>
          </w:rPr>
          <w:fldChar w:fldCharType="end"/>
        </w:r>
      </w:p>
    </w:sdtContent>
  </w:sdt>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394279"/>
    </w:sdtPr>
    <w:sdtContent>
      <w:p>
        <w:pPr>
          <w:pStyle w:val="11"/>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5133"/>
    <w:multiLevelType w:val="multilevel"/>
    <w:tmpl w:val="5DA55133"/>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TgxNTFmMTFlNmFiZjUwODgzYTg0ZTU4ZDQ1ZjMifQ=="/>
  </w:docVars>
  <w:rsids>
    <w:rsidRoot w:val="00E17B4B"/>
    <w:rsid w:val="00001581"/>
    <w:rsid w:val="00001B32"/>
    <w:rsid w:val="00002E94"/>
    <w:rsid w:val="00004544"/>
    <w:rsid w:val="00005409"/>
    <w:rsid w:val="00006FCF"/>
    <w:rsid w:val="00007E9C"/>
    <w:rsid w:val="00010161"/>
    <w:rsid w:val="000104C5"/>
    <w:rsid w:val="00010DBE"/>
    <w:rsid w:val="000129A4"/>
    <w:rsid w:val="0001314E"/>
    <w:rsid w:val="0001668A"/>
    <w:rsid w:val="00017CF8"/>
    <w:rsid w:val="000215E2"/>
    <w:rsid w:val="00021E65"/>
    <w:rsid w:val="00024A5D"/>
    <w:rsid w:val="0002617B"/>
    <w:rsid w:val="000305F6"/>
    <w:rsid w:val="00030A7A"/>
    <w:rsid w:val="00032D0D"/>
    <w:rsid w:val="00034451"/>
    <w:rsid w:val="00035624"/>
    <w:rsid w:val="00037632"/>
    <w:rsid w:val="000407E8"/>
    <w:rsid w:val="00041169"/>
    <w:rsid w:val="00041858"/>
    <w:rsid w:val="00041981"/>
    <w:rsid w:val="000447A4"/>
    <w:rsid w:val="000450CD"/>
    <w:rsid w:val="00046321"/>
    <w:rsid w:val="00047DCF"/>
    <w:rsid w:val="00050A90"/>
    <w:rsid w:val="00050C66"/>
    <w:rsid w:val="000510CE"/>
    <w:rsid w:val="0005173F"/>
    <w:rsid w:val="00051D60"/>
    <w:rsid w:val="00052DB5"/>
    <w:rsid w:val="00053626"/>
    <w:rsid w:val="00053635"/>
    <w:rsid w:val="000554DB"/>
    <w:rsid w:val="00057007"/>
    <w:rsid w:val="000571C7"/>
    <w:rsid w:val="00057327"/>
    <w:rsid w:val="00060FA7"/>
    <w:rsid w:val="00063087"/>
    <w:rsid w:val="00063088"/>
    <w:rsid w:val="00063387"/>
    <w:rsid w:val="00065701"/>
    <w:rsid w:val="00065BAD"/>
    <w:rsid w:val="00065C9C"/>
    <w:rsid w:val="00067DB4"/>
    <w:rsid w:val="00070DDF"/>
    <w:rsid w:val="00074A8F"/>
    <w:rsid w:val="000755C0"/>
    <w:rsid w:val="00075A52"/>
    <w:rsid w:val="0007604A"/>
    <w:rsid w:val="0007653E"/>
    <w:rsid w:val="0008107C"/>
    <w:rsid w:val="000822BD"/>
    <w:rsid w:val="00082776"/>
    <w:rsid w:val="000834E4"/>
    <w:rsid w:val="00084DD7"/>
    <w:rsid w:val="0009072F"/>
    <w:rsid w:val="000920D4"/>
    <w:rsid w:val="00092368"/>
    <w:rsid w:val="00092770"/>
    <w:rsid w:val="000936B0"/>
    <w:rsid w:val="00093DA4"/>
    <w:rsid w:val="00097070"/>
    <w:rsid w:val="000A0319"/>
    <w:rsid w:val="000A0E75"/>
    <w:rsid w:val="000A1E2D"/>
    <w:rsid w:val="000A1FF9"/>
    <w:rsid w:val="000A3D7A"/>
    <w:rsid w:val="000A3FCA"/>
    <w:rsid w:val="000A4135"/>
    <w:rsid w:val="000A62F0"/>
    <w:rsid w:val="000B0C84"/>
    <w:rsid w:val="000B255E"/>
    <w:rsid w:val="000B2845"/>
    <w:rsid w:val="000B2AF6"/>
    <w:rsid w:val="000B48D7"/>
    <w:rsid w:val="000B4F6A"/>
    <w:rsid w:val="000B6BE2"/>
    <w:rsid w:val="000C2355"/>
    <w:rsid w:val="000C33F6"/>
    <w:rsid w:val="000C3A25"/>
    <w:rsid w:val="000C3CA1"/>
    <w:rsid w:val="000C5E17"/>
    <w:rsid w:val="000D2B00"/>
    <w:rsid w:val="000D2B23"/>
    <w:rsid w:val="000D3E62"/>
    <w:rsid w:val="000D52ED"/>
    <w:rsid w:val="000D5989"/>
    <w:rsid w:val="000D6CCE"/>
    <w:rsid w:val="000E0F0A"/>
    <w:rsid w:val="000E1A3B"/>
    <w:rsid w:val="000E2787"/>
    <w:rsid w:val="000E3DBF"/>
    <w:rsid w:val="000E3F3D"/>
    <w:rsid w:val="000E46A3"/>
    <w:rsid w:val="000E47BD"/>
    <w:rsid w:val="000E5543"/>
    <w:rsid w:val="000E5E62"/>
    <w:rsid w:val="000E6972"/>
    <w:rsid w:val="000E7F7C"/>
    <w:rsid w:val="000F1956"/>
    <w:rsid w:val="000F23B1"/>
    <w:rsid w:val="000F2BFC"/>
    <w:rsid w:val="000F4EDA"/>
    <w:rsid w:val="000F51B3"/>
    <w:rsid w:val="0010293B"/>
    <w:rsid w:val="00102F0B"/>
    <w:rsid w:val="00103360"/>
    <w:rsid w:val="00103FA7"/>
    <w:rsid w:val="001044EB"/>
    <w:rsid w:val="00104D07"/>
    <w:rsid w:val="00107563"/>
    <w:rsid w:val="00107A16"/>
    <w:rsid w:val="00110015"/>
    <w:rsid w:val="0011107B"/>
    <w:rsid w:val="001114F7"/>
    <w:rsid w:val="00111A0E"/>
    <w:rsid w:val="001129B9"/>
    <w:rsid w:val="00112AE1"/>
    <w:rsid w:val="00114FB2"/>
    <w:rsid w:val="00116BE2"/>
    <w:rsid w:val="00117D5A"/>
    <w:rsid w:val="00121282"/>
    <w:rsid w:val="00121779"/>
    <w:rsid w:val="00123451"/>
    <w:rsid w:val="001242B4"/>
    <w:rsid w:val="00124D5C"/>
    <w:rsid w:val="00125958"/>
    <w:rsid w:val="00130074"/>
    <w:rsid w:val="00130D37"/>
    <w:rsid w:val="00131D02"/>
    <w:rsid w:val="00132CD7"/>
    <w:rsid w:val="00133E84"/>
    <w:rsid w:val="00134AC8"/>
    <w:rsid w:val="00137243"/>
    <w:rsid w:val="00137263"/>
    <w:rsid w:val="00140825"/>
    <w:rsid w:val="00141890"/>
    <w:rsid w:val="00141A07"/>
    <w:rsid w:val="00142DFD"/>
    <w:rsid w:val="00143E4D"/>
    <w:rsid w:val="00143F13"/>
    <w:rsid w:val="001500A5"/>
    <w:rsid w:val="00150BCD"/>
    <w:rsid w:val="00152D43"/>
    <w:rsid w:val="00152DDB"/>
    <w:rsid w:val="00152E34"/>
    <w:rsid w:val="001545DC"/>
    <w:rsid w:val="001546A6"/>
    <w:rsid w:val="00160F43"/>
    <w:rsid w:val="001611F4"/>
    <w:rsid w:val="0016181E"/>
    <w:rsid w:val="00161AF7"/>
    <w:rsid w:val="00162558"/>
    <w:rsid w:val="001644CB"/>
    <w:rsid w:val="001653C5"/>
    <w:rsid w:val="001662C0"/>
    <w:rsid w:val="00166409"/>
    <w:rsid w:val="0016743F"/>
    <w:rsid w:val="00167835"/>
    <w:rsid w:val="0017456B"/>
    <w:rsid w:val="0017543D"/>
    <w:rsid w:val="00175A18"/>
    <w:rsid w:val="00177608"/>
    <w:rsid w:val="0017782E"/>
    <w:rsid w:val="0018080E"/>
    <w:rsid w:val="00184939"/>
    <w:rsid w:val="00184CE1"/>
    <w:rsid w:val="00184E27"/>
    <w:rsid w:val="00187998"/>
    <w:rsid w:val="00187C09"/>
    <w:rsid w:val="00190AA6"/>
    <w:rsid w:val="00194AB7"/>
    <w:rsid w:val="0019760F"/>
    <w:rsid w:val="001A2654"/>
    <w:rsid w:val="001A34DC"/>
    <w:rsid w:val="001A7B89"/>
    <w:rsid w:val="001B22C8"/>
    <w:rsid w:val="001B2683"/>
    <w:rsid w:val="001B3CD6"/>
    <w:rsid w:val="001B5397"/>
    <w:rsid w:val="001B73F3"/>
    <w:rsid w:val="001C0B5E"/>
    <w:rsid w:val="001C2BE2"/>
    <w:rsid w:val="001C3355"/>
    <w:rsid w:val="001C3576"/>
    <w:rsid w:val="001C4CBE"/>
    <w:rsid w:val="001D05EB"/>
    <w:rsid w:val="001D1A47"/>
    <w:rsid w:val="001D2F47"/>
    <w:rsid w:val="001D4E72"/>
    <w:rsid w:val="001E10D7"/>
    <w:rsid w:val="001E17F9"/>
    <w:rsid w:val="001E1F41"/>
    <w:rsid w:val="001E1F7E"/>
    <w:rsid w:val="001E227B"/>
    <w:rsid w:val="001E48ED"/>
    <w:rsid w:val="001E5653"/>
    <w:rsid w:val="001F0127"/>
    <w:rsid w:val="001F044C"/>
    <w:rsid w:val="001F0F00"/>
    <w:rsid w:val="001F22BB"/>
    <w:rsid w:val="001F4185"/>
    <w:rsid w:val="001F4D56"/>
    <w:rsid w:val="001F4F3F"/>
    <w:rsid w:val="001F624D"/>
    <w:rsid w:val="001F6C43"/>
    <w:rsid w:val="002003C5"/>
    <w:rsid w:val="00202567"/>
    <w:rsid w:val="00203250"/>
    <w:rsid w:val="002044C9"/>
    <w:rsid w:val="0020641A"/>
    <w:rsid w:val="00207664"/>
    <w:rsid w:val="00210558"/>
    <w:rsid w:val="002112DE"/>
    <w:rsid w:val="00212391"/>
    <w:rsid w:val="00212E9A"/>
    <w:rsid w:val="002133E8"/>
    <w:rsid w:val="00215BED"/>
    <w:rsid w:val="0021660D"/>
    <w:rsid w:val="002200F3"/>
    <w:rsid w:val="00223186"/>
    <w:rsid w:val="0022402A"/>
    <w:rsid w:val="00224CEE"/>
    <w:rsid w:val="002252B4"/>
    <w:rsid w:val="002262C8"/>
    <w:rsid w:val="00226321"/>
    <w:rsid w:val="00226490"/>
    <w:rsid w:val="00227850"/>
    <w:rsid w:val="00230252"/>
    <w:rsid w:val="00232704"/>
    <w:rsid w:val="0023363C"/>
    <w:rsid w:val="0023399A"/>
    <w:rsid w:val="0023405A"/>
    <w:rsid w:val="002342F9"/>
    <w:rsid w:val="002346CC"/>
    <w:rsid w:val="00235926"/>
    <w:rsid w:val="00236015"/>
    <w:rsid w:val="002361A9"/>
    <w:rsid w:val="00236850"/>
    <w:rsid w:val="00240761"/>
    <w:rsid w:val="00240E6F"/>
    <w:rsid w:val="0024346F"/>
    <w:rsid w:val="00243E3F"/>
    <w:rsid w:val="002446B7"/>
    <w:rsid w:val="002464D9"/>
    <w:rsid w:val="00246DBF"/>
    <w:rsid w:val="00247663"/>
    <w:rsid w:val="00247A0C"/>
    <w:rsid w:val="00251FE1"/>
    <w:rsid w:val="00254929"/>
    <w:rsid w:val="00254D40"/>
    <w:rsid w:val="00255421"/>
    <w:rsid w:val="002558C4"/>
    <w:rsid w:val="00256CF0"/>
    <w:rsid w:val="002601F3"/>
    <w:rsid w:val="00261538"/>
    <w:rsid w:val="0026360B"/>
    <w:rsid w:val="002653D4"/>
    <w:rsid w:val="002712BA"/>
    <w:rsid w:val="002723A3"/>
    <w:rsid w:val="00275FD8"/>
    <w:rsid w:val="00276DB9"/>
    <w:rsid w:val="0027716B"/>
    <w:rsid w:val="00277BF5"/>
    <w:rsid w:val="002804EC"/>
    <w:rsid w:val="002805BE"/>
    <w:rsid w:val="002817DC"/>
    <w:rsid w:val="00282A10"/>
    <w:rsid w:val="002845EE"/>
    <w:rsid w:val="00290862"/>
    <w:rsid w:val="002909DB"/>
    <w:rsid w:val="00290E84"/>
    <w:rsid w:val="002931A8"/>
    <w:rsid w:val="002A0159"/>
    <w:rsid w:val="002A01ED"/>
    <w:rsid w:val="002A1607"/>
    <w:rsid w:val="002A1B06"/>
    <w:rsid w:val="002A207E"/>
    <w:rsid w:val="002A2602"/>
    <w:rsid w:val="002A4269"/>
    <w:rsid w:val="002A5286"/>
    <w:rsid w:val="002A7BD0"/>
    <w:rsid w:val="002B013E"/>
    <w:rsid w:val="002B1435"/>
    <w:rsid w:val="002B2A7D"/>
    <w:rsid w:val="002B2CD7"/>
    <w:rsid w:val="002B2CF7"/>
    <w:rsid w:val="002B307B"/>
    <w:rsid w:val="002B48B7"/>
    <w:rsid w:val="002B5D77"/>
    <w:rsid w:val="002B70F6"/>
    <w:rsid w:val="002C08E3"/>
    <w:rsid w:val="002C2211"/>
    <w:rsid w:val="002C503E"/>
    <w:rsid w:val="002C687E"/>
    <w:rsid w:val="002D0D6E"/>
    <w:rsid w:val="002D172B"/>
    <w:rsid w:val="002D182A"/>
    <w:rsid w:val="002D2CCE"/>
    <w:rsid w:val="002D38D2"/>
    <w:rsid w:val="002D7FC0"/>
    <w:rsid w:val="002E04A4"/>
    <w:rsid w:val="002E1442"/>
    <w:rsid w:val="002E1D75"/>
    <w:rsid w:val="002E231E"/>
    <w:rsid w:val="002E3EE9"/>
    <w:rsid w:val="002E43F3"/>
    <w:rsid w:val="002E449A"/>
    <w:rsid w:val="002E5A09"/>
    <w:rsid w:val="002E7079"/>
    <w:rsid w:val="002E76B1"/>
    <w:rsid w:val="002F0B46"/>
    <w:rsid w:val="002F2ED0"/>
    <w:rsid w:val="002F2FF0"/>
    <w:rsid w:val="002F4330"/>
    <w:rsid w:val="002F6B22"/>
    <w:rsid w:val="003011C2"/>
    <w:rsid w:val="003012DB"/>
    <w:rsid w:val="00301446"/>
    <w:rsid w:val="00302B1F"/>
    <w:rsid w:val="0030384C"/>
    <w:rsid w:val="00303DDB"/>
    <w:rsid w:val="0030408B"/>
    <w:rsid w:val="003057C0"/>
    <w:rsid w:val="0030678A"/>
    <w:rsid w:val="00311985"/>
    <w:rsid w:val="0031416A"/>
    <w:rsid w:val="00315827"/>
    <w:rsid w:val="00315A38"/>
    <w:rsid w:val="00323006"/>
    <w:rsid w:val="0032483A"/>
    <w:rsid w:val="003346B0"/>
    <w:rsid w:val="00337317"/>
    <w:rsid w:val="0034025C"/>
    <w:rsid w:val="00340A53"/>
    <w:rsid w:val="00341949"/>
    <w:rsid w:val="00344230"/>
    <w:rsid w:val="0034516E"/>
    <w:rsid w:val="00345777"/>
    <w:rsid w:val="00345802"/>
    <w:rsid w:val="00350ED7"/>
    <w:rsid w:val="00351640"/>
    <w:rsid w:val="003519AF"/>
    <w:rsid w:val="00351EFF"/>
    <w:rsid w:val="003545D5"/>
    <w:rsid w:val="003569E2"/>
    <w:rsid w:val="00362289"/>
    <w:rsid w:val="0036433F"/>
    <w:rsid w:val="00367BAA"/>
    <w:rsid w:val="00371D32"/>
    <w:rsid w:val="00372C96"/>
    <w:rsid w:val="0037351C"/>
    <w:rsid w:val="00373CB0"/>
    <w:rsid w:val="00377592"/>
    <w:rsid w:val="00377EC1"/>
    <w:rsid w:val="0038098E"/>
    <w:rsid w:val="00381DA5"/>
    <w:rsid w:val="00382C00"/>
    <w:rsid w:val="0038381D"/>
    <w:rsid w:val="003865FE"/>
    <w:rsid w:val="00386E69"/>
    <w:rsid w:val="00391437"/>
    <w:rsid w:val="00393545"/>
    <w:rsid w:val="00393A63"/>
    <w:rsid w:val="003942ED"/>
    <w:rsid w:val="00394797"/>
    <w:rsid w:val="0039569B"/>
    <w:rsid w:val="003971E8"/>
    <w:rsid w:val="00397388"/>
    <w:rsid w:val="003A023C"/>
    <w:rsid w:val="003A0E9D"/>
    <w:rsid w:val="003A2781"/>
    <w:rsid w:val="003A2BA0"/>
    <w:rsid w:val="003A2E21"/>
    <w:rsid w:val="003A61D9"/>
    <w:rsid w:val="003A7316"/>
    <w:rsid w:val="003B0602"/>
    <w:rsid w:val="003B1716"/>
    <w:rsid w:val="003B2184"/>
    <w:rsid w:val="003B26AD"/>
    <w:rsid w:val="003B5337"/>
    <w:rsid w:val="003C08C8"/>
    <w:rsid w:val="003C1A4C"/>
    <w:rsid w:val="003C1EFE"/>
    <w:rsid w:val="003C2E2A"/>
    <w:rsid w:val="003C37E0"/>
    <w:rsid w:val="003C74B1"/>
    <w:rsid w:val="003C7B59"/>
    <w:rsid w:val="003D1ED1"/>
    <w:rsid w:val="003D2654"/>
    <w:rsid w:val="003D2C78"/>
    <w:rsid w:val="003D4E76"/>
    <w:rsid w:val="003D5587"/>
    <w:rsid w:val="003D6537"/>
    <w:rsid w:val="003D71B8"/>
    <w:rsid w:val="003D733A"/>
    <w:rsid w:val="003D75D5"/>
    <w:rsid w:val="003D77FC"/>
    <w:rsid w:val="003E0FEE"/>
    <w:rsid w:val="003E13CD"/>
    <w:rsid w:val="003E217A"/>
    <w:rsid w:val="003E2363"/>
    <w:rsid w:val="003E3308"/>
    <w:rsid w:val="003E3D31"/>
    <w:rsid w:val="003E49F5"/>
    <w:rsid w:val="003E5532"/>
    <w:rsid w:val="003E5D26"/>
    <w:rsid w:val="003E6714"/>
    <w:rsid w:val="003F251E"/>
    <w:rsid w:val="003F262F"/>
    <w:rsid w:val="003F464A"/>
    <w:rsid w:val="003F4B19"/>
    <w:rsid w:val="003F7AC4"/>
    <w:rsid w:val="0040077B"/>
    <w:rsid w:val="004020FF"/>
    <w:rsid w:val="00402CB3"/>
    <w:rsid w:val="00403A10"/>
    <w:rsid w:val="00404264"/>
    <w:rsid w:val="00410CB0"/>
    <w:rsid w:val="00411604"/>
    <w:rsid w:val="004119C0"/>
    <w:rsid w:val="00411AC2"/>
    <w:rsid w:val="00411F6D"/>
    <w:rsid w:val="004164DD"/>
    <w:rsid w:val="00420D12"/>
    <w:rsid w:val="00421118"/>
    <w:rsid w:val="00421250"/>
    <w:rsid w:val="004226DB"/>
    <w:rsid w:val="00422B08"/>
    <w:rsid w:val="00422E7C"/>
    <w:rsid w:val="00424E3A"/>
    <w:rsid w:val="0042662F"/>
    <w:rsid w:val="00426D65"/>
    <w:rsid w:val="00427A6E"/>
    <w:rsid w:val="00427F93"/>
    <w:rsid w:val="004304CA"/>
    <w:rsid w:val="00430767"/>
    <w:rsid w:val="0043104B"/>
    <w:rsid w:val="004329EF"/>
    <w:rsid w:val="00434D72"/>
    <w:rsid w:val="004371B0"/>
    <w:rsid w:val="00437399"/>
    <w:rsid w:val="00437766"/>
    <w:rsid w:val="00441AC4"/>
    <w:rsid w:val="00441F69"/>
    <w:rsid w:val="0044228E"/>
    <w:rsid w:val="0044304E"/>
    <w:rsid w:val="00443B7E"/>
    <w:rsid w:val="00444CEB"/>
    <w:rsid w:val="0045247E"/>
    <w:rsid w:val="00453B26"/>
    <w:rsid w:val="00457976"/>
    <w:rsid w:val="00457D81"/>
    <w:rsid w:val="00460F8E"/>
    <w:rsid w:val="0046114D"/>
    <w:rsid w:val="00461A5D"/>
    <w:rsid w:val="004640F9"/>
    <w:rsid w:val="0046706C"/>
    <w:rsid w:val="00467705"/>
    <w:rsid w:val="00470A56"/>
    <w:rsid w:val="00470C0C"/>
    <w:rsid w:val="00470E95"/>
    <w:rsid w:val="004715EF"/>
    <w:rsid w:val="00472967"/>
    <w:rsid w:val="00472B8D"/>
    <w:rsid w:val="00472CA0"/>
    <w:rsid w:val="00472EBC"/>
    <w:rsid w:val="004754E4"/>
    <w:rsid w:val="0047798C"/>
    <w:rsid w:val="00477A0D"/>
    <w:rsid w:val="004804BA"/>
    <w:rsid w:val="00480932"/>
    <w:rsid w:val="00484CCE"/>
    <w:rsid w:val="00485093"/>
    <w:rsid w:val="0048586E"/>
    <w:rsid w:val="00491D63"/>
    <w:rsid w:val="004922EC"/>
    <w:rsid w:val="00494CD5"/>
    <w:rsid w:val="004952DD"/>
    <w:rsid w:val="004A14F4"/>
    <w:rsid w:val="004A338A"/>
    <w:rsid w:val="004A4191"/>
    <w:rsid w:val="004A558F"/>
    <w:rsid w:val="004A588A"/>
    <w:rsid w:val="004A6DBC"/>
    <w:rsid w:val="004B177D"/>
    <w:rsid w:val="004B1D6A"/>
    <w:rsid w:val="004B2129"/>
    <w:rsid w:val="004B3729"/>
    <w:rsid w:val="004B5731"/>
    <w:rsid w:val="004C0E73"/>
    <w:rsid w:val="004C112B"/>
    <w:rsid w:val="004C1C0E"/>
    <w:rsid w:val="004C31EF"/>
    <w:rsid w:val="004C50AA"/>
    <w:rsid w:val="004C587D"/>
    <w:rsid w:val="004C5A97"/>
    <w:rsid w:val="004C5E3E"/>
    <w:rsid w:val="004C6360"/>
    <w:rsid w:val="004C665F"/>
    <w:rsid w:val="004C6CD7"/>
    <w:rsid w:val="004D0513"/>
    <w:rsid w:val="004D238E"/>
    <w:rsid w:val="004D2BA5"/>
    <w:rsid w:val="004D4E8B"/>
    <w:rsid w:val="004D7BA4"/>
    <w:rsid w:val="004E13A5"/>
    <w:rsid w:val="004E1DC9"/>
    <w:rsid w:val="004E301B"/>
    <w:rsid w:val="004E3DCC"/>
    <w:rsid w:val="004E401F"/>
    <w:rsid w:val="004E4CD8"/>
    <w:rsid w:val="004E6073"/>
    <w:rsid w:val="004E7B02"/>
    <w:rsid w:val="004F1CA1"/>
    <w:rsid w:val="004F4DE4"/>
    <w:rsid w:val="004F5CD2"/>
    <w:rsid w:val="004F6BD3"/>
    <w:rsid w:val="0050385A"/>
    <w:rsid w:val="00506AB2"/>
    <w:rsid w:val="0051188D"/>
    <w:rsid w:val="00514478"/>
    <w:rsid w:val="005149C5"/>
    <w:rsid w:val="00515057"/>
    <w:rsid w:val="00515B72"/>
    <w:rsid w:val="00516273"/>
    <w:rsid w:val="00516E4E"/>
    <w:rsid w:val="0052059C"/>
    <w:rsid w:val="0052093A"/>
    <w:rsid w:val="005212BB"/>
    <w:rsid w:val="005213F6"/>
    <w:rsid w:val="00522C35"/>
    <w:rsid w:val="00526816"/>
    <w:rsid w:val="00526D74"/>
    <w:rsid w:val="005316F5"/>
    <w:rsid w:val="00533D6D"/>
    <w:rsid w:val="00535234"/>
    <w:rsid w:val="0054066B"/>
    <w:rsid w:val="00540DF0"/>
    <w:rsid w:val="00543621"/>
    <w:rsid w:val="005439F4"/>
    <w:rsid w:val="005441F3"/>
    <w:rsid w:val="00544F9B"/>
    <w:rsid w:val="00545232"/>
    <w:rsid w:val="005456A9"/>
    <w:rsid w:val="00547574"/>
    <w:rsid w:val="005476A1"/>
    <w:rsid w:val="00554A0F"/>
    <w:rsid w:val="00555644"/>
    <w:rsid w:val="00555D56"/>
    <w:rsid w:val="00556C65"/>
    <w:rsid w:val="00557CCF"/>
    <w:rsid w:val="0056182B"/>
    <w:rsid w:val="005620F9"/>
    <w:rsid w:val="00563322"/>
    <w:rsid w:val="005679D7"/>
    <w:rsid w:val="00567E32"/>
    <w:rsid w:val="005713A3"/>
    <w:rsid w:val="0057295F"/>
    <w:rsid w:val="00573256"/>
    <w:rsid w:val="005735AA"/>
    <w:rsid w:val="00573FAD"/>
    <w:rsid w:val="00575EB5"/>
    <w:rsid w:val="00576DDE"/>
    <w:rsid w:val="005770E3"/>
    <w:rsid w:val="0058216D"/>
    <w:rsid w:val="005834FC"/>
    <w:rsid w:val="0058493C"/>
    <w:rsid w:val="0059094A"/>
    <w:rsid w:val="005925BF"/>
    <w:rsid w:val="00592DE6"/>
    <w:rsid w:val="00593AB3"/>
    <w:rsid w:val="005949C5"/>
    <w:rsid w:val="00594A5C"/>
    <w:rsid w:val="00594F71"/>
    <w:rsid w:val="0059505F"/>
    <w:rsid w:val="00597ACE"/>
    <w:rsid w:val="00597EF2"/>
    <w:rsid w:val="005A0B33"/>
    <w:rsid w:val="005A1EDE"/>
    <w:rsid w:val="005A20E1"/>
    <w:rsid w:val="005A2425"/>
    <w:rsid w:val="005A4444"/>
    <w:rsid w:val="005A4AF3"/>
    <w:rsid w:val="005A4E72"/>
    <w:rsid w:val="005A5284"/>
    <w:rsid w:val="005A6AD2"/>
    <w:rsid w:val="005A703F"/>
    <w:rsid w:val="005B2722"/>
    <w:rsid w:val="005B2D66"/>
    <w:rsid w:val="005B3E99"/>
    <w:rsid w:val="005B5C2E"/>
    <w:rsid w:val="005C0973"/>
    <w:rsid w:val="005C0D48"/>
    <w:rsid w:val="005C2A94"/>
    <w:rsid w:val="005C5179"/>
    <w:rsid w:val="005C689F"/>
    <w:rsid w:val="005D0639"/>
    <w:rsid w:val="005D08AC"/>
    <w:rsid w:val="005D0E3F"/>
    <w:rsid w:val="005D1408"/>
    <w:rsid w:val="005D245E"/>
    <w:rsid w:val="005D5FB5"/>
    <w:rsid w:val="005D61BE"/>
    <w:rsid w:val="005D744E"/>
    <w:rsid w:val="005D79A2"/>
    <w:rsid w:val="005E037F"/>
    <w:rsid w:val="005E0EE7"/>
    <w:rsid w:val="005E2AA2"/>
    <w:rsid w:val="005E589C"/>
    <w:rsid w:val="005F0880"/>
    <w:rsid w:val="005F1EA4"/>
    <w:rsid w:val="005F30F8"/>
    <w:rsid w:val="005F3CAF"/>
    <w:rsid w:val="005F5DE8"/>
    <w:rsid w:val="005F70D3"/>
    <w:rsid w:val="00601FA8"/>
    <w:rsid w:val="0060212E"/>
    <w:rsid w:val="0060465B"/>
    <w:rsid w:val="006057F1"/>
    <w:rsid w:val="00606381"/>
    <w:rsid w:val="00607C48"/>
    <w:rsid w:val="00607ECD"/>
    <w:rsid w:val="006105A6"/>
    <w:rsid w:val="006137D5"/>
    <w:rsid w:val="0061476A"/>
    <w:rsid w:val="0061572F"/>
    <w:rsid w:val="00616357"/>
    <w:rsid w:val="006164EF"/>
    <w:rsid w:val="00616ACA"/>
    <w:rsid w:val="0062132A"/>
    <w:rsid w:val="006218BD"/>
    <w:rsid w:val="00621E65"/>
    <w:rsid w:val="006225F5"/>
    <w:rsid w:val="00624BC1"/>
    <w:rsid w:val="00625FE6"/>
    <w:rsid w:val="0062685A"/>
    <w:rsid w:val="00627439"/>
    <w:rsid w:val="0063114A"/>
    <w:rsid w:val="0063181D"/>
    <w:rsid w:val="00631DE3"/>
    <w:rsid w:val="0063737C"/>
    <w:rsid w:val="00640F00"/>
    <w:rsid w:val="00642998"/>
    <w:rsid w:val="00643B60"/>
    <w:rsid w:val="006447AE"/>
    <w:rsid w:val="0064613F"/>
    <w:rsid w:val="00646257"/>
    <w:rsid w:val="00646421"/>
    <w:rsid w:val="00647022"/>
    <w:rsid w:val="00651128"/>
    <w:rsid w:val="00652FB1"/>
    <w:rsid w:val="006535AD"/>
    <w:rsid w:val="00657DA9"/>
    <w:rsid w:val="00660BAE"/>
    <w:rsid w:val="00661208"/>
    <w:rsid w:val="006623A2"/>
    <w:rsid w:val="00662A57"/>
    <w:rsid w:val="00663EB4"/>
    <w:rsid w:val="006647CB"/>
    <w:rsid w:val="00664993"/>
    <w:rsid w:val="00665375"/>
    <w:rsid w:val="0066653D"/>
    <w:rsid w:val="00666A8A"/>
    <w:rsid w:val="00666E6C"/>
    <w:rsid w:val="00667955"/>
    <w:rsid w:val="006700AD"/>
    <w:rsid w:val="006702EC"/>
    <w:rsid w:val="00670EC3"/>
    <w:rsid w:val="00670F5E"/>
    <w:rsid w:val="00672C8A"/>
    <w:rsid w:val="00673E35"/>
    <w:rsid w:val="00674F31"/>
    <w:rsid w:val="00675359"/>
    <w:rsid w:val="00676070"/>
    <w:rsid w:val="00676A6C"/>
    <w:rsid w:val="006770A8"/>
    <w:rsid w:val="00680A7C"/>
    <w:rsid w:val="00681473"/>
    <w:rsid w:val="00681C9C"/>
    <w:rsid w:val="0068270B"/>
    <w:rsid w:val="006829D1"/>
    <w:rsid w:val="00682F28"/>
    <w:rsid w:val="00684C4E"/>
    <w:rsid w:val="00684F93"/>
    <w:rsid w:val="0068550C"/>
    <w:rsid w:val="00685DA0"/>
    <w:rsid w:val="006865AC"/>
    <w:rsid w:val="00686B5F"/>
    <w:rsid w:val="00691675"/>
    <w:rsid w:val="0069228F"/>
    <w:rsid w:val="00694FBE"/>
    <w:rsid w:val="00695463"/>
    <w:rsid w:val="00695B14"/>
    <w:rsid w:val="006961AF"/>
    <w:rsid w:val="006970F8"/>
    <w:rsid w:val="006A0552"/>
    <w:rsid w:val="006A09BB"/>
    <w:rsid w:val="006A13F2"/>
    <w:rsid w:val="006A3AC2"/>
    <w:rsid w:val="006A4C5B"/>
    <w:rsid w:val="006A4CEC"/>
    <w:rsid w:val="006A6C27"/>
    <w:rsid w:val="006B2B9C"/>
    <w:rsid w:val="006B2FB9"/>
    <w:rsid w:val="006B335B"/>
    <w:rsid w:val="006B39C2"/>
    <w:rsid w:val="006B4C85"/>
    <w:rsid w:val="006B7A7A"/>
    <w:rsid w:val="006C1E57"/>
    <w:rsid w:val="006C4F27"/>
    <w:rsid w:val="006C6FD8"/>
    <w:rsid w:val="006C7D6F"/>
    <w:rsid w:val="006C7E64"/>
    <w:rsid w:val="006D11C7"/>
    <w:rsid w:val="006D3E00"/>
    <w:rsid w:val="006D6002"/>
    <w:rsid w:val="006D60FD"/>
    <w:rsid w:val="006D6D92"/>
    <w:rsid w:val="006D7FD1"/>
    <w:rsid w:val="006E1149"/>
    <w:rsid w:val="006E196A"/>
    <w:rsid w:val="006E2647"/>
    <w:rsid w:val="006E28BE"/>
    <w:rsid w:val="006E3080"/>
    <w:rsid w:val="006E4537"/>
    <w:rsid w:val="006E5549"/>
    <w:rsid w:val="006E61BE"/>
    <w:rsid w:val="006E7D03"/>
    <w:rsid w:val="006F01CD"/>
    <w:rsid w:val="006F0719"/>
    <w:rsid w:val="006F129F"/>
    <w:rsid w:val="006F3BBB"/>
    <w:rsid w:val="006F4217"/>
    <w:rsid w:val="006F45A2"/>
    <w:rsid w:val="006F4B6C"/>
    <w:rsid w:val="006F4DA6"/>
    <w:rsid w:val="006F5C22"/>
    <w:rsid w:val="006F5F85"/>
    <w:rsid w:val="007031F7"/>
    <w:rsid w:val="0070434E"/>
    <w:rsid w:val="00705CA8"/>
    <w:rsid w:val="0070672A"/>
    <w:rsid w:val="00711265"/>
    <w:rsid w:val="00711A9B"/>
    <w:rsid w:val="00713586"/>
    <w:rsid w:val="00713B36"/>
    <w:rsid w:val="0071575D"/>
    <w:rsid w:val="00715861"/>
    <w:rsid w:val="00715EAA"/>
    <w:rsid w:val="0071662D"/>
    <w:rsid w:val="00717CBD"/>
    <w:rsid w:val="0072063E"/>
    <w:rsid w:val="00720673"/>
    <w:rsid w:val="007208A6"/>
    <w:rsid w:val="007208F1"/>
    <w:rsid w:val="00721119"/>
    <w:rsid w:val="00721556"/>
    <w:rsid w:val="00721804"/>
    <w:rsid w:val="00722429"/>
    <w:rsid w:val="007236E1"/>
    <w:rsid w:val="0072459D"/>
    <w:rsid w:val="00724E67"/>
    <w:rsid w:val="0072530E"/>
    <w:rsid w:val="00725568"/>
    <w:rsid w:val="007261E2"/>
    <w:rsid w:val="007269B4"/>
    <w:rsid w:val="007308B6"/>
    <w:rsid w:val="007321DE"/>
    <w:rsid w:val="00734202"/>
    <w:rsid w:val="007347B9"/>
    <w:rsid w:val="00734AC4"/>
    <w:rsid w:val="00734FBA"/>
    <w:rsid w:val="00737656"/>
    <w:rsid w:val="00740D49"/>
    <w:rsid w:val="007412D3"/>
    <w:rsid w:val="00741B71"/>
    <w:rsid w:val="007430AB"/>
    <w:rsid w:val="00743D51"/>
    <w:rsid w:val="00743EF6"/>
    <w:rsid w:val="00744E87"/>
    <w:rsid w:val="00746EC6"/>
    <w:rsid w:val="0074767C"/>
    <w:rsid w:val="00753295"/>
    <w:rsid w:val="00757A3D"/>
    <w:rsid w:val="00761298"/>
    <w:rsid w:val="00761724"/>
    <w:rsid w:val="007622BC"/>
    <w:rsid w:val="007632E6"/>
    <w:rsid w:val="00765816"/>
    <w:rsid w:val="007659DD"/>
    <w:rsid w:val="00765F1B"/>
    <w:rsid w:val="00767A12"/>
    <w:rsid w:val="00770BB9"/>
    <w:rsid w:val="00771967"/>
    <w:rsid w:val="00771E4A"/>
    <w:rsid w:val="0077452B"/>
    <w:rsid w:val="00774A33"/>
    <w:rsid w:val="00777396"/>
    <w:rsid w:val="00777A2D"/>
    <w:rsid w:val="00777E10"/>
    <w:rsid w:val="00780227"/>
    <w:rsid w:val="00781957"/>
    <w:rsid w:val="00781BC6"/>
    <w:rsid w:val="00781DE2"/>
    <w:rsid w:val="00785FEF"/>
    <w:rsid w:val="00786943"/>
    <w:rsid w:val="00786ECC"/>
    <w:rsid w:val="007870A8"/>
    <w:rsid w:val="00787CA8"/>
    <w:rsid w:val="00787D24"/>
    <w:rsid w:val="00787FCF"/>
    <w:rsid w:val="007930DC"/>
    <w:rsid w:val="00793641"/>
    <w:rsid w:val="007960AB"/>
    <w:rsid w:val="007A11CE"/>
    <w:rsid w:val="007A25D3"/>
    <w:rsid w:val="007A4AEA"/>
    <w:rsid w:val="007A549B"/>
    <w:rsid w:val="007A62E9"/>
    <w:rsid w:val="007A6472"/>
    <w:rsid w:val="007A7074"/>
    <w:rsid w:val="007A781B"/>
    <w:rsid w:val="007B0E48"/>
    <w:rsid w:val="007B3A22"/>
    <w:rsid w:val="007B3C39"/>
    <w:rsid w:val="007B3CA0"/>
    <w:rsid w:val="007B4B3D"/>
    <w:rsid w:val="007B6F19"/>
    <w:rsid w:val="007B7254"/>
    <w:rsid w:val="007C04F0"/>
    <w:rsid w:val="007C10CE"/>
    <w:rsid w:val="007C26C4"/>
    <w:rsid w:val="007C53CA"/>
    <w:rsid w:val="007C7AFF"/>
    <w:rsid w:val="007D0B58"/>
    <w:rsid w:val="007D11BB"/>
    <w:rsid w:val="007D296E"/>
    <w:rsid w:val="007D33FD"/>
    <w:rsid w:val="007D3C4E"/>
    <w:rsid w:val="007D4AE4"/>
    <w:rsid w:val="007D4B1F"/>
    <w:rsid w:val="007D4D9C"/>
    <w:rsid w:val="007D606B"/>
    <w:rsid w:val="007D637C"/>
    <w:rsid w:val="007D6512"/>
    <w:rsid w:val="007D70DF"/>
    <w:rsid w:val="007E0D9A"/>
    <w:rsid w:val="007E18D7"/>
    <w:rsid w:val="007E372C"/>
    <w:rsid w:val="007E43AA"/>
    <w:rsid w:val="007E47A9"/>
    <w:rsid w:val="007E5503"/>
    <w:rsid w:val="007E5ED4"/>
    <w:rsid w:val="007F0BFB"/>
    <w:rsid w:val="007F2784"/>
    <w:rsid w:val="007F2E2C"/>
    <w:rsid w:val="007F3678"/>
    <w:rsid w:val="007F3E03"/>
    <w:rsid w:val="007F4411"/>
    <w:rsid w:val="007F4835"/>
    <w:rsid w:val="007F5D94"/>
    <w:rsid w:val="007F7F76"/>
    <w:rsid w:val="008010F4"/>
    <w:rsid w:val="008031C3"/>
    <w:rsid w:val="008044C9"/>
    <w:rsid w:val="008050B6"/>
    <w:rsid w:val="00806854"/>
    <w:rsid w:val="00810B26"/>
    <w:rsid w:val="00810CF6"/>
    <w:rsid w:val="00813871"/>
    <w:rsid w:val="00813FDE"/>
    <w:rsid w:val="0081404C"/>
    <w:rsid w:val="00814855"/>
    <w:rsid w:val="008168EC"/>
    <w:rsid w:val="00817584"/>
    <w:rsid w:val="008200FF"/>
    <w:rsid w:val="00822A25"/>
    <w:rsid w:val="008233C7"/>
    <w:rsid w:val="0082413C"/>
    <w:rsid w:val="008247A2"/>
    <w:rsid w:val="0082598C"/>
    <w:rsid w:val="00826500"/>
    <w:rsid w:val="00826EC0"/>
    <w:rsid w:val="00832151"/>
    <w:rsid w:val="00832DA7"/>
    <w:rsid w:val="00833B46"/>
    <w:rsid w:val="00833D89"/>
    <w:rsid w:val="0083469E"/>
    <w:rsid w:val="0083531A"/>
    <w:rsid w:val="00835C93"/>
    <w:rsid w:val="00836DBA"/>
    <w:rsid w:val="008419EB"/>
    <w:rsid w:val="00841D98"/>
    <w:rsid w:val="00843C40"/>
    <w:rsid w:val="008441E8"/>
    <w:rsid w:val="00844E68"/>
    <w:rsid w:val="0084617C"/>
    <w:rsid w:val="00846BB0"/>
    <w:rsid w:val="008477E6"/>
    <w:rsid w:val="00847A8A"/>
    <w:rsid w:val="00847E42"/>
    <w:rsid w:val="008527B9"/>
    <w:rsid w:val="0086064B"/>
    <w:rsid w:val="00861CF3"/>
    <w:rsid w:val="008632F3"/>
    <w:rsid w:val="00864792"/>
    <w:rsid w:val="0087195C"/>
    <w:rsid w:val="00872039"/>
    <w:rsid w:val="008735A2"/>
    <w:rsid w:val="0087436D"/>
    <w:rsid w:val="0087460B"/>
    <w:rsid w:val="00874DBB"/>
    <w:rsid w:val="008758D8"/>
    <w:rsid w:val="00876299"/>
    <w:rsid w:val="00877046"/>
    <w:rsid w:val="00880BA5"/>
    <w:rsid w:val="00880FEE"/>
    <w:rsid w:val="0088159F"/>
    <w:rsid w:val="008817D3"/>
    <w:rsid w:val="00882900"/>
    <w:rsid w:val="00883F3A"/>
    <w:rsid w:val="00883FD0"/>
    <w:rsid w:val="00884E41"/>
    <w:rsid w:val="00885E8F"/>
    <w:rsid w:val="008905ED"/>
    <w:rsid w:val="0089083D"/>
    <w:rsid w:val="00890B5F"/>
    <w:rsid w:val="00891BCD"/>
    <w:rsid w:val="00893629"/>
    <w:rsid w:val="008973E5"/>
    <w:rsid w:val="00897829"/>
    <w:rsid w:val="008A0B64"/>
    <w:rsid w:val="008A0F68"/>
    <w:rsid w:val="008A10F8"/>
    <w:rsid w:val="008A2865"/>
    <w:rsid w:val="008A43A9"/>
    <w:rsid w:val="008A5760"/>
    <w:rsid w:val="008A5A45"/>
    <w:rsid w:val="008A71F4"/>
    <w:rsid w:val="008B20A5"/>
    <w:rsid w:val="008B3102"/>
    <w:rsid w:val="008B42A2"/>
    <w:rsid w:val="008B630F"/>
    <w:rsid w:val="008B64A0"/>
    <w:rsid w:val="008B6573"/>
    <w:rsid w:val="008B7F89"/>
    <w:rsid w:val="008C0223"/>
    <w:rsid w:val="008C08BE"/>
    <w:rsid w:val="008C0A5E"/>
    <w:rsid w:val="008C28D5"/>
    <w:rsid w:val="008C3CF2"/>
    <w:rsid w:val="008C3D9E"/>
    <w:rsid w:val="008C498D"/>
    <w:rsid w:val="008C590E"/>
    <w:rsid w:val="008D164A"/>
    <w:rsid w:val="008D2444"/>
    <w:rsid w:val="008D3039"/>
    <w:rsid w:val="008D3FF5"/>
    <w:rsid w:val="008D467E"/>
    <w:rsid w:val="008D7515"/>
    <w:rsid w:val="008D7D39"/>
    <w:rsid w:val="008E346E"/>
    <w:rsid w:val="008E444E"/>
    <w:rsid w:val="008E4D73"/>
    <w:rsid w:val="008E5CD3"/>
    <w:rsid w:val="008E5D3A"/>
    <w:rsid w:val="008E5F2F"/>
    <w:rsid w:val="008E643D"/>
    <w:rsid w:val="008E6501"/>
    <w:rsid w:val="008E6A31"/>
    <w:rsid w:val="008E7AC1"/>
    <w:rsid w:val="008E7EF9"/>
    <w:rsid w:val="008F1E71"/>
    <w:rsid w:val="008F4368"/>
    <w:rsid w:val="008F5813"/>
    <w:rsid w:val="008F70EE"/>
    <w:rsid w:val="00900840"/>
    <w:rsid w:val="0090530E"/>
    <w:rsid w:val="009058FF"/>
    <w:rsid w:val="0090599D"/>
    <w:rsid w:val="00905DFF"/>
    <w:rsid w:val="00906F52"/>
    <w:rsid w:val="009106CB"/>
    <w:rsid w:val="0091182E"/>
    <w:rsid w:val="009123C9"/>
    <w:rsid w:val="00914545"/>
    <w:rsid w:val="0091705E"/>
    <w:rsid w:val="00920198"/>
    <w:rsid w:val="00921517"/>
    <w:rsid w:val="009228A0"/>
    <w:rsid w:val="009228B0"/>
    <w:rsid w:val="0092437D"/>
    <w:rsid w:val="0092481B"/>
    <w:rsid w:val="00926B73"/>
    <w:rsid w:val="00926C6D"/>
    <w:rsid w:val="00927E54"/>
    <w:rsid w:val="00933296"/>
    <w:rsid w:val="00933ED1"/>
    <w:rsid w:val="00934884"/>
    <w:rsid w:val="00934C8A"/>
    <w:rsid w:val="009354FC"/>
    <w:rsid w:val="00935C9F"/>
    <w:rsid w:val="00936D50"/>
    <w:rsid w:val="009412F6"/>
    <w:rsid w:val="0094194A"/>
    <w:rsid w:val="0094387F"/>
    <w:rsid w:val="00943B82"/>
    <w:rsid w:val="00943F03"/>
    <w:rsid w:val="00945CC6"/>
    <w:rsid w:val="00945D09"/>
    <w:rsid w:val="00951D82"/>
    <w:rsid w:val="00954F13"/>
    <w:rsid w:val="009553C9"/>
    <w:rsid w:val="00955A4D"/>
    <w:rsid w:val="00957443"/>
    <w:rsid w:val="009579E2"/>
    <w:rsid w:val="0096085D"/>
    <w:rsid w:val="00963791"/>
    <w:rsid w:val="00963CCC"/>
    <w:rsid w:val="00967D07"/>
    <w:rsid w:val="009703DE"/>
    <w:rsid w:val="009719CB"/>
    <w:rsid w:val="00972EC9"/>
    <w:rsid w:val="009739A5"/>
    <w:rsid w:val="00973F58"/>
    <w:rsid w:val="00974A9B"/>
    <w:rsid w:val="00976792"/>
    <w:rsid w:val="0097708F"/>
    <w:rsid w:val="0098083F"/>
    <w:rsid w:val="009808EA"/>
    <w:rsid w:val="009823D5"/>
    <w:rsid w:val="00983FE5"/>
    <w:rsid w:val="009847B9"/>
    <w:rsid w:val="00990D5F"/>
    <w:rsid w:val="00990FC7"/>
    <w:rsid w:val="00991EF9"/>
    <w:rsid w:val="00993F61"/>
    <w:rsid w:val="00994617"/>
    <w:rsid w:val="00997C1D"/>
    <w:rsid w:val="009A154A"/>
    <w:rsid w:val="009A1F31"/>
    <w:rsid w:val="009A2993"/>
    <w:rsid w:val="009A40F9"/>
    <w:rsid w:val="009A4199"/>
    <w:rsid w:val="009A4B6C"/>
    <w:rsid w:val="009A61A7"/>
    <w:rsid w:val="009A7300"/>
    <w:rsid w:val="009A7961"/>
    <w:rsid w:val="009B135E"/>
    <w:rsid w:val="009B1C06"/>
    <w:rsid w:val="009B450A"/>
    <w:rsid w:val="009B4A20"/>
    <w:rsid w:val="009B523A"/>
    <w:rsid w:val="009B5409"/>
    <w:rsid w:val="009B75D9"/>
    <w:rsid w:val="009C0239"/>
    <w:rsid w:val="009C138C"/>
    <w:rsid w:val="009C2146"/>
    <w:rsid w:val="009C2A47"/>
    <w:rsid w:val="009C3293"/>
    <w:rsid w:val="009C33C7"/>
    <w:rsid w:val="009C7161"/>
    <w:rsid w:val="009C7730"/>
    <w:rsid w:val="009C7C96"/>
    <w:rsid w:val="009D007D"/>
    <w:rsid w:val="009D0096"/>
    <w:rsid w:val="009D1642"/>
    <w:rsid w:val="009D3175"/>
    <w:rsid w:val="009D3381"/>
    <w:rsid w:val="009D597F"/>
    <w:rsid w:val="009D5F4A"/>
    <w:rsid w:val="009D6738"/>
    <w:rsid w:val="009E1533"/>
    <w:rsid w:val="009E3164"/>
    <w:rsid w:val="009E529B"/>
    <w:rsid w:val="009E6469"/>
    <w:rsid w:val="009E6BD5"/>
    <w:rsid w:val="009E704B"/>
    <w:rsid w:val="009E7737"/>
    <w:rsid w:val="009E7E18"/>
    <w:rsid w:val="009F0375"/>
    <w:rsid w:val="009F0B4F"/>
    <w:rsid w:val="009F3D6D"/>
    <w:rsid w:val="009F48FC"/>
    <w:rsid w:val="009F5AC4"/>
    <w:rsid w:val="00A02C15"/>
    <w:rsid w:val="00A02CC2"/>
    <w:rsid w:val="00A05618"/>
    <w:rsid w:val="00A07A17"/>
    <w:rsid w:val="00A11288"/>
    <w:rsid w:val="00A124B9"/>
    <w:rsid w:val="00A16279"/>
    <w:rsid w:val="00A17A9C"/>
    <w:rsid w:val="00A23A7B"/>
    <w:rsid w:val="00A23BD7"/>
    <w:rsid w:val="00A24633"/>
    <w:rsid w:val="00A2467C"/>
    <w:rsid w:val="00A246D5"/>
    <w:rsid w:val="00A3056C"/>
    <w:rsid w:val="00A3223A"/>
    <w:rsid w:val="00A32E93"/>
    <w:rsid w:val="00A34D97"/>
    <w:rsid w:val="00A3504E"/>
    <w:rsid w:val="00A35716"/>
    <w:rsid w:val="00A364F0"/>
    <w:rsid w:val="00A376F7"/>
    <w:rsid w:val="00A408D0"/>
    <w:rsid w:val="00A40A2A"/>
    <w:rsid w:val="00A41556"/>
    <w:rsid w:val="00A417A9"/>
    <w:rsid w:val="00A4311A"/>
    <w:rsid w:val="00A451C5"/>
    <w:rsid w:val="00A53B0A"/>
    <w:rsid w:val="00A54A81"/>
    <w:rsid w:val="00A559D6"/>
    <w:rsid w:val="00A573A9"/>
    <w:rsid w:val="00A57A1D"/>
    <w:rsid w:val="00A6059C"/>
    <w:rsid w:val="00A6472D"/>
    <w:rsid w:val="00A67826"/>
    <w:rsid w:val="00A70683"/>
    <w:rsid w:val="00A706BE"/>
    <w:rsid w:val="00A70954"/>
    <w:rsid w:val="00A71DA3"/>
    <w:rsid w:val="00A72DD3"/>
    <w:rsid w:val="00A7314C"/>
    <w:rsid w:val="00A7419B"/>
    <w:rsid w:val="00A74214"/>
    <w:rsid w:val="00A74B30"/>
    <w:rsid w:val="00A77340"/>
    <w:rsid w:val="00A77D48"/>
    <w:rsid w:val="00A77EA5"/>
    <w:rsid w:val="00A81781"/>
    <w:rsid w:val="00A82083"/>
    <w:rsid w:val="00A821FF"/>
    <w:rsid w:val="00A824DC"/>
    <w:rsid w:val="00A830D3"/>
    <w:rsid w:val="00A85AFC"/>
    <w:rsid w:val="00A900BD"/>
    <w:rsid w:val="00A913B9"/>
    <w:rsid w:val="00A91C53"/>
    <w:rsid w:val="00A9234E"/>
    <w:rsid w:val="00A93016"/>
    <w:rsid w:val="00A939A8"/>
    <w:rsid w:val="00A93C86"/>
    <w:rsid w:val="00A94924"/>
    <w:rsid w:val="00A94CDE"/>
    <w:rsid w:val="00A957CD"/>
    <w:rsid w:val="00A95B0D"/>
    <w:rsid w:val="00A96051"/>
    <w:rsid w:val="00A960A9"/>
    <w:rsid w:val="00A96CFB"/>
    <w:rsid w:val="00A97078"/>
    <w:rsid w:val="00AA19F8"/>
    <w:rsid w:val="00AA2FFC"/>
    <w:rsid w:val="00AA3E20"/>
    <w:rsid w:val="00AA4EE0"/>
    <w:rsid w:val="00AA5030"/>
    <w:rsid w:val="00AA63CD"/>
    <w:rsid w:val="00AA7C1A"/>
    <w:rsid w:val="00AB12B9"/>
    <w:rsid w:val="00AB197A"/>
    <w:rsid w:val="00AB4FCB"/>
    <w:rsid w:val="00AB7801"/>
    <w:rsid w:val="00AC23E8"/>
    <w:rsid w:val="00AC4CF5"/>
    <w:rsid w:val="00AC555A"/>
    <w:rsid w:val="00AD07AD"/>
    <w:rsid w:val="00AD4D16"/>
    <w:rsid w:val="00AD5A5D"/>
    <w:rsid w:val="00AD6F52"/>
    <w:rsid w:val="00AE13B0"/>
    <w:rsid w:val="00AE1B8C"/>
    <w:rsid w:val="00AE228D"/>
    <w:rsid w:val="00AE2B6B"/>
    <w:rsid w:val="00AE3E8E"/>
    <w:rsid w:val="00AE7440"/>
    <w:rsid w:val="00AF120C"/>
    <w:rsid w:val="00AF1D2C"/>
    <w:rsid w:val="00AF2C52"/>
    <w:rsid w:val="00AF3868"/>
    <w:rsid w:val="00AF54F7"/>
    <w:rsid w:val="00AF578A"/>
    <w:rsid w:val="00AF5D51"/>
    <w:rsid w:val="00B00F25"/>
    <w:rsid w:val="00B02FFD"/>
    <w:rsid w:val="00B0330B"/>
    <w:rsid w:val="00B038B6"/>
    <w:rsid w:val="00B05F37"/>
    <w:rsid w:val="00B06267"/>
    <w:rsid w:val="00B10C62"/>
    <w:rsid w:val="00B119D8"/>
    <w:rsid w:val="00B1314B"/>
    <w:rsid w:val="00B13996"/>
    <w:rsid w:val="00B153BB"/>
    <w:rsid w:val="00B16834"/>
    <w:rsid w:val="00B1771E"/>
    <w:rsid w:val="00B17B7E"/>
    <w:rsid w:val="00B20A81"/>
    <w:rsid w:val="00B2192F"/>
    <w:rsid w:val="00B21B1E"/>
    <w:rsid w:val="00B244C1"/>
    <w:rsid w:val="00B25153"/>
    <w:rsid w:val="00B26427"/>
    <w:rsid w:val="00B26EFA"/>
    <w:rsid w:val="00B27D87"/>
    <w:rsid w:val="00B27FDE"/>
    <w:rsid w:val="00B30E6B"/>
    <w:rsid w:val="00B328BB"/>
    <w:rsid w:val="00B32C62"/>
    <w:rsid w:val="00B3411E"/>
    <w:rsid w:val="00B3487E"/>
    <w:rsid w:val="00B34902"/>
    <w:rsid w:val="00B34B04"/>
    <w:rsid w:val="00B34B93"/>
    <w:rsid w:val="00B34D07"/>
    <w:rsid w:val="00B35784"/>
    <w:rsid w:val="00B35917"/>
    <w:rsid w:val="00B3724B"/>
    <w:rsid w:val="00B40F2F"/>
    <w:rsid w:val="00B4157C"/>
    <w:rsid w:val="00B43BCB"/>
    <w:rsid w:val="00B46485"/>
    <w:rsid w:val="00B47652"/>
    <w:rsid w:val="00B5004E"/>
    <w:rsid w:val="00B50329"/>
    <w:rsid w:val="00B50832"/>
    <w:rsid w:val="00B52B60"/>
    <w:rsid w:val="00B538A4"/>
    <w:rsid w:val="00B54498"/>
    <w:rsid w:val="00B54C2B"/>
    <w:rsid w:val="00B54C4E"/>
    <w:rsid w:val="00B5759F"/>
    <w:rsid w:val="00B607C7"/>
    <w:rsid w:val="00B616FC"/>
    <w:rsid w:val="00B6405E"/>
    <w:rsid w:val="00B66153"/>
    <w:rsid w:val="00B67D8B"/>
    <w:rsid w:val="00B70321"/>
    <w:rsid w:val="00B7083E"/>
    <w:rsid w:val="00B71C30"/>
    <w:rsid w:val="00B72251"/>
    <w:rsid w:val="00B72515"/>
    <w:rsid w:val="00B77AB5"/>
    <w:rsid w:val="00B80B0D"/>
    <w:rsid w:val="00B8146F"/>
    <w:rsid w:val="00B81AE1"/>
    <w:rsid w:val="00B84090"/>
    <w:rsid w:val="00B86882"/>
    <w:rsid w:val="00B91D16"/>
    <w:rsid w:val="00B9389F"/>
    <w:rsid w:val="00B94C1B"/>
    <w:rsid w:val="00B967EC"/>
    <w:rsid w:val="00B96971"/>
    <w:rsid w:val="00B97F53"/>
    <w:rsid w:val="00BA0D47"/>
    <w:rsid w:val="00BA1790"/>
    <w:rsid w:val="00BA1DAD"/>
    <w:rsid w:val="00BA1FE9"/>
    <w:rsid w:val="00BA4E1E"/>
    <w:rsid w:val="00BA4F64"/>
    <w:rsid w:val="00BA526E"/>
    <w:rsid w:val="00BA7956"/>
    <w:rsid w:val="00BB42B1"/>
    <w:rsid w:val="00BB4C4B"/>
    <w:rsid w:val="00BB52B7"/>
    <w:rsid w:val="00BC091E"/>
    <w:rsid w:val="00BC0CAF"/>
    <w:rsid w:val="00BC0EE9"/>
    <w:rsid w:val="00BC2DF3"/>
    <w:rsid w:val="00BC2FC3"/>
    <w:rsid w:val="00BD0101"/>
    <w:rsid w:val="00BD2875"/>
    <w:rsid w:val="00BD2FD8"/>
    <w:rsid w:val="00BD413E"/>
    <w:rsid w:val="00BD6797"/>
    <w:rsid w:val="00BD7756"/>
    <w:rsid w:val="00BD7F21"/>
    <w:rsid w:val="00BE15BE"/>
    <w:rsid w:val="00BE2344"/>
    <w:rsid w:val="00BE2CE6"/>
    <w:rsid w:val="00BE3BB8"/>
    <w:rsid w:val="00BE3F11"/>
    <w:rsid w:val="00BE4C20"/>
    <w:rsid w:val="00BE4D9E"/>
    <w:rsid w:val="00BE4F23"/>
    <w:rsid w:val="00BE711E"/>
    <w:rsid w:val="00BE7C6F"/>
    <w:rsid w:val="00BF02F4"/>
    <w:rsid w:val="00BF111F"/>
    <w:rsid w:val="00BF1214"/>
    <w:rsid w:val="00BF14F4"/>
    <w:rsid w:val="00BF2C4E"/>
    <w:rsid w:val="00BF341B"/>
    <w:rsid w:val="00BF52B9"/>
    <w:rsid w:val="00BF6AB1"/>
    <w:rsid w:val="00C001A4"/>
    <w:rsid w:val="00C005C3"/>
    <w:rsid w:val="00C01D12"/>
    <w:rsid w:val="00C0257A"/>
    <w:rsid w:val="00C02AE6"/>
    <w:rsid w:val="00C04DBF"/>
    <w:rsid w:val="00C05A03"/>
    <w:rsid w:val="00C05BFE"/>
    <w:rsid w:val="00C068FF"/>
    <w:rsid w:val="00C13DC5"/>
    <w:rsid w:val="00C16613"/>
    <w:rsid w:val="00C16C9F"/>
    <w:rsid w:val="00C210C0"/>
    <w:rsid w:val="00C21304"/>
    <w:rsid w:val="00C23085"/>
    <w:rsid w:val="00C25A67"/>
    <w:rsid w:val="00C25BE9"/>
    <w:rsid w:val="00C25EBC"/>
    <w:rsid w:val="00C26BE0"/>
    <w:rsid w:val="00C27536"/>
    <w:rsid w:val="00C3043C"/>
    <w:rsid w:val="00C317F3"/>
    <w:rsid w:val="00C3277B"/>
    <w:rsid w:val="00C33597"/>
    <w:rsid w:val="00C34B6B"/>
    <w:rsid w:val="00C40AF4"/>
    <w:rsid w:val="00C40DBE"/>
    <w:rsid w:val="00C41AA4"/>
    <w:rsid w:val="00C43D78"/>
    <w:rsid w:val="00C43DB7"/>
    <w:rsid w:val="00C442AC"/>
    <w:rsid w:val="00C455A9"/>
    <w:rsid w:val="00C45700"/>
    <w:rsid w:val="00C55AEA"/>
    <w:rsid w:val="00C5653A"/>
    <w:rsid w:val="00C57B2C"/>
    <w:rsid w:val="00C60C0B"/>
    <w:rsid w:val="00C60E8C"/>
    <w:rsid w:val="00C62FDF"/>
    <w:rsid w:val="00C63E8B"/>
    <w:rsid w:val="00C65662"/>
    <w:rsid w:val="00C6666A"/>
    <w:rsid w:val="00C66A78"/>
    <w:rsid w:val="00C66CC4"/>
    <w:rsid w:val="00C678F4"/>
    <w:rsid w:val="00C7079F"/>
    <w:rsid w:val="00C7087A"/>
    <w:rsid w:val="00C71CF3"/>
    <w:rsid w:val="00C7262D"/>
    <w:rsid w:val="00C7371D"/>
    <w:rsid w:val="00C73A4F"/>
    <w:rsid w:val="00C760F7"/>
    <w:rsid w:val="00C80E86"/>
    <w:rsid w:val="00C824C3"/>
    <w:rsid w:val="00C85688"/>
    <w:rsid w:val="00C907BE"/>
    <w:rsid w:val="00C91298"/>
    <w:rsid w:val="00C919F2"/>
    <w:rsid w:val="00C93EF8"/>
    <w:rsid w:val="00C94F7C"/>
    <w:rsid w:val="00C94F85"/>
    <w:rsid w:val="00C94FD9"/>
    <w:rsid w:val="00C96246"/>
    <w:rsid w:val="00CA1E6B"/>
    <w:rsid w:val="00CA4CB3"/>
    <w:rsid w:val="00CA60D1"/>
    <w:rsid w:val="00CA639D"/>
    <w:rsid w:val="00CA7975"/>
    <w:rsid w:val="00CA7FC5"/>
    <w:rsid w:val="00CB143B"/>
    <w:rsid w:val="00CB1E65"/>
    <w:rsid w:val="00CB4160"/>
    <w:rsid w:val="00CB4257"/>
    <w:rsid w:val="00CB6131"/>
    <w:rsid w:val="00CC3776"/>
    <w:rsid w:val="00CC3A8F"/>
    <w:rsid w:val="00CC486E"/>
    <w:rsid w:val="00CC498E"/>
    <w:rsid w:val="00CC4FC3"/>
    <w:rsid w:val="00CC5587"/>
    <w:rsid w:val="00CC5B4F"/>
    <w:rsid w:val="00CC5EB6"/>
    <w:rsid w:val="00CC7E72"/>
    <w:rsid w:val="00CD0083"/>
    <w:rsid w:val="00CD2B52"/>
    <w:rsid w:val="00CD3200"/>
    <w:rsid w:val="00CE313E"/>
    <w:rsid w:val="00CE3BB5"/>
    <w:rsid w:val="00CE47BA"/>
    <w:rsid w:val="00CE5FD4"/>
    <w:rsid w:val="00CE65B5"/>
    <w:rsid w:val="00CE7033"/>
    <w:rsid w:val="00CE7291"/>
    <w:rsid w:val="00CF1A4F"/>
    <w:rsid w:val="00CF1E9D"/>
    <w:rsid w:val="00CF4204"/>
    <w:rsid w:val="00CF6322"/>
    <w:rsid w:val="00CF79EA"/>
    <w:rsid w:val="00D00ED2"/>
    <w:rsid w:val="00D051BF"/>
    <w:rsid w:val="00D061A1"/>
    <w:rsid w:val="00D06796"/>
    <w:rsid w:val="00D071DB"/>
    <w:rsid w:val="00D07526"/>
    <w:rsid w:val="00D07FC6"/>
    <w:rsid w:val="00D11082"/>
    <w:rsid w:val="00D1158B"/>
    <w:rsid w:val="00D11E62"/>
    <w:rsid w:val="00D1354A"/>
    <w:rsid w:val="00D13A80"/>
    <w:rsid w:val="00D145AF"/>
    <w:rsid w:val="00D16002"/>
    <w:rsid w:val="00D17613"/>
    <w:rsid w:val="00D179D2"/>
    <w:rsid w:val="00D21025"/>
    <w:rsid w:val="00D221A7"/>
    <w:rsid w:val="00D226AE"/>
    <w:rsid w:val="00D23D42"/>
    <w:rsid w:val="00D23EED"/>
    <w:rsid w:val="00D24848"/>
    <w:rsid w:val="00D257CB"/>
    <w:rsid w:val="00D259A1"/>
    <w:rsid w:val="00D25AC9"/>
    <w:rsid w:val="00D26797"/>
    <w:rsid w:val="00D26E31"/>
    <w:rsid w:val="00D27220"/>
    <w:rsid w:val="00D30B18"/>
    <w:rsid w:val="00D311A8"/>
    <w:rsid w:val="00D329D5"/>
    <w:rsid w:val="00D32FCE"/>
    <w:rsid w:val="00D33829"/>
    <w:rsid w:val="00D35115"/>
    <w:rsid w:val="00D37959"/>
    <w:rsid w:val="00D40A26"/>
    <w:rsid w:val="00D40FA3"/>
    <w:rsid w:val="00D416BB"/>
    <w:rsid w:val="00D418D3"/>
    <w:rsid w:val="00D433AE"/>
    <w:rsid w:val="00D5120A"/>
    <w:rsid w:val="00D52609"/>
    <w:rsid w:val="00D526BC"/>
    <w:rsid w:val="00D54967"/>
    <w:rsid w:val="00D56666"/>
    <w:rsid w:val="00D61276"/>
    <w:rsid w:val="00D615C6"/>
    <w:rsid w:val="00D655A5"/>
    <w:rsid w:val="00D65C80"/>
    <w:rsid w:val="00D67422"/>
    <w:rsid w:val="00D67E54"/>
    <w:rsid w:val="00D7408C"/>
    <w:rsid w:val="00D74B2C"/>
    <w:rsid w:val="00D74DDC"/>
    <w:rsid w:val="00D77D64"/>
    <w:rsid w:val="00D77F98"/>
    <w:rsid w:val="00D80A21"/>
    <w:rsid w:val="00D826C0"/>
    <w:rsid w:val="00D83075"/>
    <w:rsid w:val="00D8477A"/>
    <w:rsid w:val="00D851B3"/>
    <w:rsid w:val="00D851FC"/>
    <w:rsid w:val="00D86022"/>
    <w:rsid w:val="00D8754B"/>
    <w:rsid w:val="00D901F3"/>
    <w:rsid w:val="00D90420"/>
    <w:rsid w:val="00D907F5"/>
    <w:rsid w:val="00D91029"/>
    <w:rsid w:val="00D92217"/>
    <w:rsid w:val="00D93287"/>
    <w:rsid w:val="00D96C4D"/>
    <w:rsid w:val="00D97414"/>
    <w:rsid w:val="00D974DD"/>
    <w:rsid w:val="00DA09B6"/>
    <w:rsid w:val="00DA1763"/>
    <w:rsid w:val="00DA266F"/>
    <w:rsid w:val="00DA3196"/>
    <w:rsid w:val="00DA556E"/>
    <w:rsid w:val="00DA61E5"/>
    <w:rsid w:val="00DA6CFD"/>
    <w:rsid w:val="00DA79D0"/>
    <w:rsid w:val="00DB1D90"/>
    <w:rsid w:val="00DB263E"/>
    <w:rsid w:val="00DB47A5"/>
    <w:rsid w:val="00DB4DF9"/>
    <w:rsid w:val="00DB5040"/>
    <w:rsid w:val="00DC3D96"/>
    <w:rsid w:val="00DC404D"/>
    <w:rsid w:val="00DC4423"/>
    <w:rsid w:val="00DC4F7E"/>
    <w:rsid w:val="00DC66B9"/>
    <w:rsid w:val="00DC68D5"/>
    <w:rsid w:val="00DD0711"/>
    <w:rsid w:val="00DD1D9B"/>
    <w:rsid w:val="00DD247A"/>
    <w:rsid w:val="00DD5BE3"/>
    <w:rsid w:val="00DD5E0C"/>
    <w:rsid w:val="00DD5E43"/>
    <w:rsid w:val="00DD604E"/>
    <w:rsid w:val="00DD6630"/>
    <w:rsid w:val="00DE2754"/>
    <w:rsid w:val="00DE423C"/>
    <w:rsid w:val="00DE6785"/>
    <w:rsid w:val="00DF2758"/>
    <w:rsid w:val="00DF3076"/>
    <w:rsid w:val="00DF5DA5"/>
    <w:rsid w:val="00DF61CC"/>
    <w:rsid w:val="00E0089E"/>
    <w:rsid w:val="00E008A2"/>
    <w:rsid w:val="00E015AA"/>
    <w:rsid w:val="00E01972"/>
    <w:rsid w:val="00E01E7C"/>
    <w:rsid w:val="00E033FA"/>
    <w:rsid w:val="00E050BA"/>
    <w:rsid w:val="00E05979"/>
    <w:rsid w:val="00E0686B"/>
    <w:rsid w:val="00E071AF"/>
    <w:rsid w:val="00E116E6"/>
    <w:rsid w:val="00E12986"/>
    <w:rsid w:val="00E1468D"/>
    <w:rsid w:val="00E172DD"/>
    <w:rsid w:val="00E1740F"/>
    <w:rsid w:val="00E17B4B"/>
    <w:rsid w:val="00E20337"/>
    <w:rsid w:val="00E24736"/>
    <w:rsid w:val="00E24926"/>
    <w:rsid w:val="00E2725F"/>
    <w:rsid w:val="00E27308"/>
    <w:rsid w:val="00E303A1"/>
    <w:rsid w:val="00E32181"/>
    <w:rsid w:val="00E33715"/>
    <w:rsid w:val="00E33D31"/>
    <w:rsid w:val="00E37C55"/>
    <w:rsid w:val="00E40BF3"/>
    <w:rsid w:val="00E41B65"/>
    <w:rsid w:val="00E43C28"/>
    <w:rsid w:val="00E47E63"/>
    <w:rsid w:val="00E5247D"/>
    <w:rsid w:val="00E53A9E"/>
    <w:rsid w:val="00E54090"/>
    <w:rsid w:val="00E551FD"/>
    <w:rsid w:val="00E5540A"/>
    <w:rsid w:val="00E667B5"/>
    <w:rsid w:val="00E66A20"/>
    <w:rsid w:val="00E71286"/>
    <w:rsid w:val="00E72BB9"/>
    <w:rsid w:val="00E72C0B"/>
    <w:rsid w:val="00E74FA3"/>
    <w:rsid w:val="00E76EEC"/>
    <w:rsid w:val="00E801DA"/>
    <w:rsid w:val="00E80ABD"/>
    <w:rsid w:val="00E8166B"/>
    <w:rsid w:val="00E825DA"/>
    <w:rsid w:val="00E82B9B"/>
    <w:rsid w:val="00E82CC1"/>
    <w:rsid w:val="00E86EF3"/>
    <w:rsid w:val="00E87F42"/>
    <w:rsid w:val="00E937FE"/>
    <w:rsid w:val="00E94882"/>
    <w:rsid w:val="00E956C2"/>
    <w:rsid w:val="00E959BF"/>
    <w:rsid w:val="00E95A16"/>
    <w:rsid w:val="00E9625E"/>
    <w:rsid w:val="00EA0BA3"/>
    <w:rsid w:val="00EA0F5C"/>
    <w:rsid w:val="00EA305D"/>
    <w:rsid w:val="00EA520F"/>
    <w:rsid w:val="00EA54D8"/>
    <w:rsid w:val="00EB1F29"/>
    <w:rsid w:val="00EB20CA"/>
    <w:rsid w:val="00EB4447"/>
    <w:rsid w:val="00EB5CD3"/>
    <w:rsid w:val="00EB6144"/>
    <w:rsid w:val="00EB6C3A"/>
    <w:rsid w:val="00EB71B2"/>
    <w:rsid w:val="00EC1678"/>
    <w:rsid w:val="00EC1DC2"/>
    <w:rsid w:val="00EC33F2"/>
    <w:rsid w:val="00EC33F5"/>
    <w:rsid w:val="00EC3E67"/>
    <w:rsid w:val="00EC4F88"/>
    <w:rsid w:val="00EC7684"/>
    <w:rsid w:val="00ED042A"/>
    <w:rsid w:val="00ED1AF7"/>
    <w:rsid w:val="00ED3702"/>
    <w:rsid w:val="00ED3FB7"/>
    <w:rsid w:val="00ED5463"/>
    <w:rsid w:val="00ED5920"/>
    <w:rsid w:val="00ED7741"/>
    <w:rsid w:val="00ED7FAB"/>
    <w:rsid w:val="00EE018A"/>
    <w:rsid w:val="00EE06BF"/>
    <w:rsid w:val="00EE1056"/>
    <w:rsid w:val="00EE160A"/>
    <w:rsid w:val="00EE1CA1"/>
    <w:rsid w:val="00EE1E6B"/>
    <w:rsid w:val="00EE2A04"/>
    <w:rsid w:val="00EE3E8B"/>
    <w:rsid w:val="00EE42AD"/>
    <w:rsid w:val="00EE46D3"/>
    <w:rsid w:val="00EE59A3"/>
    <w:rsid w:val="00EE7153"/>
    <w:rsid w:val="00EF05B0"/>
    <w:rsid w:val="00EF06D9"/>
    <w:rsid w:val="00EF07BB"/>
    <w:rsid w:val="00EF0C2E"/>
    <w:rsid w:val="00EF2903"/>
    <w:rsid w:val="00EF4EE8"/>
    <w:rsid w:val="00EF5674"/>
    <w:rsid w:val="00EF5808"/>
    <w:rsid w:val="00EF5B31"/>
    <w:rsid w:val="00EF5FD4"/>
    <w:rsid w:val="00EF77A2"/>
    <w:rsid w:val="00F0055C"/>
    <w:rsid w:val="00F00F96"/>
    <w:rsid w:val="00F01F68"/>
    <w:rsid w:val="00F03058"/>
    <w:rsid w:val="00F04189"/>
    <w:rsid w:val="00F05C8D"/>
    <w:rsid w:val="00F07763"/>
    <w:rsid w:val="00F100E8"/>
    <w:rsid w:val="00F102F2"/>
    <w:rsid w:val="00F1176A"/>
    <w:rsid w:val="00F1358B"/>
    <w:rsid w:val="00F13C1A"/>
    <w:rsid w:val="00F13EA7"/>
    <w:rsid w:val="00F14783"/>
    <w:rsid w:val="00F15250"/>
    <w:rsid w:val="00F2112B"/>
    <w:rsid w:val="00F218EC"/>
    <w:rsid w:val="00F22B44"/>
    <w:rsid w:val="00F23347"/>
    <w:rsid w:val="00F23DDB"/>
    <w:rsid w:val="00F23E43"/>
    <w:rsid w:val="00F2550A"/>
    <w:rsid w:val="00F25B1C"/>
    <w:rsid w:val="00F27695"/>
    <w:rsid w:val="00F3066C"/>
    <w:rsid w:val="00F33ABB"/>
    <w:rsid w:val="00F33EF1"/>
    <w:rsid w:val="00F355B2"/>
    <w:rsid w:val="00F3658E"/>
    <w:rsid w:val="00F404C9"/>
    <w:rsid w:val="00F40818"/>
    <w:rsid w:val="00F410F7"/>
    <w:rsid w:val="00F414E3"/>
    <w:rsid w:val="00F42B33"/>
    <w:rsid w:val="00F42F3A"/>
    <w:rsid w:val="00F43475"/>
    <w:rsid w:val="00F43B73"/>
    <w:rsid w:val="00F517AA"/>
    <w:rsid w:val="00F51E3B"/>
    <w:rsid w:val="00F5272A"/>
    <w:rsid w:val="00F53A60"/>
    <w:rsid w:val="00F563FF"/>
    <w:rsid w:val="00F5676C"/>
    <w:rsid w:val="00F56ADE"/>
    <w:rsid w:val="00F6030E"/>
    <w:rsid w:val="00F609FA"/>
    <w:rsid w:val="00F60F37"/>
    <w:rsid w:val="00F62B85"/>
    <w:rsid w:val="00F634F8"/>
    <w:rsid w:val="00F641D7"/>
    <w:rsid w:val="00F665D5"/>
    <w:rsid w:val="00F66EA0"/>
    <w:rsid w:val="00F66FCB"/>
    <w:rsid w:val="00F67BD3"/>
    <w:rsid w:val="00F70C58"/>
    <w:rsid w:val="00F71C04"/>
    <w:rsid w:val="00F745CC"/>
    <w:rsid w:val="00F749DD"/>
    <w:rsid w:val="00F76EDE"/>
    <w:rsid w:val="00F805C8"/>
    <w:rsid w:val="00F8102F"/>
    <w:rsid w:val="00F81073"/>
    <w:rsid w:val="00F8318F"/>
    <w:rsid w:val="00F83A8F"/>
    <w:rsid w:val="00F84F57"/>
    <w:rsid w:val="00F85D2B"/>
    <w:rsid w:val="00F87393"/>
    <w:rsid w:val="00F876B7"/>
    <w:rsid w:val="00F905C5"/>
    <w:rsid w:val="00F92772"/>
    <w:rsid w:val="00F9467C"/>
    <w:rsid w:val="00F95D12"/>
    <w:rsid w:val="00F97869"/>
    <w:rsid w:val="00FA0B7E"/>
    <w:rsid w:val="00FA3B89"/>
    <w:rsid w:val="00FA44C0"/>
    <w:rsid w:val="00FA5286"/>
    <w:rsid w:val="00FA6499"/>
    <w:rsid w:val="00FA715F"/>
    <w:rsid w:val="00FB0316"/>
    <w:rsid w:val="00FB2234"/>
    <w:rsid w:val="00FB261B"/>
    <w:rsid w:val="00FB39A7"/>
    <w:rsid w:val="00FB3D4B"/>
    <w:rsid w:val="00FB703A"/>
    <w:rsid w:val="00FC0720"/>
    <w:rsid w:val="00FC0AF9"/>
    <w:rsid w:val="00FC2087"/>
    <w:rsid w:val="00FC2139"/>
    <w:rsid w:val="00FC467A"/>
    <w:rsid w:val="00FC5C0C"/>
    <w:rsid w:val="00FC5D65"/>
    <w:rsid w:val="00FC6576"/>
    <w:rsid w:val="00FD1DB5"/>
    <w:rsid w:val="00FD2265"/>
    <w:rsid w:val="00FD3F96"/>
    <w:rsid w:val="00FD45AA"/>
    <w:rsid w:val="00FD689C"/>
    <w:rsid w:val="00FD748D"/>
    <w:rsid w:val="00FE1575"/>
    <w:rsid w:val="00FE18D7"/>
    <w:rsid w:val="00FE409E"/>
    <w:rsid w:val="00FE49D0"/>
    <w:rsid w:val="00FE56A2"/>
    <w:rsid w:val="00FE5FF2"/>
    <w:rsid w:val="00FE63CC"/>
    <w:rsid w:val="00FF0220"/>
    <w:rsid w:val="00FF0917"/>
    <w:rsid w:val="00FF0D15"/>
    <w:rsid w:val="00FF1CC9"/>
    <w:rsid w:val="00FF2287"/>
    <w:rsid w:val="00FF4830"/>
    <w:rsid w:val="00FF4B3E"/>
    <w:rsid w:val="018E0AB7"/>
    <w:rsid w:val="06FF4665"/>
    <w:rsid w:val="0E51510D"/>
    <w:rsid w:val="18BC7F1E"/>
    <w:rsid w:val="21F5799A"/>
    <w:rsid w:val="22D7693C"/>
    <w:rsid w:val="28384185"/>
    <w:rsid w:val="2B264718"/>
    <w:rsid w:val="2F370EEF"/>
    <w:rsid w:val="31653E03"/>
    <w:rsid w:val="32474F37"/>
    <w:rsid w:val="34747FD4"/>
    <w:rsid w:val="368C11C2"/>
    <w:rsid w:val="39DF3CFF"/>
    <w:rsid w:val="3E686071"/>
    <w:rsid w:val="47665118"/>
    <w:rsid w:val="488F0C66"/>
    <w:rsid w:val="4E577EB0"/>
    <w:rsid w:val="4F9B0E29"/>
    <w:rsid w:val="518B5ADD"/>
    <w:rsid w:val="54B95ACC"/>
    <w:rsid w:val="54E07DC4"/>
    <w:rsid w:val="55A267B8"/>
    <w:rsid w:val="561544F4"/>
    <w:rsid w:val="5B717C13"/>
    <w:rsid w:val="64AB1F75"/>
    <w:rsid w:val="65332434"/>
    <w:rsid w:val="697C6A36"/>
    <w:rsid w:val="71C42A92"/>
    <w:rsid w:val="730D20FB"/>
    <w:rsid w:val="744F0B5E"/>
    <w:rsid w:val="74D774D1"/>
    <w:rsid w:val="767B1715"/>
    <w:rsid w:val="77243495"/>
    <w:rsid w:val="7A56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rPr>
  </w:style>
  <w:style w:type="paragraph" w:styleId="2">
    <w:name w:val="heading 1"/>
    <w:basedOn w:val="1"/>
    <w:next w:val="3"/>
    <w:link w:val="26"/>
    <w:qFormat/>
    <w:uiPriority w:val="9"/>
    <w:pPr>
      <w:spacing w:line="600" w:lineRule="exact"/>
      <w:ind w:firstLine="750" w:firstLineChars="250"/>
      <w:jc w:val="left"/>
      <w:outlineLvl w:val="0"/>
    </w:pPr>
    <w:rPr>
      <w:rFonts w:ascii="黑体" w:hAnsi="黑体" w:eastAsia="黑体"/>
      <w:szCs w:val="30"/>
    </w:rPr>
  </w:style>
  <w:style w:type="paragraph" w:styleId="4">
    <w:name w:val="heading 2"/>
    <w:basedOn w:val="1"/>
    <w:next w:val="3"/>
    <w:link w:val="31"/>
    <w:unhideWhenUsed/>
    <w:qFormat/>
    <w:uiPriority w:val="9"/>
    <w:pPr>
      <w:keepNext/>
      <w:keepLines/>
      <w:spacing w:line="600" w:lineRule="exact"/>
      <w:ind w:firstLine="200" w:firstLineChars="200"/>
      <w:jc w:val="left"/>
      <w:outlineLvl w:val="1"/>
    </w:pPr>
    <w:rPr>
      <w:rFonts w:eastAsia="楷体" w:asciiTheme="majorHAnsi" w:hAnsiTheme="majorHAnsi" w:cstheme="majorBidi"/>
      <w:b/>
      <w:bCs/>
      <w:sz w:val="30"/>
    </w:rPr>
  </w:style>
  <w:style w:type="paragraph" w:styleId="5">
    <w:name w:val="heading 3"/>
    <w:basedOn w:val="1"/>
    <w:next w:val="1"/>
    <w:link w:val="32"/>
    <w:unhideWhenUsed/>
    <w:qFormat/>
    <w:uiPriority w:val="9"/>
    <w:pPr>
      <w:keepNext/>
      <w:keepLines/>
      <w:ind w:firstLine="200" w:firstLineChars="200"/>
      <w:outlineLvl w:val="2"/>
    </w:pPr>
    <w:rPr>
      <w:b/>
      <w:bCs/>
    </w:rPr>
  </w:style>
  <w:style w:type="paragraph" w:styleId="6">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仿宋" w:hAnsi="仿宋" w:eastAsia="仿宋" w:cstheme="minorBidi"/>
      <w:kern w:val="2"/>
      <w:sz w:val="32"/>
      <w:szCs w:val="32"/>
      <w:lang w:val="en-US" w:eastAsia="zh-CN" w:bidi="ar-SA"/>
    </w:rPr>
  </w:style>
  <w:style w:type="paragraph" w:styleId="7">
    <w:name w:val="annotation text"/>
    <w:basedOn w:val="1"/>
    <w:link w:val="34"/>
    <w:unhideWhenUsed/>
    <w:qFormat/>
    <w:uiPriority w:val="99"/>
    <w:pPr>
      <w:jc w:val="left"/>
    </w:pPr>
  </w:style>
  <w:style w:type="paragraph" w:styleId="8">
    <w:name w:val="toc 3"/>
    <w:basedOn w:val="1"/>
    <w:next w:val="1"/>
    <w:unhideWhenUsed/>
    <w:qFormat/>
    <w:uiPriority w:val="39"/>
    <w:pPr>
      <w:tabs>
        <w:tab w:val="left" w:pos="1470"/>
        <w:tab w:val="right" w:leader="dot" w:pos="9060"/>
      </w:tabs>
      <w:ind w:left="1280" w:leftChars="400"/>
      <w:jc w:val="left"/>
    </w:pPr>
  </w:style>
  <w:style w:type="paragraph" w:styleId="9">
    <w:name w:val="endnote text"/>
    <w:basedOn w:val="1"/>
    <w:link w:val="39"/>
    <w:semiHidden/>
    <w:unhideWhenUsed/>
    <w:qFormat/>
    <w:uiPriority w:val="99"/>
    <w:pPr>
      <w:snapToGrid w:val="0"/>
      <w:jc w:val="left"/>
    </w:pPr>
  </w:style>
  <w:style w:type="paragraph" w:styleId="10">
    <w:name w:val="Balloon Text"/>
    <w:basedOn w:val="1"/>
    <w:link w:val="36"/>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40"/>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annotation subject"/>
    <w:basedOn w:val="7"/>
    <w:next w:val="7"/>
    <w:link w:val="35"/>
    <w:semiHidden/>
    <w:unhideWhenUsed/>
    <w:qFormat/>
    <w:uiPriority w:val="99"/>
    <w:rPr>
      <w:b/>
      <w:bCs/>
    </w:rPr>
  </w:style>
  <w:style w:type="table" w:styleId="18">
    <w:name w:val="Table Grid"/>
    <w:basedOn w:val="17"/>
    <w:qFormat/>
    <w:uiPriority w:val="59"/>
    <w:rPr>
      <w:rFonts w:ascii="仿宋" w:hAnsi="仿宋" w:eastAsia="仿宋"/>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ndnote reference"/>
    <w:basedOn w:val="19"/>
    <w:semiHidden/>
    <w:unhideWhenUsed/>
    <w:qFormat/>
    <w:uiPriority w:val="99"/>
    <w:rPr>
      <w:vertAlign w:val="superscript"/>
    </w:rPr>
  </w:style>
  <w:style w:type="character" w:styleId="22">
    <w:name w:val="Emphasis"/>
    <w:basedOn w:val="19"/>
    <w:qFormat/>
    <w:uiPriority w:val="20"/>
    <w:rPr>
      <w:i/>
      <w:iCs/>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character" w:styleId="25">
    <w:name w:val="footnote reference"/>
    <w:basedOn w:val="19"/>
    <w:semiHidden/>
    <w:unhideWhenUsed/>
    <w:qFormat/>
    <w:uiPriority w:val="99"/>
    <w:rPr>
      <w:vertAlign w:val="superscript"/>
    </w:rPr>
  </w:style>
  <w:style w:type="character" w:customStyle="1" w:styleId="26">
    <w:name w:val="标题 1 Char"/>
    <w:basedOn w:val="19"/>
    <w:link w:val="2"/>
    <w:qFormat/>
    <w:uiPriority w:val="9"/>
    <w:rPr>
      <w:rFonts w:ascii="黑体" w:hAnsi="黑体" w:eastAsia="黑体"/>
      <w:sz w:val="32"/>
      <w:szCs w:val="30"/>
    </w:rPr>
  </w:style>
  <w:style w:type="character" w:customStyle="1" w:styleId="27">
    <w:name w:val="页眉 Char"/>
    <w:basedOn w:val="19"/>
    <w:link w:val="12"/>
    <w:qFormat/>
    <w:uiPriority w:val="99"/>
    <w:rPr>
      <w:rFonts w:ascii="仿宋" w:hAnsi="仿宋" w:eastAsia="仿宋"/>
      <w:sz w:val="18"/>
      <w:szCs w:val="18"/>
    </w:rPr>
  </w:style>
  <w:style w:type="character" w:customStyle="1" w:styleId="28">
    <w:name w:val="页脚 Char"/>
    <w:basedOn w:val="19"/>
    <w:link w:val="11"/>
    <w:qFormat/>
    <w:uiPriority w:val="99"/>
    <w:rPr>
      <w:rFonts w:ascii="仿宋" w:hAnsi="仿宋" w:eastAsia="仿宋"/>
      <w:sz w:val="18"/>
      <w:szCs w:val="18"/>
    </w:rPr>
  </w:style>
  <w:style w:type="paragraph" w:styleId="29">
    <w:name w:val="List Paragraph"/>
    <w:basedOn w:val="1"/>
    <w:qFormat/>
    <w:uiPriority w:val="34"/>
    <w:pPr>
      <w:ind w:firstLine="420" w:firstLineChars="200"/>
    </w:pPr>
  </w:style>
  <w:style w:type="table" w:customStyle="1" w:styleId="30">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标题 2 Char"/>
    <w:basedOn w:val="19"/>
    <w:link w:val="4"/>
    <w:qFormat/>
    <w:uiPriority w:val="9"/>
    <w:rPr>
      <w:rFonts w:eastAsia="楷体" w:asciiTheme="majorHAnsi" w:hAnsiTheme="majorHAnsi" w:cstheme="majorBidi"/>
      <w:b/>
      <w:bCs/>
      <w:sz w:val="30"/>
      <w:szCs w:val="32"/>
    </w:rPr>
  </w:style>
  <w:style w:type="character" w:customStyle="1" w:styleId="32">
    <w:name w:val="标题 3 Char"/>
    <w:basedOn w:val="19"/>
    <w:link w:val="5"/>
    <w:qFormat/>
    <w:uiPriority w:val="9"/>
    <w:rPr>
      <w:rFonts w:ascii="仿宋" w:hAnsi="仿宋" w:eastAsia="仿宋"/>
      <w:b/>
      <w:bCs/>
      <w:sz w:val="32"/>
      <w:szCs w:val="32"/>
    </w:rPr>
  </w:style>
  <w:style w:type="character" w:customStyle="1" w:styleId="33">
    <w:name w:val="标题 4 Char"/>
    <w:basedOn w:val="19"/>
    <w:link w:val="6"/>
    <w:qFormat/>
    <w:uiPriority w:val="9"/>
    <w:rPr>
      <w:rFonts w:asciiTheme="majorHAnsi" w:hAnsiTheme="majorHAnsi" w:eastAsiaTheme="majorEastAsia" w:cstheme="majorBidi"/>
      <w:b/>
      <w:bCs/>
      <w:sz w:val="28"/>
      <w:szCs w:val="28"/>
    </w:rPr>
  </w:style>
  <w:style w:type="character" w:customStyle="1" w:styleId="34">
    <w:name w:val="批注文字 Char"/>
    <w:basedOn w:val="19"/>
    <w:link w:val="7"/>
    <w:qFormat/>
    <w:uiPriority w:val="99"/>
    <w:rPr>
      <w:rFonts w:ascii="仿宋" w:hAnsi="仿宋" w:eastAsia="仿宋"/>
      <w:sz w:val="32"/>
      <w:szCs w:val="32"/>
    </w:rPr>
  </w:style>
  <w:style w:type="character" w:customStyle="1" w:styleId="35">
    <w:name w:val="批注主题 Char"/>
    <w:basedOn w:val="34"/>
    <w:link w:val="16"/>
    <w:semiHidden/>
    <w:qFormat/>
    <w:uiPriority w:val="99"/>
    <w:rPr>
      <w:rFonts w:ascii="仿宋" w:hAnsi="仿宋" w:eastAsia="仿宋"/>
      <w:b/>
      <w:bCs/>
      <w:sz w:val="32"/>
      <w:szCs w:val="32"/>
    </w:rPr>
  </w:style>
  <w:style w:type="character" w:customStyle="1" w:styleId="36">
    <w:name w:val="批注框文本 Char"/>
    <w:basedOn w:val="19"/>
    <w:link w:val="10"/>
    <w:semiHidden/>
    <w:qFormat/>
    <w:uiPriority w:val="99"/>
    <w:rPr>
      <w:rFonts w:ascii="仿宋" w:hAnsi="仿宋" w:eastAsia="仿宋"/>
      <w:sz w:val="18"/>
      <w:szCs w:val="18"/>
    </w:rPr>
  </w:style>
  <w:style w:type="paragraph" w:customStyle="1" w:styleId="37">
    <w:name w:val="修订1"/>
    <w:hidden/>
    <w:semiHidden/>
    <w:qFormat/>
    <w:uiPriority w:val="99"/>
    <w:rPr>
      <w:rFonts w:ascii="仿宋" w:hAnsi="仿宋" w:eastAsia="仿宋" w:cstheme="minorBidi"/>
      <w:kern w:val="2"/>
      <w:sz w:val="32"/>
      <w:szCs w:val="32"/>
      <w:lang w:val="en-US" w:eastAsia="zh-CN" w:bidi="ar-SA"/>
    </w:rPr>
  </w:style>
  <w:style w:type="paragraph" w:customStyle="1" w:styleId="3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39">
    <w:name w:val="尾注文本 Char"/>
    <w:basedOn w:val="19"/>
    <w:link w:val="9"/>
    <w:semiHidden/>
    <w:qFormat/>
    <w:uiPriority w:val="99"/>
    <w:rPr>
      <w:rFonts w:ascii="仿宋" w:hAnsi="仿宋" w:eastAsia="仿宋"/>
      <w:sz w:val="32"/>
      <w:szCs w:val="32"/>
    </w:rPr>
  </w:style>
  <w:style w:type="character" w:customStyle="1" w:styleId="40">
    <w:name w:val="脚注文本 Char"/>
    <w:basedOn w:val="19"/>
    <w:link w:val="14"/>
    <w:semiHidden/>
    <w:qFormat/>
    <w:uiPriority w:val="99"/>
    <w:rPr>
      <w:rFonts w:ascii="仿宋" w:hAnsi="仿宋" w:eastAsia="仿宋"/>
      <w:sz w:val="18"/>
      <w:szCs w:val="18"/>
    </w:rPr>
  </w:style>
  <w:style w:type="paragraph" w:customStyle="1" w:styleId="41">
    <w:name w:val="修订2"/>
    <w:hidden/>
    <w:semiHidden/>
    <w:qFormat/>
    <w:uiPriority w:val="99"/>
    <w:rPr>
      <w:rFonts w:ascii="仿宋" w:hAnsi="仿宋" w:eastAsia="仿宋" w:cstheme="minorBidi"/>
      <w:kern w:val="2"/>
      <w:sz w:val="32"/>
      <w:szCs w:val="32"/>
      <w:lang w:val="en-US" w:eastAsia="zh-CN" w:bidi="ar-SA"/>
    </w:rPr>
  </w:style>
  <w:style w:type="paragraph" w:customStyle="1" w:styleId="42">
    <w:name w:val="修订3"/>
    <w:hidden/>
    <w:semiHidden/>
    <w:qFormat/>
    <w:uiPriority w:val="99"/>
    <w:rPr>
      <w:rFonts w:ascii="仿宋" w:hAnsi="仿宋" w:eastAsia="仿宋" w:cstheme="minorBidi"/>
      <w:kern w:val="2"/>
      <w:sz w:val="32"/>
      <w:szCs w:val="32"/>
      <w:lang w:val="en-US" w:eastAsia="zh-CN" w:bidi="ar-SA"/>
    </w:rPr>
  </w:style>
  <w:style w:type="paragraph" w:customStyle="1" w:styleId="43">
    <w:name w:val="修订4"/>
    <w:hidden/>
    <w:semiHidden/>
    <w:qFormat/>
    <w:uiPriority w:val="99"/>
    <w:rPr>
      <w:rFonts w:ascii="仿宋" w:hAnsi="仿宋" w:eastAsia="仿宋"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08A1-438E-4F8F-ABF4-E327F56217C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13880</Words>
  <Characters>14327</Characters>
  <Lines>106</Lines>
  <Paragraphs>29</Paragraphs>
  <TotalTime>38</TotalTime>
  <ScaleCrop>false</ScaleCrop>
  <LinksUpToDate>false</LinksUpToDate>
  <CharactersWithSpaces>14438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2022-06-15T01:29:00Z</dcterms:created>
  <dc:creator>桂俊煜</dc:creator>
  <cp:lastModifiedBy>瑶</cp:lastModifiedBy>
  <cp:lastPrinted>2022-06-22T01:13:00Z</cp:lastPrinted>
  <dcterms:modified xsi:type="dcterms:W3CDTF">2022-06-22T02:26:06Z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6159084ED5C142F19BA6D01E426E5B6C</vt:lpwstr>
  </property>
</Properties>
</file>