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3DB44">
      <w:pPr>
        <w:spacing w:before="107" w:line="224" w:lineRule="auto"/>
        <w:ind w:left="4"/>
        <w:rPr>
          <w:rFonts w:ascii="黑体" w:hAnsi="黑体" w:eastAsia="黑体" w:cs="黑体"/>
          <w:sz w:val="33"/>
          <w:szCs w:val="33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14"/>
          <w:sz w:val="33"/>
          <w:szCs w:val="33"/>
        </w:rPr>
        <w:t>附件2</w:t>
      </w:r>
    </w:p>
    <w:p w14:paraId="1817B8D8">
      <w:pPr>
        <w:spacing w:before="39" w:line="212" w:lineRule="auto"/>
        <w:ind w:left="2996" w:right="1286" w:hanging="1710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pacing w:val="-10"/>
          <w:sz w:val="44"/>
          <w:szCs w:val="44"/>
        </w:rPr>
        <w:t>第三届全国大学生职业规划大赛</w:t>
      </w:r>
      <w:r>
        <w:rPr>
          <w:rFonts w:hint="eastAsia" w:ascii="方正公文小标宋" w:hAnsi="方正公文小标宋" w:eastAsia="方正公文小标宋" w:cs="方正公文小标宋"/>
          <w:spacing w:val="10"/>
          <w:sz w:val="44"/>
          <w:szCs w:val="44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/>
          <w:bCs/>
          <w:spacing w:val="-3"/>
          <w:sz w:val="44"/>
          <w:szCs w:val="44"/>
        </w:rPr>
        <w:t>就业赛道方案</w:t>
      </w:r>
    </w:p>
    <w:p w14:paraId="13FB14C3">
      <w:pPr>
        <w:spacing w:line="250" w:lineRule="auto"/>
        <w:rPr>
          <w:rFonts w:ascii="Arial"/>
          <w:sz w:val="21"/>
        </w:rPr>
      </w:pPr>
    </w:p>
    <w:p w14:paraId="353E88F3">
      <w:pPr>
        <w:spacing w:line="250" w:lineRule="auto"/>
        <w:rPr>
          <w:rFonts w:ascii="Arial"/>
          <w:sz w:val="21"/>
        </w:rPr>
      </w:pPr>
    </w:p>
    <w:p w14:paraId="2A7315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40" w:lineRule="exact"/>
        <w:ind w:left="624"/>
        <w:textAlignment w:val="baseline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一、比赛内容</w:t>
      </w:r>
    </w:p>
    <w:p w14:paraId="6C8465B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9" w:line="440" w:lineRule="exact"/>
        <w:ind w:right="19" w:firstLine="620"/>
        <w:jc w:val="left"/>
        <w:textAlignment w:val="baseline"/>
        <w:rPr>
          <w:sz w:val="32"/>
          <w:szCs w:val="32"/>
        </w:rPr>
      </w:pPr>
      <w:r>
        <w:rPr>
          <w:spacing w:val="11"/>
          <w:sz w:val="32"/>
          <w:szCs w:val="32"/>
        </w:rPr>
        <w:t>考察学生求职实战能力，个人综合素质、专业能力</w:t>
      </w:r>
      <w:r>
        <w:rPr>
          <w:rFonts w:hint="eastAsia"/>
          <w:spacing w:val="11"/>
          <w:sz w:val="32"/>
          <w:szCs w:val="32"/>
          <w:lang w:val="en-US" w:eastAsia="zh-CN"/>
        </w:rPr>
        <w:t>与</w:t>
      </w:r>
      <w:r>
        <w:rPr>
          <w:spacing w:val="11"/>
          <w:sz w:val="32"/>
          <w:szCs w:val="32"/>
        </w:rPr>
        <w:t>目标</w:t>
      </w:r>
      <w:r>
        <w:rPr>
          <w:spacing w:val="10"/>
          <w:sz w:val="32"/>
          <w:szCs w:val="32"/>
        </w:rPr>
        <w:t>职业的契合度，个人发展路径与就业市场需求的适应度。参赛</w:t>
      </w:r>
      <w:r>
        <w:rPr>
          <w:sz w:val="32"/>
          <w:szCs w:val="32"/>
        </w:rPr>
        <w:t>学生可获得岗位录用意向。</w:t>
      </w:r>
    </w:p>
    <w:p w14:paraId="14BE32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40" w:lineRule="exact"/>
        <w:ind w:left="624"/>
        <w:textAlignment w:val="baseline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二、参赛组别和对象</w:t>
      </w:r>
    </w:p>
    <w:p w14:paraId="569306A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3" w:line="440" w:lineRule="exact"/>
        <w:ind w:right="2" w:firstLine="620"/>
        <w:jc w:val="both"/>
        <w:textAlignment w:val="baseline"/>
      </w:pPr>
      <w:r>
        <w:rPr>
          <w:spacing w:val="11"/>
        </w:rPr>
        <w:t>就业赛道设高教本科生组、高教研究生组和职教组，参赛</w:t>
      </w:r>
      <w:r>
        <w:rPr>
          <w:spacing w:val="3"/>
        </w:rPr>
        <w:t xml:space="preserve"> </w:t>
      </w:r>
      <w:r>
        <w:rPr>
          <w:spacing w:val="11"/>
        </w:rPr>
        <w:t>对象为普通高等学校全日制本、专科高年级计划求职学生</w:t>
      </w:r>
      <w:r>
        <w:rPr>
          <w:spacing w:val="10"/>
        </w:rPr>
        <w:t>，以</w:t>
      </w:r>
      <w:r>
        <w:t xml:space="preserve"> </w:t>
      </w:r>
      <w:r>
        <w:rPr>
          <w:spacing w:val="16"/>
        </w:rPr>
        <w:t>及全体研究生。高教本科生组面向普通本科三、四年级(</w:t>
      </w:r>
      <w:r>
        <w:rPr>
          <w:rFonts w:hint="eastAsia"/>
          <w:spacing w:val="16"/>
          <w:lang w:eastAsia="zh-CN"/>
        </w:rPr>
        <w:t>部</w:t>
      </w:r>
      <w:r>
        <w:rPr>
          <w:spacing w:val="16"/>
        </w:rPr>
        <w:t>分</w:t>
      </w:r>
      <w:r>
        <w:rPr>
          <w:spacing w:val="22"/>
        </w:rPr>
        <w:t>专业五年级)学生(不含已通过推免等确定升学的毕业年级学</w:t>
      </w:r>
      <w:r>
        <w:rPr>
          <w:spacing w:val="9"/>
        </w:rPr>
        <w:t>生),全体第二学士学位学生；高教研究生组面向全体研究生；</w:t>
      </w:r>
      <w:r>
        <w:rPr>
          <w:spacing w:val="22"/>
        </w:rPr>
        <w:t>职教组面向职教本科三、四年级学生和高职(专科</w:t>
      </w:r>
      <w:r>
        <w:rPr>
          <w:spacing w:val="21"/>
        </w:rPr>
        <w:t>)二</w:t>
      </w:r>
      <w:r>
        <w:rPr>
          <w:rFonts w:hint="eastAsia"/>
          <w:spacing w:val="21"/>
          <w:lang w:eastAsia="zh-CN"/>
        </w:rPr>
        <w:t>、</w:t>
      </w:r>
      <w:r>
        <w:rPr>
          <w:spacing w:val="21"/>
        </w:rPr>
        <w:t>三年</w:t>
      </w:r>
      <w:r>
        <w:rPr>
          <w:spacing w:val="-5"/>
        </w:rPr>
        <w:t>级学生。</w:t>
      </w:r>
    </w:p>
    <w:p w14:paraId="0C8753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" w:line="440" w:lineRule="exact"/>
        <w:ind w:left="624"/>
        <w:textAlignment w:val="baseline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三、参赛材料要求</w:t>
      </w:r>
    </w:p>
    <w:p w14:paraId="548AE0A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4" w:line="440" w:lineRule="exact"/>
        <w:ind w:right="18" w:firstLine="62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选手在大赛平台(网址：</w:t>
      </w:r>
      <w:r>
        <w:rPr>
          <w:rFonts w:hint="eastAsia" w:ascii="仿宋" w:hAnsi="仿宋" w:eastAsia="仿宋" w:cs="仿宋"/>
          <w:sz w:val="32"/>
          <w:szCs w:val="32"/>
        </w:rPr>
        <w:t>zgs</w:t>
      </w:r>
      <w:r>
        <w:rPr>
          <w:rFonts w:hint="eastAsia" w:ascii="仿宋" w:hAnsi="仿宋" w:eastAsia="仿宋" w:cs="仿宋"/>
          <w:spacing w:val="5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chsi</w:t>
      </w:r>
      <w:r>
        <w:rPr>
          <w:rFonts w:hint="eastAsia" w:ascii="仿宋" w:hAnsi="仿宋" w:eastAsia="仿宋" w:cs="仿宋"/>
          <w:spacing w:val="5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com</w:t>
      </w:r>
      <w:r>
        <w:rPr>
          <w:rFonts w:hint="eastAsia" w:ascii="仿宋" w:hAnsi="仿宋" w:eastAsia="仿宋" w:cs="仿宋"/>
          <w:spacing w:val="5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cn</w:t>
      </w:r>
      <w:r>
        <w:rPr>
          <w:rFonts w:hint="eastAsia" w:ascii="仿宋" w:hAnsi="仿宋" w:eastAsia="仿宋" w:cs="仿宋"/>
          <w:spacing w:val="5"/>
          <w:sz w:val="32"/>
          <w:szCs w:val="32"/>
        </w:rPr>
        <w:t>)提交以下参赛材</w:t>
      </w:r>
      <w:r>
        <w:rPr>
          <w:rFonts w:hint="eastAsia" w:ascii="仿宋" w:hAnsi="仿宋" w:eastAsia="仿宋" w:cs="仿宋"/>
          <w:spacing w:val="-24"/>
          <w:sz w:val="32"/>
          <w:szCs w:val="32"/>
        </w:rPr>
        <w:t>料：</w:t>
      </w:r>
    </w:p>
    <w:p w14:paraId="0B9A0EB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779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9"/>
          <w:sz w:val="32"/>
          <w:szCs w:val="32"/>
        </w:rPr>
        <w:t>(</w:t>
      </w:r>
      <w:r>
        <w:rPr>
          <w:rFonts w:hint="eastAsia" w:ascii="仿宋" w:hAnsi="仿宋" w:eastAsia="仿宋" w:cs="仿宋"/>
          <w:spacing w:val="-8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9"/>
          <w:sz w:val="32"/>
          <w:szCs w:val="32"/>
        </w:rPr>
        <w:t>一)求职简历</w:t>
      </w:r>
      <w:r>
        <w:rPr>
          <w:rFonts w:hint="eastAsia"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9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>PDF</w:t>
      </w:r>
      <w:r>
        <w:rPr>
          <w:rFonts w:hint="eastAsia" w:ascii="仿宋" w:hAnsi="仿宋" w:eastAsia="仿宋" w:cs="仿宋"/>
          <w:spacing w:val="9"/>
          <w:sz w:val="32"/>
          <w:szCs w:val="32"/>
        </w:rPr>
        <w:t>格式)。</w:t>
      </w:r>
    </w:p>
    <w:p w14:paraId="6AABE00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4" w:line="440" w:lineRule="exact"/>
        <w:ind w:firstLine="779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8"/>
          <w:sz w:val="32"/>
          <w:szCs w:val="32"/>
        </w:rPr>
        <w:t>(二)求职综合展示(</w:t>
      </w:r>
      <w:r>
        <w:rPr>
          <w:rFonts w:hint="eastAsia" w:ascii="仿宋" w:hAnsi="仿宋" w:eastAsia="仿宋" w:cs="仿宋"/>
          <w:sz w:val="32"/>
          <w:szCs w:val="32"/>
        </w:rPr>
        <w:t>PPT</w:t>
      </w:r>
      <w:r>
        <w:rPr>
          <w:rFonts w:hint="eastAsia" w:ascii="仿宋" w:hAnsi="仿宋" w:eastAsia="仿宋" w:cs="仿宋"/>
          <w:spacing w:val="18"/>
          <w:sz w:val="32"/>
          <w:szCs w:val="32"/>
        </w:rPr>
        <w:t>格式，不超过50</w:t>
      </w:r>
      <w:r>
        <w:rPr>
          <w:rFonts w:hint="eastAsia" w:ascii="仿宋" w:hAnsi="仿宋" w:eastAsia="仿宋" w:cs="仿宋"/>
          <w:sz w:val="32"/>
          <w:szCs w:val="32"/>
        </w:rPr>
        <w:t>MB</w:t>
      </w:r>
      <w:r>
        <w:rPr>
          <w:rFonts w:hint="eastAsia" w:ascii="仿宋" w:hAnsi="仿宋" w:eastAsia="仿宋" w:cs="仿宋"/>
          <w:spacing w:val="18"/>
          <w:sz w:val="32"/>
          <w:szCs w:val="32"/>
        </w:rPr>
        <w:t>;可加入视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3"/>
          <w:sz w:val="32"/>
          <w:szCs w:val="32"/>
        </w:rPr>
        <w:t>频)。</w:t>
      </w:r>
    </w:p>
    <w:p w14:paraId="41927C4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9" w:line="440" w:lineRule="exact"/>
        <w:ind w:left="139" w:right="20" w:firstLine="64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7"/>
          <w:sz w:val="32"/>
          <w:szCs w:val="32"/>
        </w:rPr>
        <w:t>(三)辅助证明材料，包括实践、实习、获奖等证明材料</w:t>
      </w:r>
      <w:r>
        <w:rPr>
          <w:rFonts w:hint="eastAsia"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9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>PDF</w:t>
      </w:r>
      <w:r>
        <w:rPr>
          <w:rFonts w:hint="eastAsia" w:ascii="仿宋" w:hAnsi="仿宋" w:eastAsia="仿宋" w:cs="仿宋"/>
          <w:spacing w:val="9"/>
          <w:sz w:val="32"/>
          <w:szCs w:val="32"/>
        </w:rPr>
        <w:t>格式，整合为单个文件，不超过50</w:t>
      </w:r>
      <w:r>
        <w:rPr>
          <w:rFonts w:hint="eastAsia" w:ascii="仿宋" w:hAnsi="仿宋" w:eastAsia="仿宋" w:cs="仿宋"/>
          <w:sz w:val="32"/>
          <w:szCs w:val="32"/>
        </w:rPr>
        <w:t>MB</w:t>
      </w:r>
      <w:r>
        <w:rPr>
          <w:rFonts w:hint="eastAsia" w:ascii="仿宋" w:hAnsi="仿宋" w:eastAsia="仿宋" w:cs="仿宋"/>
          <w:spacing w:val="9"/>
          <w:sz w:val="32"/>
          <w:szCs w:val="32"/>
        </w:rPr>
        <w:t>)。</w:t>
      </w:r>
    </w:p>
    <w:p w14:paraId="7046C9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仿宋" w:hAnsi="仿宋" w:eastAsia="仿宋" w:cs="仿宋"/>
          <w:sz w:val="32"/>
          <w:szCs w:val="32"/>
        </w:rPr>
        <w:sectPr>
          <w:footerReference r:id="rId5" w:type="default"/>
          <w:pgSz w:w="11910" w:h="16840"/>
          <w:pgMar w:top="1701" w:right="1531" w:bottom="1134" w:left="1531" w:header="0" w:footer="1404" w:gutter="0"/>
          <w:cols w:space="720" w:num="1"/>
        </w:sectPr>
      </w:pPr>
    </w:p>
    <w:p w14:paraId="6E5FAA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40" w:lineRule="exact"/>
        <w:ind w:firstLine="626" w:firstLineChars="200"/>
        <w:textAlignment w:val="baseline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四、比赛环节</w:t>
      </w:r>
    </w:p>
    <w:p w14:paraId="4F4926E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line="440" w:lineRule="exact"/>
        <w:ind w:right="245" w:firstLine="696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4"/>
          <w:sz w:val="32"/>
          <w:szCs w:val="32"/>
        </w:rPr>
        <w:t>就业赛道设主题陈述、综合面试、天降</w:t>
      </w:r>
      <w:r>
        <w:rPr>
          <w:rFonts w:hint="eastAsia" w:ascii="仿宋" w:hAnsi="仿宋" w:eastAsia="仿宋" w:cs="仿宋"/>
          <w:sz w:val="32"/>
          <w:szCs w:val="32"/>
        </w:rPr>
        <w:t>offer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(录用意向)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3"/>
          <w:sz w:val="32"/>
          <w:szCs w:val="32"/>
        </w:rPr>
        <w:t>环节。各环节根据实际情况可适当调整。</w:t>
      </w:r>
    </w:p>
    <w:p w14:paraId="7952056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40" w:lineRule="exact"/>
        <w:ind w:right="429" w:firstLine="768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32"/>
          <w:sz w:val="32"/>
          <w:szCs w:val="32"/>
        </w:rPr>
        <w:t>(一)主题陈述(6分钟):选手结合求职综合展示</w:t>
      </w:r>
      <w:r>
        <w:rPr>
          <w:rFonts w:hint="eastAsia" w:ascii="仿宋" w:hAnsi="仿宋" w:eastAsia="仿宋" w:cs="仿宋"/>
          <w:sz w:val="32"/>
          <w:szCs w:val="32"/>
        </w:rPr>
        <w:t>PPT</w:t>
      </w:r>
      <w:r>
        <w:rPr>
          <w:rFonts w:hint="eastAsia" w:ascii="仿宋" w:hAnsi="仿宋" w:eastAsia="仿宋" w:cs="仿宋"/>
          <w:spacing w:val="32"/>
          <w:sz w:val="32"/>
          <w:szCs w:val="32"/>
        </w:rPr>
        <w:t>,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陈述个人求职意向和职业准备情况。</w:t>
      </w:r>
    </w:p>
    <w:p w14:paraId="51ED87E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440" w:lineRule="exact"/>
        <w:ind w:right="70" w:firstLine="752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8"/>
          <w:sz w:val="32"/>
          <w:szCs w:val="32"/>
        </w:rPr>
        <w:t>(二)综合面试(6分钟):评委提出真实工作场景中可能</w:t>
      </w:r>
      <w:r>
        <w:rPr>
          <w:rFonts w:hint="eastAsia" w:ascii="仿宋" w:hAnsi="仿宋" w:eastAsia="仿宋" w:cs="仿宋"/>
          <w:spacing w:val="1"/>
          <w:sz w:val="32"/>
          <w:szCs w:val="32"/>
        </w:rPr>
        <w:t>遇到的问题，选手提出解决方案；评委结合选手陈述自由提问。</w:t>
      </w:r>
    </w:p>
    <w:p w14:paraId="3E4E67C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440" w:lineRule="exact"/>
        <w:ind w:right="163" w:firstLine="716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9"/>
          <w:sz w:val="32"/>
          <w:szCs w:val="32"/>
        </w:rPr>
        <w:t>(三)天降</w:t>
      </w:r>
      <w:r>
        <w:rPr>
          <w:rFonts w:hint="eastAsia" w:ascii="仿宋" w:hAnsi="仿宋" w:eastAsia="仿宋" w:cs="仿宋"/>
          <w:sz w:val="32"/>
          <w:szCs w:val="32"/>
        </w:rPr>
        <w:t>offer</w:t>
      </w:r>
      <w:r>
        <w:rPr>
          <w:rFonts w:hint="eastAsia" w:ascii="仿宋" w:hAnsi="仿宋" w:eastAsia="仿宋" w:cs="仿宋"/>
          <w:spacing w:val="19"/>
          <w:sz w:val="32"/>
          <w:szCs w:val="32"/>
        </w:rPr>
        <w:t>(2分钟):用人单位根据选手表现，决定</w:t>
      </w:r>
      <w:r>
        <w:rPr>
          <w:rFonts w:hint="eastAsia" w:ascii="仿宋" w:hAnsi="仿宋" w:eastAsia="仿宋" w:cs="仿宋"/>
          <w:spacing w:val="3"/>
          <w:sz w:val="32"/>
          <w:szCs w:val="32"/>
        </w:rPr>
        <w:t>是否给出录用意向，并对选手作点评。</w:t>
      </w:r>
    </w:p>
    <w:p w14:paraId="6502A0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440" w:lineRule="exact"/>
        <w:ind w:left="799"/>
        <w:textAlignment w:val="baseline"/>
        <w:outlineLvl w:val="1"/>
        <w:rPr>
          <w:rFonts w:ascii="宋体" w:hAnsi="宋体" w:eastAsia="宋体" w:cs="宋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1"/>
          <w:sz w:val="31"/>
          <w:szCs w:val="31"/>
          <w:lang w:val="en-US" w:eastAsia="zh-CN"/>
        </w:rPr>
        <w:t>五、</w:t>
      </w: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评审标准</w:t>
      </w:r>
    </w:p>
    <w:p w14:paraId="4488EB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ascii="Arial"/>
          <w:sz w:val="2"/>
        </w:rPr>
      </w:pPr>
    </w:p>
    <w:tbl>
      <w:tblPr>
        <w:tblStyle w:val="6"/>
        <w:tblW w:w="89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6583"/>
        <w:gridCol w:w="834"/>
      </w:tblGrid>
      <w:tr w14:paraId="018A2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523" w:type="dxa"/>
            <w:vAlign w:val="top"/>
          </w:tcPr>
          <w:p w14:paraId="5375506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440" w:lineRule="exact"/>
              <w:ind w:left="478"/>
              <w:textAlignment w:val="baseline"/>
            </w:pPr>
            <w:r>
              <w:rPr>
                <w:b/>
                <w:bCs/>
                <w:spacing w:val="-7"/>
              </w:rPr>
              <w:t>指标</w:t>
            </w:r>
          </w:p>
        </w:tc>
        <w:tc>
          <w:tcPr>
            <w:tcW w:w="6583" w:type="dxa"/>
            <w:vAlign w:val="top"/>
          </w:tcPr>
          <w:p w14:paraId="3A63C08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2" w:line="440" w:lineRule="exact"/>
              <w:ind w:left="2985"/>
              <w:textAlignment w:val="baseline"/>
            </w:pPr>
            <w:r>
              <w:rPr>
                <w:b/>
                <w:bCs/>
                <w:spacing w:val="8"/>
              </w:rPr>
              <w:t>说明</w:t>
            </w:r>
          </w:p>
        </w:tc>
        <w:tc>
          <w:tcPr>
            <w:tcW w:w="834" w:type="dxa"/>
            <w:vAlign w:val="top"/>
          </w:tcPr>
          <w:p w14:paraId="7005C7D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1" w:line="440" w:lineRule="exact"/>
              <w:ind w:left="132"/>
              <w:textAlignment w:val="baseline"/>
            </w:pPr>
            <w:r>
              <w:rPr>
                <w:b/>
                <w:bCs/>
                <w:spacing w:val="-7"/>
              </w:rPr>
              <w:t>分值</w:t>
            </w:r>
          </w:p>
        </w:tc>
      </w:tr>
      <w:tr w14:paraId="036B0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523" w:type="dxa"/>
            <w:vMerge w:val="restart"/>
            <w:tcBorders>
              <w:bottom w:val="nil"/>
            </w:tcBorders>
            <w:vAlign w:val="top"/>
          </w:tcPr>
          <w:p w14:paraId="33DB4C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19"/>
                <w:kern w:val="0"/>
                <w:sz w:val="32"/>
                <w:szCs w:val="32"/>
                <w:lang w:val="en-US" w:eastAsia="en-US" w:bidi="ar-SA"/>
              </w:rPr>
            </w:pPr>
          </w:p>
          <w:p w14:paraId="1B5339C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440" w:lineRule="exac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19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9"/>
                <w:kern w:val="0"/>
                <w:sz w:val="32"/>
                <w:szCs w:val="32"/>
                <w:lang w:val="en-US" w:eastAsia="en-US" w:bidi="ar-SA"/>
              </w:rPr>
              <w:t>职业目标</w:t>
            </w:r>
          </w:p>
        </w:tc>
        <w:tc>
          <w:tcPr>
            <w:tcW w:w="6583" w:type="dxa"/>
            <w:vAlign w:val="top"/>
          </w:tcPr>
          <w:p w14:paraId="7C85582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440" w:lineRule="exact"/>
              <w:ind w:left="121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19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9"/>
                <w:kern w:val="0"/>
                <w:sz w:val="32"/>
                <w:szCs w:val="32"/>
                <w:lang w:val="en-US" w:eastAsia="en-US" w:bidi="ar-SA"/>
              </w:rPr>
              <w:t>能够结合就业市场需求和个人所学专业、能力及兴趣 等特点，合理设定职业目标</w:t>
            </w:r>
          </w:p>
        </w:tc>
        <w:tc>
          <w:tcPr>
            <w:tcW w:w="834" w:type="dxa"/>
            <w:vMerge w:val="restart"/>
            <w:tcBorders>
              <w:bottom w:val="nil"/>
            </w:tcBorders>
            <w:vAlign w:val="top"/>
          </w:tcPr>
          <w:p w14:paraId="6D3760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19"/>
                <w:kern w:val="0"/>
                <w:sz w:val="32"/>
                <w:szCs w:val="32"/>
                <w:lang w:val="en-US" w:eastAsia="en-US" w:bidi="ar-SA"/>
              </w:rPr>
            </w:pPr>
          </w:p>
          <w:p w14:paraId="465F93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19"/>
                <w:kern w:val="0"/>
                <w:sz w:val="32"/>
                <w:szCs w:val="32"/>
                <w:lang w:val="en-US" w:eastAsia="en-US" w:bidi="ar-SA"/>
              </w:rPr>
            </w:pPr>
          </w:p>
          <w:p w14:paraId="1DEB74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19"/>
                <w:kern w:val="0"/>
                <w:sz w:val="32"/>
                <w:szCs w:val="32"/>
                <w:lang w:val="en-US" w:eastAsia="en-US" w:bidi="ar-SA"/>
              </w:rPr>
            </w:pPr>
          </w:p>
          <w:p w14:paraId="664B30E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440" w:lineRule="exact"/>
              <w:ind w:left="268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19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9"/>
                <w:kern w:val="0"/>
                <w:sz w:val="32"/>
                <w:szCs w:val="32"/>
                <w:lang w:val="en-US" w:eastAsia="en-US" w:bidi="ar-SA"/>
              </w:rPr>
              <w:t>10</w:t>
            </w:r>
          </w:p>
        </w:tc>
      </w:tr>
      <w:tr w14:paraId="20B35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523" w:type="dxa"/>
            <w:vMerge w:val="continue"/>
            <w:tcBorders>
              <w:top w:val="nil"/>
            </w:tcBorders>
            <w:vAlign w:val="top"/>
          </w:tcPr>
          <w:p w14:paraId="568363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19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6583" w:type="dxa"/>
            <w:vAlign w:val="top"/>
          </w:tcPr>
          <w:p w14:paraId="52EDF7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440" w:lineRule="exact"/>
              <w:ind w:left="121" w:right="252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19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9"/>
                <w:kern w:val="0"/>
                <w:sz w:val="32"/>
                <w:szCs w:val="32"/>
                <w:lang w:val="en-US" w:eastAsia="en-US" w:bidi="ar-SA"/>
              </w:rPr>
              <w:t>深入调研并准确把握目标职业的任职要求、工作内 容、基本流程和发展路径等</w:t>
            </w:r>
          </w:p>
        </w:tc>
        <w:tc>
          <w:tcPr>
            <w:tcW w:w="834" w:type="dxa"/>
            <w:vMerge w:val="continue"/>
            <w:tcBorders>
              <w:top w:val="nil"/>
            </w:tcBorders>
            <w:vAlign w:val="top"/>
          </w:tcPr>
          <w:p w14:paraId="11FD8B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19"/>
                <w:kern w:val="0"/>
                <w:sz w:val="32"/>
                <w:szCs w:val="32"/>
                <w:lang w:val="en-US" w:eastAsia="en-US" w:bidi="ar-SA"/>
              </w:rPr>
            </w:pPr>
          </w:p>
        </w:tc>
      </w:tr>
      <w:tr w14:paraId="45179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1523" w:type="dxa"/>
            <w:vMerge w:val="restart"/>
            <w:tcBorders>
              <w:bottom w:val="nil"/>
            </w:tcBorders>
            <w:vAlign w:val="top"/>
          </w:tcPr>
          <w:p w14:paraId="453C67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19"/>
                <w:kern w:val="0"/>
                <w:sz w:val="32"/>
                <w:szCs w:val="32"/>
                <w:lang w:val="en-US" w:eastAsia="en-US" w:bidi="ar-SA"/>
              </w:rPr>
            </w:pPr>
          </w:p>
          <w:p w14:paraId="6C90CF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19"/>
                <w:kern w:val="0"/>
                <w:sz w:val="32"/>
                <w:szCs w:val="32"/>
                <w:lang w:val="en-US" w:eastAsia="en-US" w:bidi="ar-SA"/>
              </w:rPr>
            </w:pPr>
          </w:p>
          <w:p w14:paraId="2CF2D7D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440" w:lineRule="exact"/>
              <w:ind w:right="314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19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9"/>
                <w:kern w:val="0"/>
                <w:sz w:val="32"/>
                <w:szCs w:val="32"/>
                <w:lang w:val="en-US" w:eastAsia="en-US" w:bidi="ar-SA"/>
              </w:rPr>
              <w:t>岗位胜任力</w:t>
            </w:r>
          </w:p>
        </w:tc>
        <w:tc>
          <w:tcPr>
            <w:tcW w:w="6583" w:type="dxa"/>
            <w:vAlign w:val="top"/>
          </w:tcPr>
          <w:p w14:paraId="3E7BB2D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440" w:lineRule="exact"/>
              <w:ind w:left="121" w:right="2" w:hanging="1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19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9"/>
                <w:kern w:val="0"/>
                <w:sz w:val="32"/>
                <w:szCs w:val="32"/>
                <w:lang w:val="en-US" w:eastAsia="en-US" w:bidi="ar-SA"/>
              </w:rPr>
              <w:t>具备目标岗位所需综合素质，如思维认知、沟通协作 能力和执行力等，具有敬业奉献的职业精神</w:t>
            </w:r>
          </w:p>
        </w:tc>
        <w:tc>
          <w:tcPr>
            <w:tcW w:w="834" w:type="dxa"/>
            <w:vAlign w:val="top"/>
          </w:tcPr>
          <w:p w14:paraId="56FFA1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19"/>
                <w:kern w:val="0"/>
                <w:sz w:val="32"/>
                <w:szCs w:val="32"/>
                <w:lang w:val="en-US" w:eastAsia="en-US" w:bidi="ar-SA"/>
              </w:rPr>
            </w:pPr>
          </w:p>
          <w:p w14:paraId="5965FB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440" w:lineRule="exact"/>
              <w:ind w:left="268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19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9"/>
                <w:kern w:val="0"/>
                <w:sz w:val="32"/>
                <w:szCs w:val="32"/>
                <w:lang w:val="en-US" w:eastAsia="en-US" w:bidi="ar-SA"/>
              </w:rPr>
              <w:t>40</w:t>
            </w:r>
          </w:p>
        </w:tc>
      </w:tr>
      <w:tr w14:paraId="06BB2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523" w:type="dxa"/>
            <w:vMerge w:val="continue"/>
            <w:tcBorders>
              <w:top w:val="nil"/>
            </w:tcBorders>
            <w:vAlign w:val="top"/>
          </w:tcPr>
          <w:p w14:paraId="5241F8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19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6583" w:type="dxa"/>
            <w:vAlign w:val="top"/>
          </w:tcPr>
          <w:p w14:paraId="7660BE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440" w:lineRule="exact"/>
              <w:ind w:left="121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19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9"/>
                <w:kern w:val="0"/>
                <w:sz w:val="32"/>
                <w:szCs w:val="32"/>
                <w:lang w:val="en-US" w:eastAsia="en-US" w:bidi="ar-SA"/>
              </w:rPr>
              <w:t>具备目标岗位所需专业知识和技能要求，有相关实习 实践经历，具备解决实际问题的专业能力</w:t>
            </w:r>
          </w:p>
        </w:tc>
        <w:tc>
          <w:tcPr>
            <w:tcW w:w="834" w:type="dxa"/>
            <w:vAlign w:val="top"/>
          </w:tcPr>
          <w:p w14:paraId="36C421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19"/>
                <w:kern w:val="0"/>
                <w:sz w:val="32"/>
                <w:szCs w:val="32"/>
                <w:lang w:val="en-US" w:eastAsia="en-US" w:bidi="ar-SA"/>
              </w:rPr>
            </w:pPr>
          </w:p>
          <w:p w14:paraId="7230C27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440" w:lineRule="exact"/>
              <w:ind w:left="268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19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9"/>
                <w:kern w:val="0"/>
                <w:sz w:val="32"/>
                <w:szCs w:val="32"/>
                <w:lang w:val="en-US" w:eastAsia="en-US" w:bidi="ar-SA"/>
              </w:rPr>
              <w:t>40</w:t>
            </w:r>
          </w:p>
        </w:tc>
      </w:tr>
      <w:tr w14:paraId="7DAE5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1523" w:type="dxa"/>
            <w:vAlign w:val="top"/>
          </w:tcPr>
          <w:p w14:paraId="2F5E79A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9" w:line="440" w:lineRule="exac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19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9"/>
                <w:kern w:val="0"/>
                <w:sz w:val="32"/>
                <w:szCs w:val="32"/>
                <w:lang w:val="en-US" w:eastAsia="en-US" w:bidi="ar-SA"/>
              </w:rPr>
              <w:t>发展潜力</w:t>
            </w:r>
          </w:p>
        </w:tc>
        <w:tc>
          <w:tcPr>
            <w:tcW w:w="6583" w:type="dxa"/>
            <w:vAlign w:val="top"/>
          </w:tcPr>
          <w:p w14:paraId="3D63C4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440" w:lineRule="exact"/>
              <w:ind w:left="121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19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9"/>
                <w:kern w:val="0"/>
                <w:sz w:val="32"/>
                <w:szCs w:val="32"/>
                <w:lang w:val="en-US" w:eastAsia="en-US" w:bidi="ar-SA"/>
              </w:rPr>
              <w:t>具备持续学习能力、创新精神和应对不确定性挑战的 潜质，适应未来职业发展要求和就业市场需要</w:t>
            </w:r>
          </w:p>
        </w:tc>
        <w:tc>
          <w:tcPr>
            <w:tcW w:w="834" w:type="dxa"/>
            <w:vAlign w:val="top"/>
          </w:tcPr>
          <w:p w14:paraId="1FF5F3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19"/>
                <w:kern w:val="0"/>
                <w:sz w:val="32"/>
                <w:szCs w:val="32"/>
                <w:lang w:val="en-US" w:eastAsia="en-US" w:bidi="ar-SA"/>
              </w:rPr>
            </w:pPr>
          </w:p>
          <w:p w14:paraId="39BD61A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440" w:lineRule="exact"/>
              <w:ind w:left="268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19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9"/>
                <w:kern w:val="0"/>
                <w:sz w:val="32"/>
                <w:szCs w:val="32"/>
                <w:lang w:val="en-US" w:eastAsia="en-US" w:bidi="ar-SA"/>
              </w:rPr>
              <w:t>10</w:t>
            </w:r>
          </w:p>
        </w:tc>
      </w:tr>
      <w:tr w14:paraId="3DEEC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523" w:type="dxa"/>
            <w:vAlign w:val="top"/>
          </w:tcPr>
          <w:p w14:paraId="7EABC7A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440" w:lineRule="exact"/>
              <w:ind w:left="474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19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9"/>
                <w:kern w:val="0"/>
                <w:sz w:val="32"/>
                <w:szCs w:val="32"/>
                <w:lang w:val="en-US" w:eastAsia="en-US" w:bidi="ar-SA"/>
              </w:rPr>
              <w:t>总分</w:t>
            </w:r>
          </w:p>
        </w:tc>
        <w:tc>
          <w:tcPr>
            <w:tcW w:w="6583" w:type="dxa"/>
            <w:vAlign w:val="top"/>
          </w:tcPr>
          <w:p w14:paraId="460B31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19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834" w:type="dxa"/>
            <w:vAlign w:val="top"/>
          </w:tcPr>
          <w:p w14:paraId="251C605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9" w:line="440" w:lineRule="exact"/>
              <w:ind w:left="198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19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9"/>
                <w:kern w:val="0"/>
                <w:sz w:val="32"/>
                <w:szCs w:val="32"/>
                <w:lang w:val="en-US" w:eastAsia="en-US" w:bidi="ar-SA"/>
              </w:rPr>
              <w:t>100</w:t>
            </w:r>
          </w:p>
        </w:tc>
      </w:tr>
    </w:tbl>
    <w:p w14:paraId="556907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1" w:line="440" w:lineRule="exact"/>
        <w:ind w:left="799"/>
        <w:textAlignment w:val="baseline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六、奖项设置</w:t>
      </w:r>
    </w:p>
    <w:p w14:paraId="234196D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1" w:line="440" w:lineRule="exact"/>
        <w:ind w:left="154" w:right="155" w:firstLine="640"/>
        <w:textAlignment w:val="baseline"/>
      </w:pPr>
      <w:r>
        <w:rPr>
          <w:rFonts w:hint="eastAsia" w:ascii="仿宋" w:hAnsi="仿宋" w:eastAsia="仿宋" w:cs="仿宋"/>
          <w:spacing w:val="10"/>
          <w:sz w:val="32"/>
          <w:szCs w:val="32"/>
        </w:rPr>
        <w:t>就业赛道设置金奖、银奖、铜奖，以及优秀指导教师</w:t>
      </w:r>
      <w:r>
        <w:rPr>
          <w:rFonts w:hint="eastAsia" w:ascii="仿宋" w:hAnsi="仿宋" w:eastAsia="仿宋" w:cs="仿宋"/>
          <w:spacing w:val="9"/>
          <w:sz w:val="32"/>
          <w:szCs w:val="32"/>
        </w:rPr>
        <w:t>奖等</w:t>
      </w:r>
      <w:r>
        <w:rPr>
          <w:rFonts w:hint="eastAsia" w:ascii="仿宋" w:hAnsi="仿宋" w:eastAsia="仿宋" w:cs="仿宋"/>
          <w:spacing w:val="-13"/>
          <w:sz w:val="32"/>
          <w:szCs w:val="32"/>
        </w:rPr>
        <w:t>奖项</w:t>
      </w:r>
      <w:r>
        <w:rPr>
          <w:rFonts w:hint="eastAsia"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3"/>
          <w:sz w:val="32"/>
          <w:szCs w:val="32"/>
        </w:rPr>
        <w:t>。</w:t>
      </w:r>
    </w:p>
    <w:sectPr>
      <w:footerReference r:id="rId6" w:type="default"/>
      <w:pgSz w:w="11906" w:h="16838"/>
      <w:pgMar w:top="1701" w:right="1531" w:bottom="113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5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4B87A">
    <w:pPr>
      <w:spacing w:line="233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3"/>
        <w:sz w:val="31"/>
        <w:szCs w:val="31"/>
      </w:rPr>
      <w:t>—18—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18A5E">
    <w:pPr>
      <w:spacing w:line="233" w:lineRule="auto"/>
      <w:ind w:left="797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5"/>
        <w:sz w:val="31"/>
        <w:szCs w:val="31"/>
      </w:rPr>
      <w:t>—19—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62B7E"/>
    <w:rsid w:val="1C01409F"/>
    <w:rsid w:val="75E62B7E"/>
    <w:rsid w:val="7F5B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810</Words>
  <Characters>868</Characters>
  <Lines>0</Lines>
  <Paragraphs>0</Paragraphs>
  <TotalTime>6</TotalTime>
  <ScaleCrop>false</ScaleCrop>
  <LinksUpToDate>false</LinksUpToDate>
  <CharactersWithSpaces>883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2025-10-30T03:39:00Z</dcterms:created>
  <dc:creator>Hirono</dc:creator>
  <cp:lastModifiedBy>赴人间.</cp:lastModifiedBy>
  <dcterms:modified xsi:type="dcterms:W3CDTF">2025-11-04T10:50:46Z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E35EEDD5D2844254A3F8AC22E279BDF3_13</vt:lpwstr>
  </property>
  <property fmtid="{D5CDD505-2E9C-101B-9397-08002B2CF9AE}" pid="4" name="KSOTemplateDocerSaveRecord">
    <vt:lpwstr>eyJoZGlkIjoiNzdhMjM1MDcxYmEwMDljMWRiZTNjMjMzZGU3NDM3M2YiLCJ1c2VySWQiOiIyNzMzODg1ODMifQ==</vt:lpwstr>
  </property>
</Properties>
</file>