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olor w:val="FF0000"/>
          <w:spacing w:val="-60"/>
          <w:w w:val="50"/>
          <w:sz w:val="144"/>
          <w:szCs w:val="144"/>
        </w:rPr>
      </w:pPr>
      <w:bookmarkStart w:id="2" w:name="_GoBack"/>
      <w:bookmarkEnd w:id="2"/>
      <w:r>
        <w:rPr>
          <w:rFonts w:hint="eastAsia" w:ascii="华文中宋" w:hAnsi="华文中宋" w:eastAsia="华文中宋"/>
          <w:color w:val="FF0000"/>
          <w:spacing w:val="-60"/>
          <w:w w:val="50"/>
          <w:sz w:val="144"/>
          <w:szCs w:val="144"/>
        </w:rPr>
        <w:t>中 国 劳 动 关 系 学 院 文 件</w:t>
      </w:r>
    </w:p>
    <w:p>
      <w:pPr>
        <w:spacing w:line="880" w:lineRule="exact"/>
      </w:pPr>
    </w:p>
    <w:p>
      <w:pPr>
        <w:jc w:val="center"/>
        <w:rPr>
          <w:rFonts w:ascii="黑体" w:hAnsi="华文中宋" w:eastAsia="黑体"/>
        </w:rPr>
      </w:pPr>
      <w:bookmarkStart w:id="0" w:name="doc_mark"/>
      <w:r>
        <w:rPr>
          <w:rFonts w:hint="eastAsia" w:ascii="黑体" w:hAnsi="华文中宋" w:eastAsia="黑体"/>
        </w:rPr>
        <w:t>校研字〔</w:t>
      </w:r>
      <w:r>
        <w:rPr>
          <w:rFonts w:ascii="黑体" w:hAnsi="华文中宋" w:eastAsia="黑体"/>
        </w:rPr>
        <w:t>2023〕14号</w:t>
      </w:r>
      <w:bookmarkEnd w:id="0"/>
    </w:p>
    <w:tbl>
      <w:tblPr>
        <w:tblStyle w:val="7"/>
        <w:tblW w:w="0" w:type="auto"/>
        <w:tblInd w:w="108"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33" w:type="dxa"/>
          </w:tcPr>
          <w:p>
            <w:pPr>
              <w:spacing w:line="400" w:lineRule="exact"/>
              <w:rPr>
                <w:color w:val="FF00FF"/>
                <w:u w:val="single"/>
              </w:rPr>
            </w:pPr>
          </w:p>
          <w:p>
            <w:pPr>
              <w:spacing w:line="400" w:lineRule="exact"/>
              <w:rPr>
                <w:color w:val="FF00FF"/>
                <w:u w:val="single"/>
              </w:rPr>
            </w:pPr>
          </w:p>
        </w:tc>
      </w:tr>
    </w:tbl>
    <w:p>
      <w:pPr>
        <w:spacing w:line="0" w:lineRule="atLeast"/>
        <w:jc w:val="center"/>
        <w:rPr>
          <w:rFonts w:ascii="方正小标宋_GBK" w:hAnsi="华文中宋" w:eastAsia="方正小标宋_GBK"/>
          <w:sz w:val="44"/>
          <w:szCs w:val="44"/>
        </w:rPr>
      </w:pPr>
      <w:bookmarkStart w:id="1" w:name="subject"/>
      <w:r>
        <w:rPr>
          <w:rFonts w:hint="eastAsia" w:ascii="方正小标宋_GBK" w:hAnsi="华文中宋" w:eastAsia="方正小标宋_GBK"/>
          <w:sz w:val="44"/>
          <w:szCs w:val="44"/>
        </w:rPr>
        <w:t>中国劳动关系学院优秀研究生指导教师及</w:t>
      </w:r>
    </w:p>
    <w:p>
      <w:pPr>
        <w:spacing w:line="0" w:lineRule="atLeast"/>
        <w:jc w:val="center"/>
        <w:rPr>
          <w:rFonts w:ascii="方正小标宋_GBK" w:hAnsi="华文中宋" w:eastAsia="方正小标宋_GBK"/>
          <w:sz w:val="44"/>
          <w:szCs w:val="44"/>
        </w:rPr>
      </w:pPr>
      <w:r>
        <w:rPr>
          <w:rFonts w:hint="eastAsia" w:ascii="方正小标宋_GBK" w:hAnsi="华文中宋" w:eastAsia="方正小标宋_GBK"/>
          <w:sz w:val="44"/>
          <w:szCs w:val="44"/>
        </w:rPr>
        <w:t>团队评选办法</w:t>
      </w:r>
    </w:p>
    <w:bookmarkEnd w:id="1"/>
    <w:p>
      <w:pPr>
        <w:spacing w:line="560" w:lineRule="exact"/>
        <w:rPr>
          <w:rFonts w:ascii="仿宋" w:hAnsi="仿宋" w:eastAsia="仿宋"/>
          <w:sz w:val="28"/>
          <w:szCs w:val="28"/>
        </w:rPr>
      </w:pPr>
    </w:p>
    <w:p>
      <w:pPr>
        <w:spacing w:line="560" w:lineRule="exact"/>
        <w:rPr>
          <w:rFonts w:ascii="仿宋" w:hAnsi="仿宋" w:eastAsia="仿宋"/>
        </w:rPr>
      </w:pPr>
      <w:r>
        <w:rPr>
          <w:rFonts w:hint="eastAsia" w:ascii="仿宋" w:hAnsi="仿宋" w:eastAsia="仿宋"/>
        </w:rPr>
        <w:t>各院、部、处，电教中心：</w:t>
      </w:r>
    </w:p>
    <w:p>
      <w:pPr>
        <w:spacing w:line="560" w:lineRule="exact"/>
        <w:ind w:firstLine="632" w:firstLineChars="200"/>
        <w:rPr>
          <w:rFonts w:ascii="仿宋" w:hAnsi="仿宋" w:eastAsia="仿宋"/>
        </w:rPr>
      </w:pPr>
      <w:r>
        <w:rPr>
          <w:rFonts w:hint="eastAsia" w:ascii="仿宋" w:hAnsi="仿宋" w:eastAsia="仿宋"/>
        </w:rPr>
        <w:t>《中国劳动关系学院优秀研究生指导教师及团队评选办法》经学校2023年度第1次研究生教育指导委员会和2023年度第12次校长办公会审议通过，现予以印发，请遵照执行。</w:t>
      </w:r>
    </w:p>
    <w:p>
      <w:pPr>
        <w:spacing w:line="560" w:lineRule="exact"/>
        <w:ind w:firstLine="552" w:firstLineChars="200"/>
        <w:rPr>
          <w:rFonts w:ascii="仿宋" w:hAnsi="仿宋" w:eastAsia="仿宋"/>
          <w:sz w:val="28"/>
          <w:szCs w:val="28"/>
        </w:rPr>
      </w:pPr>
    </w:p>
    <w:p>
      <w:pPr>
        <w:spacing w:line="560" w:lineRule="exact"/>
        <w:ind w:firstLine="552" w:firstLineChars="200"/>
        <w:rPr>
          <w:rFonts w:ascii="仿宋" w:hAnsi="仿宋" w:eastAsia="仿宋"/>
          <w:sz w:val="28"/>
          <w:szCs w:val="28"/>
        </w:rPr>
      </w:pPr>
    </w:p>
    <w:p>
      <w:pPr>
        <w:spacing w:line="560" w:lineRule="exact"/>
        <w:ind w:right="1472" w:rightChars="466" w:firstLine="552" w:firstLineChars="200"/>
        <w:jc w:val="right"/>
        <w:rPr>
          <w:rFonts w:ascii="仿宋" w:hAnsi="仿宋" w:eastAsia="仿宋"/>
          <w:sz w:val="28"/>
          <w:szCs w:val="28"/>
        </w:rPr>
      </w:pPr>
      <w:r>
        <w:rPr>
          <w:rFonts w:hint="eastAsia" w:ascii="仿宋" w:hAnsi="仿宋" w:eastAsia="仿宋"/>
          <w:sz w:val="28"/>
          <w:szCs w:val="28"/>
        </w:rPr>
        <w:t>中国劳动关系学院</w:t>
      </w:r>
    </w:p>
    <w:p>
      <w:pPr>
        <w:spacing w:line="560" w:lineRule="exact"/>
        <w:ind w:right="1472" w:rightChars="466" w:firstLine="552" w:firstLineChars="200"/>
        <w:jc w:val="right"/>
        <w:rPr>
          <w:rFonts w:ascii="仿宋" w:hAnsi="仿宋" w:eastAsia="仿宋"/>
          <w:sz w:val="28"/>
          <w:szCs w:val="28"/>
        </w:rPr>
      </w:pPr>
      <w:r>
        <w:rPr>
          <w:rFonts w:hint="eastAsia" w:ascii="仿宋" w:hAnsi="仿宋" w:eastAsia="仿宋"/>
          <w:sz w:val="28"/>
          <w:szCs w:val="28"/>
        </w:rPr>
        <w:t>2023年6月21日</w:t>
      </w:r>
    </w:p>
    <w:p>
      <w:pPr>
        <w:rPr>
          <w:color w:val="FF00FF"/>
        </w:rPr>
      </w:pPr>
    </w:p>
    <w:p>
      <w:pPr>
        <w:rPr>
          <w:color w:val="FF00FF"/>
        </w:rPr>
      </w:pPr>
    </w:p>
    <w:tbl>
      <w:tblPr>
        <w:tblStyle w:val="7"/>
        <w:tblW w:w="0" w:type="auto"/>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9060" w:type="dxa"/>
            <w:vAlign w:val="center"/>
          </w:tcPr>
          <w:p>
            <w:pPr>
              <w:jc w:val="left"/>
              <w:rPr>
                <w:rFonts w:ascii="仿宋" w:hAnsi="仿宋" w:eastAsia="仿宋"/>
                <w:color w:val="FF00FF"/>
                <w:sz w:val="28"/>
                <w:szCs w:val="28"/>
              </w:rPr>
            </w:pPr>
            <w:r>
              <w:rPr>
                <w:rFonts w:hint="eastAsia" w:ascii="仿宋" w:hAnsi="仿宋" w:eastAsia="仿宋"/>
                <w:sz w:val="28"/>
                <w:szCs w:val="28"/>
              </w:rPr>
              <w:t>中国劳动关系学院党政办公室                   20</w:t>
            </w:r>
            <w:r>
              <w:rPr>
                <w:rFonts w:ascii="仿宋" w:hAnsi="仿宋" w:eastAsia="仿宋"/>
                <w:sz w:val="28"/>
                <w:szCs w:val="28"/>
              </w:rPr>
              <w:t>23</w:t>
            </w:r>
            <w:r>
              <w:rPr>
                <w:rFonts w:hint="eastAsia" w:ascii="仿宋" w:hAnsi="仿宋" w:eastAsia="仿宋"/>
                <w:sz w:val="28"/>
                <w:szCs w:val="28"/>
              </w:rPr>
              <w:t>年6月2</w:t>
            </w:r>
            <w:r>
              <w:rPr>
                <w:rFonts w:ascii="仿宋" w:hAnsi="仿宋" w:eastAsia="仿宋"/>
                <w:sz w:val="28"/>
                <w:szCs w:val="28"/>
              </w:rPr>
              <w:t>6</w:t>
            </w:r>
            <w:r>
              <w:rPr>
                <w:rFonts w:hint="eastAsia" w:ascii="仿宋" w:hAnsi="仿宋" w:eastAsia="仿宋"/>
                <w:sz w:val="28"/>
                <w:szCs w:val="28"/>
              </w:rPr>
              <w:t>日印发</w:t>
            </w:r>
          </w:p>
        </w:tc>
      </w:tr>
    </w:tbl>
    <w:p>
      <w:pPr>
        <w:pStyle w:val="2"/>
        <w:spacing w:before="0" w:after="0" w:line="0" w:lineRule="atLeast"/>
        <w:rPr>
          <w:rFonts w:ascii="方正小标宋简体"/>
          <w:b w:val="0"/>
          <w:bCs/>
          <w:szCs w:val="44"/>
        </w:rPr>
      </w:pPr>
      <w:r>
        <w:rPr>
          <w:rFonts w:hint="eastAsia" w:ascii="方正小标宋简体"/>
          <w:b w:val="0"/>
          <w:bCs/>
          <w:szCs w:val="44"/>
        </w:rPr>
        <w:t>中国劳动关系学院</w:t>
      </w:r>
    </w:p>
    <w:p>
      <w:pPr>
        <w:pStyle w:val="2"/>
        <w:spacing w:before="0" w:after="0" w:line="0" w:lineRule="atLeast"/>
        <w:rPr>
          <w:rStyle w:val="10"/>
          <w:rFonts w:ascii="仿宋" w:hAnsi="仿宋" w:eastAsia="仿宋" w:cs="仿宋"/>
          <w:b w:val="0"/>
          <w:bCs/>
          <w:color w:val="333333"/>
          <w:sz w:val="32"/>
          <w:szCs w:val="32"/>
          <w:shd w:val="clear" w:color="auto" w:fill="FFFFFF"/>
        </w:rPr>
      </w:pPr>
      <w:r>
        <w:rPr>
          <w:rFonts w:hint="eastAsia" w:ascii="方正小标宋简体"/>
          <w:b w:val="0"/>
          <w:bCs/>
          <w:szCs w:val="44"/>
        </w:rPr>
        <w:t>优秀研究生指导教师及团队评选办法</w:t>
      </w:r>
    </w:p>
    <w:p>
      <w:pPr>
        <w:jc w:val="center"/>
        <w:rPr>
          <w:rFonts w:ascii="黑体" w:hAnsi="黑体" w:eastAsia="黑体" w:cs="黑体"/>
          <w:b/>
          <w:bCs/>
        </w:rPr>
      </w:pPr>
    </w:p>
    <w:p>
      <w:pPr>
        <w:jc w:val="center"/>
        <w:rPr>
          <w:rFonts w:ascii="黑体" w:hAnsi="黑体" w:eastAsia="黑体" w:cs="黑体"/>
        </w:rPr>
      </w:pPr>
      <w:r>
        <w:rPr>
          <w:rFonts w:hint="eastAsia" w:ascii="黑体" w:hAnsi="黑体" w:eastAsia="黑体" w:cs="黑体"/>
        </w:rPr>
        <w:t>第一章 总 则</w:t>
      </w:r>
    </w:p>
    <w:p>
      <w:pPr>
        <w:adjustRightInd w:val="0"/>
        <w:snapToGrid w:val="0"/>
        <w:spacing w:line="620" w:lineRule="exact"/>
        <w:ind w:firstLine="632" w:firstLineChars="200"/>
        <w:rPr>
          <w:rFonts w:ascii="仿宋" w:hAnsi="仿宋" w:eastAsia="仿宋" w:cs="仿宋"/>
          <w:bCs/>
          <w:color w:val="333333"/>
          <w:shd w:val="clear" w:color="auto" w:fill="FFFFFF"/>
        </w:rPr>
      </w:pPr>
      <w:r>
        <w:rPr>
          <w:rStyle w:val="10"/>
          <w:rFonts w:hint="eastAsia" w:ascii="仿宋" w:hAnsi="仿宋" w:eastAsia="仿宋" w:cs="仿宋"/>
          <w:bCs/>
          <w:color w:val="333333"/>
          <w:shd w:val="clear" w:color="auto" w:fill="FFFFFF"/>
        </w:rPr>
        <w:t>第一条 </w:t>
      </w:r>
      <w:r>
        <w:rPr>
          <w:rFonts w:hint="eastAsia" w:ascii="仿宋" w:hAnsi="仿宋" w:eastAsia="仿宋" w:cs="仿宋"/>
          <w:bCs/>
          <w:color w:val="333333"/>
          <w:kern w:val="0"/>
          <w:shd w:val="clear" w:color="auto" w:fill="FFFFFF"/>
          <w:lang w:bidi="ar"/>
        </w:rPr>
        <w:t>为贯彻落实《教育部 国家发展改革委 财政部关于加快新时代研究生教育改革发展的意见》《中共北京市委教育工作委员会 北京市教育委员会 北京市发展和改革委员会 北京市财政局关于推进新时代北京研究生教育改革发展的实施意见》等文件精神，</w:t>
      </w:r>
      <w:r>
        <w:rPr>
          <w:rFonts w:hint="eastAsia" w:ascii="仿宋" w:hAnsi="仿宋" w:eastAsia="仿宋" w:cs="仿宋"/>
          <w:bCs/>
          <w:color w:val="333333"/>
          <w:shd w:val="clear" w:color="auto" w:fill="FFFFFF"/>
        </w:rPr>
        <w:t>进一步加强研究生导师和导师团队建设，表彰在我校学位与研究生教育工作中做出突出成绩的研究生指导教师（以下简称优秀导师）和导师团队（以下简称优秀团队），参照</w:t>
      </w:r>
      <w:r>
        <w:rPr>
          <w:rFonts w:hint="eastAsia" w:ascii="仿宋" w:hAnsi="仿宋" w:eastAsia="仿宋" w:cs="仿宋"/>
          <w:bCs/>
          <w:color w:val="333333"/>
          <w:kern w:val="0"/>
          <w:shd w:val="clear" w:color="auto" w:fill="FFFFFF"/>
          <w:lang w:bidi="ar"/>
        </w:rPr>
        <w:t>《北京市优秀研究生指导教师及团队评选办法》相关要求</w:t>
      </w:r>
      <w:r>
        <w:rPr>
          <w:rFonts w:hint="eastAsia" w:ascii="仿宋" w:hAnsi="仿宋" w:eastAsia="仿宋" w:cs="仿宋"/>
          <w:bCs/>
          <w:color w:val="333333"/>
          <w:shd w:val="clear" w:color="auto" w:fill="FFFFFF"/>
        </w:rPr>
        <w:t>，结合学校实际，制定本办法。</w:t>
      </w:r>
    </w:p>
    <w:p>
      <w:pPr>
        <w:adjustRightInd w:val="0"/>
        <w:snapToGrid w:val="0"/>
        <w:spacing w:line="620" w:lineRule="exact"/>
        <w:ind w:firstLine="632" w:firstLineChars="200"/>
        <w:rPr>
          <w:rFonts w:ascii="仿宋" w:hAnsi="仿宋" w:eastAsia="仿宋" w:cs="仿宋"/>
          <w:bCs/>
          <w:color w:val="333333"/>
          <w:spacing w:val="-4"/>
          <w:shd w:val="clear" w:color="auto" w:fill="FFFFFF"/>
        </w:rPr>
      </w:pPr>
      <w:r>
        <w:rPr>
          <w:rStyle w:val="10"/>
          <w:rFonts w:hint="eastAsia" w:ascii="仿宋" w:hAnsi="仿宋" w:eastAsia="仿宋" w:cs="仿宋"/>
          <w:bCs/>
          <w:color w:val="333333"/>
          <w:shd w:val="clear" w:color="auto" w:fill="FFFFFF"/>
        </w:rPr>
        <w:t>第二条 </w:t>
      </w:r>
      <w:r>
        <w:rPr>
          <w:rFonts w:hint="eastAsia" w:ascii="仿宋" w:hAnsi="仿宋" w:eastAsia="仿宋" w:cs="仿宋"/>
          <w:bCs/>
          <w:color w:val="333333"/>
          <w:spacing w:val="-4"/>
          <w:shd w:val="clear" w:color="auto" w:fill="FFFFFF"/>
        </w:rPr>
        <w:t>优秀导师和优秀团队评选坚持师德师风第一标准，突出研究生导师政治素质过硬、师德师风高尚、业务素质精湛基本要求，落实研究生导师立德树人职责，鼓励研究生导师潜心育人。</w:t>
      </w:r>
    </w:p>
    <w:p>
      <w:pPr>
        <w:adjustRightInd w:val="0"/>
        <w:snapToGrid w:val="0"/>
        <w:spacing w:line="620" w:lineRule="exact"/>
        <w:ind w:firstLine="632" w:firstLineChars="200"/>
        <w:rPr>
          <w:rFonts w:ascii="仿宋" w:hAnsi="仿宋" w:eastAsia="仿宋" w:cs="仿宋"/>
          <w:bCs/>
          <w:color w:val="333333"/>
        </w:rPr>
      </w:pPr>
      <w:r>
        <w:rPr>
          <w:rStyle w:val="10"/>
          <w:rFonts w:hint="eastAsia" w:ascii="仿宋" w:hAnsi="仿宋" w:eastAsia="仿宋" w:cs="仿宋"/>
          <w:bCs/>
          <w:color w:val="333333"/>
          <w:shd w:val="clear" w:color="auto" w:fill="FFFFFF"/>
        </w:rPr>
        <w:t>第三条 </w:t>
      </w:r>
      <w:r>
        <w:rPr>
          <w:rFonts w:hint="eastAsia" w:ascii="仿宋" w:hAnsi="仿宋" w:eastAsia="仿宋" w:cs="仿宋"/>
          <w:bCs/>
          <w:color w:val="333333"/>
          <w:shd w:val="clear" w:color="auto" w:fill="FFFFFF"/>
        </w:rPr>
        <w:t>研究生处负责评选的组织与奖励工作，各学院负责本单位优秀导师和优秀团队的材料审核与推荐工作。</w:t>
      </w:r>
    </w:p>
    <w:p>
      <w:pPr>
        <w:spacing w:before="295" w:beforeLines="50" w:line="600" w:lineRule="exact"/>
        <w:jc w:val="center"/>
        <w:rPr>
          <w:rFonts w:ascii="黑体" w:hAnsi="黑体" w:eastAsia="黑体" w:cs="黑体"/>
        </w:rPr>
      </w:pPr>
      <w:r>
        <w:rPr>
          <w:rFonts w:hint="eastAsia" w:ascii="黑体" w:hAnsi="黑体" w:eastAsia="黑体" w:cs="黑体"/>
        </w:rPr>
        <w:t>第二章 评选对象</w:t>
      </w:r>
    </w:p>
    <w:p>
      <w:pPr>
        <w:pStyle w:val="6"/>
        <w:widowControl/>
        <w:spacing w:beforeAutospacing="0" w:afterAutospacing="0" w:line="600" w:lineRule="exact"/>
        <w:ind w:firstLine="632" w:firstLineChars="200"/>
        <w:jc w:val="both"/>
        <w:rPr>
          <w:rFonts w:ascii="仿宋" w:hAnsi="仿宋" w:eastAsia="仿宋" w:cs="仿宋"/>
          <w:bCs/>
          <w:color w:val="333333"/>
          <w:sz w:val="32"/>
          <w:szCs w:val="32"/>
        </w:rPr>
      </w:pPr>
      <w:r>
        <w:rPr>
          <w:rStyle w:val="10"/>
          <w:rFonts w:hint="eastAsia" w:ascii="仿宋" w:hAnsi="仿宋" w:eastAsia="仿宋" w:cs="仿宋"/>
          <w:bCs/>
          <w:color w:val="333333"/>
          <w:sz w:val="32"/>
          <w:szCs w:val="32"/>
          <w:shd w:val="clear" w:color="auto" w:fill="FFFFFF"/>
        </w:rPr>
        <w:t>第四条 </w:t>
      </w:r>
      <w:r>
        <w:rPr>
          <w:rFonts w:hint="eastAsia" w:ascii="仿宋" w:hAnsi="仿宋" w:eastAsia="仿宋" w:cs="仿宋"/>
          <w:bCs/>
          <w:color w:val="333333"/>
          <w:sz w:val="32"/>
          <w:szCs w:val="32"/>
          <w:shd w:val="clear" w:color="auto" w:fill="FFFFFF"/>
        </w:rPr>
        <w:t>优秀导师评选范围为在岗的研究生指导教师。</w:t>
      </w:r>
    </w:p>
    <w:p>
      <w:pPr>
        <w:pStyle w:val="6"/>
        <w:widowControl/>
        <w:spacing w:beforeAutospacing="0" w:afterAutospacing="0" w:line="403" w:lineRule="atLeast"/>
        <w:ind w:firstLine="632" w:firstLineChars="200"/>
        <w:jc w:val="both"/>
        <w:rPr>
          <w:rFonts w:ascii="仿宋" w:hAnsi="仿宋" w:eastAsia="仿宋" w:cs="仿宋"/>
          <w:bCs/>
          <w:color w:val="333333"/>
          <w:sz w:val="32"/>
          <w:szCs w:val="32"/>
          <w:shd w:val="clear" w:color="auto" w:fill="FFFFFF"/>
        </w:rPr>
      </w:pPr>
      <w:r>
        <w:rPr>
          <w:rStyle w:val="10"/>
          <w:rFonts w:hint="eastAsia" w:ascii="仿宋" w:hAnsi="仿宋" w:eastAsia="仿宋" w:cs="仿宋"/>
          <w:bCs/>
          <w:color w:val="333333"/>
          <w:sz w:val="32"/>
          <w:szCs w:val="32"/>
          <w:shd w:val="clear" w:color="auto" w:fill="FFFFFF"/>
        </w:rPr>
        <w:t>第五条 </w:t>
      </w:r>
      <w:r>
        <w:rPr>
          <w:rFonts w:hint="eastAsia" w:ascii="仿宋" w:hAnsi="仿宋" w:eastAsia="仿宋" w:cs="仿宋"/>
          <w:bCs/>
          <w:color w:val="333333"/>
          <w:sz w:val="32"/>
          <w:szCs w:val="32"/>
          <w:shd w:val="clear" w:color="auto" w:fill="FFFFFF"/>
        </w:rPr>
        <w:t>优秀团队评选范围为由教师组成的共同指导研究生的实质性团队。</w:t>
      </w:r>
    </w:p>
    <w:p>
      <w:pPr>
        <w:spacing w:before="295" w:beforeLines="50"/>
        <w:jc w:val="center"/>
        <w:rPr>
          <w:rFonts w:ascii="黑体" w:hAnsi="黑体" w:eastAsia="黑体" w:cs="黑体"/>
        </w:rPr>
      </w:pPr>
      <w:r>
        <w:rPr>
          <w:rFonts w:hint="eastAsia" w:ascii="黑体" w:hAnsi="黑体" w:eastAsia="黑体" w:cs="黑体"/>
        </w:rPr>
        <w:t>第三章 评选条件</w:t>
      </w:r>
    </w:p>
    <w:p>
      <w:pPr>
        <w:pStyle w:val="6"/>
        <w:widowControl/>
        <w:spacing w:beforeAutospacing="0" w:afterAutospacing="0" w:line="600" w:lineRule="exact"/>
        <w:ind w:firstLine="632" w:firstLineChars="200"/>
        <w:jc w:val="both"/>
        <w:rPr>
          <w:rFonts w:ascii="仿宋" w:hAnsi="仿宋" w:eastAsia="仿宋" w:cs="仿宋"/>
          <w:bCs/>
          <w:color w:val="333333"/>
          <w:sz w:val="32"/>
          <w:szCs w:val="32"/>
        </w:rPr>
      </w:pPr>
      <w:r>
        <w:rPr>
          <w:rStyle w:val="10"/>
          <w:rFonts w:hint="eastAsia" w:ascii="仿宋" w:hAnsi="仿宋" w:eastAsia="仿宋" w:cs="仿宋"/>
          <w:bCs/>
          <w:color w:val="333333"/>
          <w:sz w:val="32"/>
          <w:szCs w:val="32"/>
          <w:shd w:val="clear" w:color="auto" w:fill="FFFFFF"/>
        </w:rPr>
        <w:t>第六条 </w:t>
      </w:r>
      <w:r>
        <w:rPr>
          <w:rFonts w:hint="eastAsia" w:ascii="仿宋" w:hAnsi="仿宋" w:eastAsia="仿宋" w:cs="仿宋"/>
          <w:bCs/>
          <w:color w:val="333333"/>
          <w:sz w:val="32"/>
          <w:szCs w:val="32"/>
          <w:shd w:val="clear" w:color="auto" w:fill="FFFFFF"/>
        </w:rPr>
        <w:t>优秀导师的评选条件</w:t>
      </w:r>
    </w:p>
    <w:p>
      <w:pPr>
        <w:adjustRightInd w:val="0"/>
        <w:snapToGrid w:val="0"/>
        <w:spacing w:line="60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（一）坚持正确的政治方向，拥护中国共产党的领导，全面贯彻落实党的教育方针，严格执行国家教育政策；导师和所指导的研究生遵守科学道德和学术规范，无学术不端及违纪违法情况。</w:t>
      </w:r>
    </w:p>
    <w:p>
      <w:pPr>
        <w:adjustRightInd w:val="0"/>
        <w:snapToGrid w:val="0"/>
        <w:spacing w:line="60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二）坚持立德树人，认真履行教书育人第一职责，具有优良师德师风，潜心研究生培养，关心研究生成长，帮助学生解决思想、学业等方面实际困难，得到学生尊敬爱戴，有指导学生的感人事迹，善于创新育人模式，尤其注重研究生科学精神、创新能力与综合素质的培养，有高度的事业心和责任感。</w:t>
      </w:r>
    </w:p>
    <w:p>
      <w:pPr>
        <w:adjustRightInd w:val="0"/>
        <w:snapToGrid w:val="0"/>
        <w:spacing w:line="60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（三）具有较高的教学水平，育人成效显著，教学效果良好，具有5年及以上指导研究生的经历并正在担任研究生指导教师</w:t>
      </w:r>
      <w:r>
        <w:rPr>
          <w:rFonts w:hint="eastAsia" w:ascii="仿宋" w:hAnsi="仿宋" w:eastAsia="仿宋" w:cs="仿宋"/>
          <w:bCs/>
          <w:kern w:val="0"/>
          <w:shd w:val="clear" w:color="auto" w:fill="FFFFFF"/>
          <w:lang w:bidi="ar"/>
        </w:rPr>
        <w:t>，近2年主讲过一门及以上研究生课程，所指导的研究生思想品质优秀</w:t>
      </w:r>
      <w:r>
        <w:rPr>
          <w:rFonts w:hint="eastAsia" w:ascii="仿宋" w:hAnsi="仿宋" w:eastAsia="仿宋" w:cs="仿宋"/>
          <w:bCs/>
          <w:color w:val="333333"/>
          <w:kern w:val="0"/>
          <w:shd w:val="clear" w:color="auto" w:fill="FFFFFF"/>
          <w:lang w:bidi="ar"/>
        </w:rPr>
        <w:t>，学术水平较高，已毕业研究生就业质量、社会贡献及认可度较高。</w:t>
      </w:r>
    </w:p>
    <w:p>
      <w:pPr>
        <w:adjustRightInd w:val="0"/>
        <w:snapToGrid w:val="0"/>
        <w:spacing w:line="60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（四）具有国际化视野，积极开展研究生国际合作与交流。积极参与研究生教育的研究与改革工作，在教改研究、教材建设、精品课程建设等方面有突出成果。</w:t>
      </w:r>
    </w:p>
    <w:p>
      <w:pPr>
        <w:adjustRightInd w:val="0"/>
        <w:snapToGrid w:val="0"/>
        <w:spacing w:line="60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（五）具有较深的学术造诣，基础理论和专业知识扎实，取得的科研成果有较高的学术价值或有较大的实践意义，在相关领域具有较强的社会影响力和学术贡献力。</w:t>
      </w:r>
    </w:p>
    <w:p>
      <w:pPr>
        <w:adjustRightInd w:val="0"/>
        <w:snapToGrid w:val="0"/>
        <w:spacing w:line="62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（六）5年内所指导研究生学位论文未出现学术不端、抽检“问题论文”等情形。</w:t>
      </w:r>
    </w:p>
    <w:p>
      <w:pPr>
        <w:adjustRightInd w:val="0"/>
        <w:snapToGrid w:val="0"/>
        <w:spacing w:line="620" w:lineRule="exact"/>
        <w:ind w:firstLine="632" w:firstLineChars="200"/>
        <w:rPr>
          <w:rFonts w:ascii="仿宋" w:hAnsi="仿宋" w:eastAsia="仿宋" w:cs="仿宋"/>
          <w:bCs/>
          <w:color w:val="333333"/>
        </w:rPr>
      </w:pPr>
      <w:r>
        <w:rPr>
          <w:rStyle w:val="10"/>
          <w:rFonts w:hint="eastAsia" w:ascii="仿宋" w:hAnsi="仿宋" w:eastAsia="仿宋" w:cs="仿宋"/>
          <w:bCs/>
          <w:color w:val="333333"/>
          <w:shd w:val="clear" w:color="auto" w:fill="FFFFFF"/>
        </w:rPr>
        <w:t>第七条 </w:t>
      </w:r>
      <w:r>
        <w:rPr>
          <w:rFonts w:hint="eastAsia" w:ascii="仿宋" w:hAnsi="仿宋" w:eastAsia="仿宋" w:cs="仿宋"/>
          <w:bCs/>
          <w:color w:val="333333"/>
          <w:shd w:val="clear" w:color="auto" w:fill="FFFFFF"/>
        </w:rPr>
        <w:t>优秀团队的评选条件</w:t>
      </w:r>
    </w:p>
    <w:p>
      <w:pPr>
        <w:adjustRightInd w:val="0"/>
        <w:snapToGrid w:val="0"/>
        <w:spacing w:line="62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优秀团队参评时除团队成员应符合优秀导师的参评条件外，同时需满足：</w:t>
      </w:r>
    </w:p>
    <w:p>
      <w:pPr>
        <w:adjustRightInd w:val="0"/>
        <w:snapToGrid w:val="0"/>
        <w:spacing w:line="62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（一）具有稳定的合作关系及合理的组成结构（其中研究生指导教师不少于3人），团队负责人为人师表，学术水平高，具有良好的协同创新精神</w:t>
      </w:r>
      <w:r>
        <w:rPr>
          <w:rFonts w:hint="eastAsia" w:ascii="仿宋" w:hAnsi="仿宋" w:eastAsia="仿宋" w:cs="仿宋"/>
          <w:bCs/>
          <w:color w:val="333333"/>
          <w:shd w:val="clear" w:color="auto" w:fill="FFFFFF"/>
        </w:rPr>
        <w:t>，团队成员共同承担课题、共享研究平台、共有科研成果、共同完成研究生指导工作</w:t>
      </w:r>
      <w:r>
        <w:rPr>
          <w:rFonts w:hint="eastAsia" w:ascii="仿宋" w:hAnsi="仿宋" w:eastAsia="仿宋" w:cs="仿宋"/>
          <w:bCs/>
          <w:color w:val="333333"/>
          <w:kern w:val="0"/>
          <w:shd w:val="clear" w:color="auto" w:fill="FFFFFF"/>
          <w:lang w:bidi="ar"/>
        </w:rPr>
        <w:t>。</w:t>
      </w:r>
    </w:p>
    <w:p>
      <w:pPr>
        <w:adjustRightInd w:val="0"/>
        <w:snapToGrid w:val="0"/>
        <w:spacing w:line="62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（二）团队凝聚力、向心力强，在培养研究生方面取得一系列突出的科研及社会实践成果，具有良好的教学科研氛围</w:t>
      </w:r>
      <w:r>
        <w:rPr>
          <w:rFonts w:hint="eastAsia" w:ascii="仿宋" w:hAnsi="仿宋" w:eastAsia="仿宋" w:cs="仿宋"/>
          <w:bCs/>
          <w:color w:val="333333"/>
          <w:shd w:val="clear" w:color="auto" w:fill="FFFFFF"/>
        </w:rPr>
        <w:t>，积极参与省部级及以上重点科研课题，具有影响广泛的公开发表的学术成果或荣获省部级以上科研成果奖励</w:t>
      </w:r>
      <w:r>
        <w:rPr>
          <w:rFonts w:hint="eastAsia" w:ascii="仿宋" w:hAnsi="仿宋" w:eastAsia="仿宋" w:cs="仿宋"/>
          <w:bCs/>
          <w:color w:val="333333"/>
          <w:kern w:val="0"/>
          <w:shd w:val="clear" w:color="auto" w:fill="FFFFFF"/>
          <w:lang w:bidi="ar"/>
        </w:rPr>
        <w:t>。</w:t>
      </w:r>
    </w:p>
    <w:p>
      <w:pPr>
        <w:adjustRightInd w:val="0"/>
        <w:snapToGrid w:val="0"/>
        <w:spacing w:line="620" w:lineRule="exact"/>
        <w:ind w:firstLine="632" w:firstLineChars="200"/>
        <w:rPr>
          <w:rFonts w:ascii="仿宋" w:hAnsi="仿宋" w:eastAsia="仿宋" w:cs="仿宋"/>
          <w:bCs/>
          <w:color w:val="333333"/>
          <w:shd w:val="clear" w:color="auto" w:fill="FFFFFF"/>
        </w:rPr>
      </w:pPr>
      <w:r>
        <w:rPr>
          <w:rFonts w:hint="eastAsia" w:ascii="仿宋" w:hAnsi="仿宋" w:eastAsia="仿宋" w:cs="仿宋"/>
          <w:bCs/>
          <w:color w:val="333333"/>
          <w:shd w:val="clear" w:color="auto" w:fill="FFFFFF"/>
        </w:rPr>
        <w:t>（三）具有良好的学术生态和育人环境，有鲜明的团队核心精神和明确的学术方向，有相应的学术活动激发团队科研热情与创新精神，教学及管理运行机制成熟，研究生培养计划科学合理，职责分工明确，在校内外有一定影响力和示范性。</w:t>
      </w:r>
    </w:p>
    <w:p>
      <w:pPr>
        <w:adjustRightInd w:val="0"/>
        <w:snapToGrid w:val="0"/>
        <w:spacing w:line="620" w:lineRule="exact"/>
        <w:ind w:firstLine="632" w:firstLineChars="200"/>
        <w:rPr>
          <w:rFonts w:ascii="仿宋" w:hAnsi="仿宋" w:eastAsia="仿宋" w:cs="仿宋"/>
          <w:bCs/>
          <w:color w:val="333333"/>
          <w:kern w:val="0"/>
          <w:shd w:val="clear" w:color="auto" w:fill="FFFFFF"/>
          <w:lang w:bidi="ar"/>
        </w:rPr>
      </w:pPr>
      <w:r>
        <w:rPr>
          <w:rFonts w:hint="eastAsia" w:ascii="仿宋" w:hAnsi="仿宋" w:eastAsia="仿宋" w:cs="仿宋"/>
          <w:bCs/>
          <w:color w:val="333333"/>
          <w:kern w:val="0"/>
          <w:shd w:val="clear" w:color="auto" w:fill="FFFFFF"/>
          <w:lang w:bidi="ar"/>
        </w:rPr>
        <w:t>（四）培养研究生成效显著，质量优异，所指导的学生在本领域内学术创新和专业实践能力强，职业发展良好。</w:t>
      </w:r>
    </w:p>
    <w:p>
      <w:pPr>
        <w:spacing w:line="600" w:lineRule="exact"/>
        <w:jc w:val="center"/>
        <w:rPr>
          <w:rFonts w:ascii="黑体" w:hAnsi="黑体" w:eastAsia="黑体" w:cs="黑体"/>
        </w:rPr>
      </w:pPr>
      <w:r>
        <w:rPr>
          <w:rFonts w:hint="eastAsia" w:ascii="黑体" w:hAnsi="黑体" w:eastAsia="黑体" w:cs="黑体"/>
        </w:rPr>
        <w:t>第四章 申报与评审</w:t>
      </w:r>
    </w:p>
    <w:p>
      <w:pPr>
        <w:pStyle w:val="6"/>
        <w:widowControl/>
        <w:spacing w:beforeAutospacing="0" w:afterAutospacing="0" w:line="560" w:lineRule="exact"/>
        <w:ind w:firstLine="632" w:firstLineChars="200"/>
        <w:jc w:val="both"/>
        <w:rPr>
          <w:rFonts w:ascii="仿宋" w:hAnsi="仿宋" w:eastAsia="仿宋" w:cs="仿宋"/>
          <w:bCs/>
          <w:color w:val="333333"/>
          <w:sz w:val="32"/>
          <w:szCs w:val="32"/>
        </w:rPr>
      </w:pPr>
      <w:r>
        <w:rPr>
          <w:rStyle w:val="10"/>
          <w:rFonts w:hint="eastAsia" w:ascii="仿宋" w:hAnsi="仿宋" w:eastAsia="仿宋" w:cs="仿宋"/>
          <w:bCs/>
          <w:color w:val="333333"/>
          <w:sz w:val="32"/>
          <w:szCs w:val="32"/>
          <w:shd w:val="clear" w:color="auto" w:fill="FFFFFF"/>
        </w:rPr>
        <w:t>第八条 </w:t>
      </w:r>
      <w:r>
        <w:rPr>
          <w:rFonts w:hint="eastAsia" w:ascii="仿宋" w:hAnsi="仿宋" w:eastAsia="仿宋" w:cs="仿宋"/>
          <w:bCs/>
          <w:color w:val="333333"/>
          <w:sz w:val="32"/>
          <w:szCs w:val="32"/>
          <w:shd w:val="clear" w:color="auto" w:fill="FFFFFF"/>
        </w:rPr>
        <w:t>申报与评审程序</w:t>
      </w:r>
    </w:p>
    <w:p>
      <w:pPr>
        <w:pStyle w:val="6"/>
        <w:widowControl/>
        <w:spacing w:beforeAutospacing="0" w:afterAutospacing="0" w:line="560" w:lineRule="exact"/>
        <w:ind w:firstLine="420"/>
        <w:jc w:val="both"/>
        <w:rPr>
          <w:rFonts w:ascii="仿宋" w:hAnsi="仿宋" w:eastAsia="仿宋" w:cs="仿宋"/>
          <w:bCs/>
          <w:color w:val="333333"/>
          <w:sz w:val="32"/>
          <w:szCs w:val="32"/>
        </w:rPr>
      </w:pPr>
      <w:r>
        <w:rPr>
          <w:rFonts w:hint="eastAsia" w:ascii="仿宋" w:hAnsi="仿宋" w:eastAsia="仿宋" w:cs="仿宋"/>
          <w:bCs/>
          <w:color w:val="333333"/>
          <w:sz w:val="32"/>
          <w:szCs w:val="32"/>
          <w:shd w:val="clear" w:color="auto" w:fill="FFFFFF"/>
        </w:rPr>
        <w:t>（一）申报材料。研究生导师或团队填写《优秀导师推荐表》或《优秀团队推荐表》，附相关支撑材料一并提交学院。</w:t>
      </w:r>
    </w:p>
    <w:p>
      <w:pPr>
        <w:pStyle w:val="6"/>
        <w:widowControl/>
        <w:spacing w:beforeAutospacing="0" w:afterAutospacing="0" w:line="560" w:lineRule="exact"/>
        <w:ind w:firstLine="420"/>
        <w:jc w:val="both"/>
        <w:rPr>
          <w:rFonts w:ascii="仿宋" w:hAnsi="仿宋" w:eastAsia="仿宋" w:cs="仿宋"/>
          <w:bCs/>
          <w:color w:val="333333"/>
          <w:sz w:val="32"/>
          <w:szCs w:val="32"/>
        </w:rPr>
      </w:pPr>
      <w:r>
        <w:rPr>
          <w:rFonts w:hint="eastAsia" w:ascii="仿宋" w:hAnsi="仿宋" w:eastAsia="仿宋" w:cs="仿宋"/>
          <w:bCs/>
          <w:color w:val="333333"/>
          <w:sz w:val="32"/>
          <w:szCs w:val="32"/>
          <w:shd w:val="clear" w:color="auto" w:fill="FFFFFF"/>
        </w:rPr>
        <w:t>（二）学院审核。学院负责对申报材料的真实性进行审核，并填写审核意见后，提交研究生处。</w:t>
      </w:r>
    </w:p>
    <w:p>
      <w:pPr>
        <w:pStyle w:val="6"/>
        <w:widowControl/>
        <w:spacing w:beforeAutospacing="0" w:afterAutospacing="0" w:line="560" w:lineRule="exact"/>
        <w:ind w:firstLine="420"/>
        <w:jc w:val="both"/>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（三）专家评审。学校组织对学院推荐人选的材料进行政治审查。经学校审查通过后，学校组织专家进行评审，提出建议入选名单后报校学位评定委员会审定。</w:t>
      </w:r>
    </w:p>
    <w:p>
      <w:pPr>
        <w:pStyle w:val="6"/>
        <w:widowControl/>
        <w:spacing w:beforeAutospacing="0" w:afterAutospacing="0" w:line="560" w:lineRule="exact"/>
        <w:ind w:firstLine="420"/>
        <w:jc w:val="both"/>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（四）结果公示。学校对审定名单进行为期10天的公示，接受异议并做出相关处理。</w:t>
      </w:r>
    </w:p>
    <w:p>
      <w:pPr>
        <w:pStyle w:val="6"/>
        <w:widowControl/>
        <w:spacing w:beforeAutospacing="0" w:afterAutospacing="0" w:line="560" w:lineRule="exact"/>
        <w:ind w:firstLine="420"/>
        <w:jc w:val="both"/>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（五）学校审定。经校学位评定委员会确定的候选名单在全校公示无异议后，报学校校长办公会批准。</w:t>
      </w:r>
    </w:p>
    <w:p>
      <w:pPr>
        <w:spacing w:before="295" w:beforeLines="50"/>
        <w:jc w:val="center"/>
        <w:rPr>
          <w:rFonts w:ascii="黑体" w:hAnsi="黑体" w:eastAsia="黑体" w:cs="黑体"/>
        </w:rPr>
      </w:pPr>
      <w:r>
        <w:rPr>
          <w:rFonts w:hint="eastAsia" w:ascii="黑体" w:hAnsi="黑体" w:eastAsia="黑体" w:cs="黑体"/>
        </w:rPr>
        <w:t>第五章 表彰奖励</w:t>
      </w:r>
    </w:p>
    <w:p>
      <w:pPr>
        <w:pStyle w:val="6"/>
        <w:widowControl/>
        <w:spacing w:beforeAutospacing="0" w:afterAutospacing="0" w:line="580" w:lineRule="exact"/>
        <w:ind w:firstLine="632" w:firstLineChars="200"/>
        <w:jc w:val="both"/>
        <w:rPr>
          <w:rFonts w:ascii="仿宋" w:hAnsi="仿宋" w:eastAsia="仿宋" w:cs="仿宋"/>
          <w:bCs/>
          <w:color w:val="333333"/>
          <w:sz w:val="32"/>
          <w:szCs w:val="32"/>
          <w:shd w:val="clear" w:color="auto" w:fill="FFFFFF"/>
        </w:rPr>
      </w:pPr>
      <w:r>
        <w:rPr>
          <w:rStyle w:val="10"/>
          <w:rFonts w:hint="eastAsia" w:ascii="仿宋" w:hAnsi="仿宋" w:eastAsia="仿宋" w:cs="仿宋"/>
          <w:bCs/>
          <w:color w:val="333333"/>
          <w:sz w:val="32"/>
          <w:szCs w:val="32"/>
          <w:shd w:val="clear" w:color="auto" w:fill="FFFFFF"/>
        </w:rPr>
        <w:t>第九条 </w:t>
      </w:r>
      <w:r>
        <w:rPr>
          <w:rFonts w:hint="eastAsia" w:ascii="仿宋" w:hAnsi="仿宋" w:eastAsia="仿宋" w:cs="仿宋"/>
          <w:bCs/>
          <w:color w:val="333333"/>
          <w:sz w:val="32"/>
          <w:szCs w:val="32"/>
          <w:shd w:val="clear" w:color="auto" w:fill="FFFFFF"/>
        </w:rPr>
        <w:t>学校为优秀导师获得者授予“中国劳动关系学院优秀研究生指导导师”荣誉称号，颁发荣誉证书。为优秀团队获得者授予“中国劳动关系学院优秀研究生导师团队”荣誉称号，颁发荣誉证书。</w:t>
      </w:r>
    </w:p>
    <w:p>
      <w:pPr>
        <w:pStyle w:val="6"/>
        <w:widowControl/>
        <w:spacing w:beforeAutospacing="0" w:afterAutospacing="0" w:line="580" w:lineRule="exact"/>
        <w:ind w:firstLine="632" w:firstLineChars="200"/>
        <w:jc w:val="both"/>
        <w:rPr>
          <w:rFonts w:ascii="仿宋" w:hAnsi="仿宋" w:eastAsia="仿宋" w:cs="仿宋"/>
          <w:bCs/>
          <w:color w:val="333333"/>
          <w:sz w:val="32"/>
          <w:szCs w:val="32"/>
        </w:rPr>
      </w:pPr>
      <w:r>
        <w:rPr>
          <w:rFonts w:hint="eastAsia" w:ascii="仿宋" w:hAnsi="仿宋" w:eastAsia="仿宋" w:cs="仿宋"/>
          <w:b/>
          <w:sz w:val="32"/>
          <w:szCs w:val="32"/>
          <w:shd w:val="clear" w:color="auto" w:fill="FFFFFF"/>
        </w:rPr>
        <w:t>第十条</w:t>
      </w:r>
      <w:r>
        <w:rPr>
          <w:rFonts w:hint="eastAsia" w:ascii="仿宋" w:hAnsi="仿宋" w:eastAsia="仿宋" w:cs="仿宋"/>
          <w:bCs/>
          <w:sz w:val="32"/>
          <w:szCs w:val="32"/>
          <w:shd w:val="clear" w:color="auto" w:fill="FFFFFF"/>
        </w:rPr>
        <w:t xml:space="preserve"> </w:t>
      </w:r>
      <w:r>
        <w:rPr>
          <w:rFonts w:hint="eastAsia" w:ascii="仿宋" w:hAnsi="仿宋" w:eastAsia="仿宋" w:cs="仿宋"/>
          <w:bCs/>
          <w:color w:val="333333"/>
          <w:sz w:val="32"/>
          <w:szCs w:val="32"/>
          <w:shd w:val="clear" w:color="auto" w:fill="FFFFFF"/>
        </w:rPr>
        <w:t>优秀导师、优秀团队成员在获评的三年内，可适当增加研究生招生指标。</w:t>
      </w:r>
    </w:p>
    <w:p>
      <w:pPr>
        <w:pStyle w:val="6"/>
        <w:widowControl/>
        <w:spacing w:beforeAutospacing="0" w:afterAutospacing="0" w:line="580" w:lineRule="exact"/>
        <w:ind w:firstLine="632" w:firstLineChars="200"/>
        <w:jc w:val="both"/>
        <w:rPr>
          <w:rFonts w:ascii="仿宋" w:hAnsi="仿宋" w:eastAsia="仿宋" w:cs="仿宋"/>
          <w:bCs/>
          <w:color w:val="333333"/>
          <w:sz w:val="32"/>
          <w:szCs w:val="32"/>
        </w:rPr>
      </w:pPr>
      <w:r>
        <w:rPr>
          <w:rFonts w:hint="eastAsia" w:ascii="仿宋" w:hAnsi="仿宋" w:eastAsia="仿宋" w:cs="仿宋"/>
          <w:b/>
          <w:sz w:val="32"/>
          <w:szCs w:val="32"/>
          <w:shd w:val="clear" w:color="auto" w:fill="FFFFFF"/>
        </w:rPr>
        <w:t>第十一条</w:t>
      </w:r>
      <w:r>
        <w:rPr>
          <w:rFonts w:hint="eastAsia" w:ascii="仿宋" w:hAnsi="仿宋" w:eastAsia="仿宋" w:cs="仿宋"/>
          <w:bCs/>
          <w:sz w:val="32"/>
          <w:szCs w:val="32"/>
          <w:shd w:val="clear" w:color="auto" w:fill="FFFFFF"/>
        </w:rPr>
        <w:t xml:space="preserve"> 优秀导师、优秀团队优先作为申报北京市优秀导师、优秀团队推荐候选人，参加推荐评选。</w:t>
      </w:r>
    </w:p>
    <w:p>
      <w:pPr>
        <w:pStyle w:val="6"/>
        <w:widowControl/>
        <w:spacing w:beforeAutospacing="0" w:afterAutospacing="0" w:line="580" w:lineRule="exact"/>
        <w:ind w:firstLine="632" w:firstLineChars="200"/>
        <w:jc w:val="both"/>
        <w:rPr>
          <w:rStyle w:val="10"/>
          <w:rFonts w:ascii="仿宋" w:hAnsi="仿宋" w:eastAsia="仿宋" w:cs="仿宋"/>
          <w:b w:val="0"/>
          <w:bCs/>
          <w:sz w:val="32"/>
          <w:szCs w:val="32"/>
          <w:shd w:val="clear" w:color="auto" w:fill="FFFFFF"/>
        </w:rPr>
      </w:pPr>
      <w:r>
        <w:rPr>
          <w:rStyle w:val="10"/>
          <w:rFonts w:hint="eastAsia" w:ascii="仿宋" w:hAnsi="仿宋" w:eastAsia="仿宋" w:cs="仿宋"/>
          <w:bCs/>
          <w:color w:val="333333"/>
          <w:sz w:val="32"/>
          <w:szCs w:val="32"/>
          <w:shd w:val="clear" w:color="auto" w:fill="FFFFFF"/>
        </w:rPr>
        <w:t>第十二条</w:t>
      </w:r>
      <w:r>
        <w:rPr>
          <w:rFonts w:hint="eastAsia" w:ascii="仿宋" w:hAnsi="仿宋" w:eastAsia="仿宋" w:cs="仿宋"/>
          <w:bCs/>
          <w:color w:val="333333"/>
          <w:sz w:val="32"/>
          <w:szCs w:val="32"/>
          <w:shd w:val="clear" w:color="auto" w:fill="FFFFFF"/>
        </w:rPr>
        <w:t xml:space="preserve"> </w:t>
      </w:r>
      <w:r>
        <w:rPr>
          <w:rFonts w:hint="eastAsia" w:ascii="仿宋" w:hAnsi="仿宋" w:eastAsia="仿宋" w:cs="仿宋"/>
          <w:bCs/>
          <w:sz w:val="32"/>
          <w:szCs w:val="32"/>
          <w:shd w:val="clear" w:color="auto" w:fill="FFFFFF"/>
        </w:rPr>
        <w:t>优秀导师、优秀团队奖励资金从学校教学经费、研究生专项业务经费、社会捐赠经费等列支。参照《中国劳动关系学院本专科教育教学奖励办法》（校字【2022】34号）学校年度教师教学工作奖甲等教学奖励和省级教学名师奖励标准，校级优秀导师、优秀团队成员奖励金额分别为5000元/人、10000元/个，北京市优秀导师、优秀团队成员奖励金额分别为10000元/人、20000元/个。</w:t>
      </w:r>
    </w:p>
    <w:p>
      <w:pPr>
        <w:pStyle w:val="6"/>
        <w:widowControl/>
        <w:spacing w:beforeAutospacing="0" w:afterAutospacing="0" w:line="580" w:lineRule="exact"/>
        <w:ind w:firstLine="632" w:firstLineChars="200"/>
        <w:jc w:val="both"/>
        <w:rPr>
          <w:rFonts w:ascii="仿宋" w:hAnsi="仿宋" w:eastAsia="仿宋" w:cs="仿宋"/>
          <w:bCs/>
          <w:color w:val="333333"/>
          <w:sz w:val="32"/>
          <w:szCs w:val="32"/>
        </w:rPr>
      </w:pPr>
      <w:r>
        <w:rPr>
          <w:rStyle w:val="10"/>
          <w:rFonts w:hint="eastAsia" w:ascii="仿宋" w:hAnsi="仿宋" w:eastAsia="仿宋" w:cs="仿宋"/>
          <w:bCs/>
          <w:color w:val="333333"/>
          <w:sz w:val="32"/>
          <w:szCs w:val="32"/>
          <w:shd w:val="clear" w:color="auto" w:fill="FFFFFF"/>
        </w:rPr>
        <w:t>第十三条 </w:t>
      </w:r>
      <w:r>
        <w:rPr>
          <w:rFonts w:hint="eastAsia" w:ascii="仿宋" w:hAnsi="仿宋" w:eastAsia="仿宋" w:cs="仿宋"/>
          <w:bCs/>
          <w:color w:val="333333"/>
          <w:sz w:val="32"/>
          <w:szCs w:val="32"/>
          <w:shd w:val="clear" w:color="auto" w:fill="FFFFFF"/>
        </w:rPr>
        <w:t>学校组织开展优秀导师和优秀团队宣传活动，推广其先进的育人模式、指导方式、实践育人方法，树立导师及导师团队典范，营造良好的导学氛围。</w:t>
      </w:r>
    </w:p>
    <w:p>
      <w:pPr>
        <w:spacing w:before="295" w:beforeLines="50"/>
        <w:jc w:val="center"/>
        <w:rPr>
          <w:rFonts w:ascii="黑体" w:hAnsi="黑体" w:eastAsia="黑体" w:cs="黑体"/>
        </w:rPr>
      </w:pPr>
      <w:r>
        <w:rPr>
          <w:rFonts w:hint="eastAsia" w:ascii="黑体" w:hAnsi="黑体" w:eastAsia="黑体" w:cs="黑体"/>
        </w:rPr>
        <w:t>第六章 附 则</w:t>
      </w:r>
    </w:p>
    <w:p>
      <w:pPr>
        <w:pStyle w:val="6"/>
        <w:widowControl/>
        <w:spacing w:beforeAutospacing="0" w:afterAutospacing="0" w:line="403" w:lineRule="atLeast"/>
        <w:ind w:firstLine="632" w:firstLineChars="200"/>
        <w:jc w:val="both"/>
        <w:rPr>
          <w:rFonts w:ascii="仿宋" w:hAnsi="仿宋" w:eastAsia="仿宋" w:cs="仿宋"/>
          <w:bCs/>
          <w:color w:val="333333"/>
          <w:sz w:val="32"/>
          <w:szCs w:val="32"/>
          <w:shd w:val="clear" w:color="auto" w:fill="FFFFFF"/>
        </w:rPr>
      </w:pPr>
      <w:r>
        <w:rPr>
          <w:rStyle w:val="10"/>
          <w:rFonts w:hint="eastAsia" w:ascii="仿宋" w:hAnsi="仿宋" w:eastAsia="仿宋" w:cs="仿宋"/>
          <w:bCs/>
          <w:color w:val="333333"/>
          <w:sz w:val="32"/>
          <w:szCs w:val="32"/>
          <w:shd w:val="clear" w:color="auto" w:fill="FFFFFF"/>
        </w:rPr>
        <w:t>第十四条 </w:t>
      </w:r>
      <w:r>
        <w:rPr>
          <w:rFonts w:hint="eastAsia" w:ascii="仿宋" w:hAnsi="仿宋" w:eastAsia="仿宋" w:cs="仿宋"/>
          <w:bCs/>
          <w:sz w:val="32"/>
          <w:szCs w:val="32"/>
          <w:shd w:val="clear" w:color="auto" w:fill="FFFFFF"/>
        </w:rPr>
        <w:t>优秀导师、优秀团队评选工作每年进行一次，每次选评优秀导师数原则上不超过在岗导师总数的5%、优秀团队原则上不超过2个。</w:t>
      </w:r>
    </w:p>
    <w:p>
      <w:pPr>
        <w:pStyle w:val="6"/>
        <w:widowControl/>
        <w:spacing w:beforeAutospacing="0" w:afterAutospacing="0" w:line="403" w:lineRule="atLeast"/>
        <w:ind w:firstLine="632" w:firstLineChars="200"/>
        <w:jc w:val="both"/>
        <w:rPr>
          <w:rFonts w:ascii="仿宋" w:hAnsi="仿宋" w:eastAsia="仿宋" w:cs="仿宋"/>
          <w:bCs/>
          <w:color w:val="333333"/>
          <w:sz w:val="32"/>
          <w:szCs w:val="32"/>
          <w:shd w:val="clear" w:color="auto" w:fill="FFFFFF"/>
        </w:rPr>
      </w:pPr>
      <w:r>
        <w:rPr>
          <w:rStyle w:val="10"/>
          <w:rFonts w:hint="eastAsia" w:ascii="仿宋" w:hAnsi="仿宋" w:eastAsia="仿宋" w:cs="仿宋"/>
          <w:bCs/>
          <w:color w:val="333333"/>
          <w:sz w:val="32"/>
          <w:szCs w:val="32"/>
          <w:shd w:val="clear" w:color="auto" w:fill="FFFFFF"/>
        </w:rPr>
        <w:t xml:space="preserve">第十五条 </w:t>
      </w:r>
      <w:r>
        <w:rPr>
          <w:rFonts w:hint="eastAsia" w:ascii="仿宋" w:hAnsi="仿宋" w:eastAsia="仿宋" w:cs="仿宋"/>
          <w:bCs/>
          <w:color w:val="333333"/>
          <w:sz w:val="32"/>
          <w:szCs w:val="32"/>
          <w:shd w:val="clear" w:color="auto" w:fill="FFFFFF"/>
        </w:rPr>
        <w:t>评选工作时间为评选当年的三月至六月，具体推荐材料、工作流程、时间节点等以当年发布的评选通知为准。</w:t>
      </w:r>
    </w:p>
    <w:p>
      <w:pPr>
        <w:pStyle w:val="6"/>
        <w:widowControl/>
        <w:spacing w:beforeAutospacing="0" w:afterAutospacing="0" w:line="403" w:lineRule="atLeast"/>
        <w:ind w:firstLine="632" w:firstLineChars="200"/>
        <w:jc w:val="both"/>
        <w:rPr>
          <w:rFonts w:ascii="仿宋" w:hAnsi="仿宋" w:eastAsia="仿宋" w:cs="仿宋"/>
          <w:bCs/>
          <w:color w:val="333333"/>
          <w:sz w:val="32"/>
          <w:szCs w:val="32"/>
        </w:rPr>
      </w:pPr>
      <w:r>
        <w:rPr>
          <w:rStyle w:val="10"/>
          <w:rFonts w:hint="eastAsia" w:ascii="仿宋" w:hAnsi="仿宋" w:eastAsia="仿宋" w:cs="仿宋"/>
          <w:bCs/>
          <w:color w:val="333333"/>
          <w:sz w:val="32"/>
          <w:szCs w:val="32"/>
          <w:shd w:val="clear" w:color="auto" w:fill="FFFFFF"/>
        </w:rPr>
        <w:t>第十六条 </w:t>
      </w:r>
      <w:r>
        <w:rPr>
          <w:rFonts w:hint="eastAsia" w:ascii="仿宋" w:hAnsi="仿宋" w:eastAsia="仿宋" w:cs="仿宋"/>
          <w:bCs/>
          <w:color w:val="333333"/>
          <w:sz w:val="32"/>
          <w:szCs w:val="32"/>
          <w:shd w:val="clear" w:color="auto" w:fill="FFFFFF"/>
        </w:rPr>
        <w:t>获评后，如发现申报材料存在弄虚作假情况或获奖者发生与本奖励要求相违背的行为时，学校将撤销其荣誉、追回奖励，并根据情况追究责任。</w:t>
      </w:r>
    </w:p>
    <w:p>
      <w:pPr>
        <w:pStyle w:val="6"/>
        <w:widowControl/>
        <w:spacing w:beforeAutospacing="0" w:afterAutospacing="0" w:line="403" w:lineRule="atLeast"/>
        <w:ind w:firstLine="632" w:firstLineChars="200"/>
        <w:jc w:val="both"/>
        <w:rPr>
          <w:rFonts w:ascii="仿宋" w:hAnsi="仿宋" w:eastAsia="仿宋" w:cs="仿宋"/>
          <w:bCs/>
          <w:color w:val="333333"/>
          <w:sz w:val="32"/>
          <w:szCs w:val="32"/>
        </w:rPr>
      </w:pPr>
      <w:r>
        <w:rPr>
          <w:rStyle w:val="10"/>
          <w:rFonts w:hint="eastAsia" w:ascii="仿宋" w:hAnsi="仿宋" w:eastAsia="仿宋" w:cs="仿宋"/>
          <w:bCs/>
          <w:color w:val="333333"/>
          <w:sz w:val="32"/>
          <w:szCs w:val="32"/>
          <w:shd w:val="clear" w:color="auto" w:fill="FFFFFF"/>
        </w:rPr>
        <w:t>第十七条 </w:t>
      </w:r>
      <w:r>
        <w:rPr>
          <w:rFonts w:hint="eastAsia" w:ascii="仿宋" w:hAnsi="仿宋" w:eastAsia="仿宋" w:cs="仿宋"/>
          <w:bCs/>
          <w:color w:val="333333"/>
          <w:sz w:val="32"/>
          <w:szCs w:val="32"/>
          <w:shd w:val="clear" w:color="auto" w:fill="FFFFFF"/>
        </w:rPr>
        <w:t>本办法由研究生处负责解释。</w:t>
      </w:r>
    </w:p>
    <w:p>
      <w:pPr>
        <w:pStyle w:val="6"/>
        <w:widowControl/>
        <w:spacing w:beforeAutospacing="0" w:afterAutospacing="0" w:line="403" w:lineRule="atLeast"/>
        <w:ind w:firstLine="632" w:firstLineChars="200"/>
        <w:jc w:val="both"/>
      </w:pPr>
      <w:r>
        <w:rPr>
          <w:rStyle w:val="10"/>
          <w:rFonts w:hint="eastAsia" w:ascii="仿宋" w:hAnsi="仿宋" w:eastAsia="仿宋" w:cs="仿宋"/>
          <w:bCs/>
          <w:color w:val="333333"/>
          <w:sz w:val="32"/>
          <w:szCs w:val="32"/>
          <w:shd w:val="clear" w:color="auto" w:fill="FFFFFF"/>
        </w:rPr>
        <w:t>第十八条</w:t>
      </w:r>
      <w:r>
        <w:rPr>
          <w:rStyle w:val="10"/>
          <w:rFonts w:eastAsia="仿宋" w:cs="Calibri"/>
          <w:bCs/>
          <w:color w:val="333333"/>
          <w:sz w:val="32"/>
          <w:szCs w:val="32"/>
          <w:shd w:val="clear" w:color="auto" w:fill="FFFFFF"/>
        </w:rPr>
        <w:t> </w:t>
      </w:r>
      <w:r>
        <w:rPr>
          <w:rFonts w:hint="eastAsia" w:ascii="仿宋" w:hAnsi="仿宋" w:eastAsia="仿宋" w:cs="仿宋"/>
          <w:bCs/>
          <w:color w:val="333333"/>
          <w:sz w:val="32"/>
          <w:szCs w:val="32"/>
          <w:shd w:val="clear" w:color="auto" w:fill="FFFFFF"/>
        </w:rPr>
        <w:t>本办法经2023年6月</w:t>
      </w:r>
      <w:r>
        <w:rPr>
          <w:rFonts w:ascii="仿宋" w:hAnsi="仿宋" w:eastAsia="仿宋" w:cs="仿宋"/>
          <w:bCs/>
          <w:color w:val="333333"/>
          <w:sz w:val="32"/>
          <w:szCs w:val="32"/>
          <w:shd w:val="clear" w:color="auto" w:fill="FFFFFF"/>
        </w:rPr>
        <w:t>12</w:t>
      </w:r>
      <w:r>
        <w:rPr>
          <w:rFonts w:hint="eastAsia" w:ascii="仿宋" w:hAnsi="仿宋" w:eastAsia="仿宋" w:cs="仿宋"/>
          <w:bCs/>
          <w:color w:val="333333"/>
          <w:sz w:val="32"/>
          <w:szCs w:val="32"/>
          <w:shd w:val="clear" w:color="auto" w:fill="FFFFFF"/>
        </w:rPr>
        <w:t>日学校校长办公会审议通过，自印发之日起实施。</w:t>
      </w:r>
    </w:p>
    <w:sectPr>
      <w:footerReference r:id="rId3" w:type="default"/>
      <w:footerReference r:id="rId4" w:type="even"/>
      <w:pgSz w:w="11906" w:h="16838"/>
      <w:pgMar w:top="1871" w:right="1531" w:bottom="1985" w:left="1531" w:header="851" w:footer="1134" w:gutter="0"/>
      <w:pgNumType w:fmt="numberInDash"/>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D336A7-E462-43A0-814B-4D1CCFD3B9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00B560B-9047-4D46-B5AB-284444F0CC99}"/>
  </w:font>
  <w:font w:name="方正小标宋简体">
    <w:panose1 w:val="02000000000000000000"/>
    <w:charset w:val="86"/>
    <w:family w:val="script"/>
    <w:pitch w:val="default"/>
    <w:sig w:usb0="00000001" w:usb1="08000000" w:usb2="00000000" w:usb3="00000000" w:csb0="00040000" w:csb1="00000000"/>
    <w:embedRegular r:id="rId3" w:fontKey="{F007845D-6211-4F50-B3EB-04A537562B16}"/>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42D7BDC6-1E45-4FE1-8746-7EAB7BA3F22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Fonts w:ascii="宋体" w:hAnsi="宋体"/>
        <w:sz w:val="24"/>
        <w:szCs w:val="24"/>
      </w:rPr>
    </w:pPr>
    <w:r>
      <w:rPr>
        <w:rFonts w:ascii="宋体" w:hAnsi="宋体"/>
        <w:sz w:val="24"/>
        <w:szCs w:val="24"/>
      </w:rPr>
      <w:fldChar w:fldCharType="begin"/>
    </w:r>
    <w:r>
      <w:rPr>
        <w:rStyle w:val="11"/>
        <w:rFonts w:ascii="宋体" w:hAnsi="宋体"/>
        <w:sz w:val="24"/>
        <w:szCs w:val="24"/>
      </w:rPr>
      <w:instrText xml:space="preserve">PAGE  </w:instrText>
    </w:r>
    <w:r>
      <w:rPr>
        <w:rFonts w:ascii="宋体" w:hAnsi="宋体"/>
        <w:sz w:val="24"/>
        <w:szCs w:val="24"/>
      </w:rPr>
      <w:fldChar w:fldCharType="separate"/>
    </w:r>
    <w:r>
      <w:rPr>
        <w:rStyle w:val="11"/>
        <w:rFonts w:ascii="宋体" w:hAnsi="宋体"/>
        <w:sz w:val="24"/>
        <w:szCs w:val="24"/>
      </w:rPr>
      <w:t>2</w:t>
    </w:r>
    <w:r>
      <w:rPr>
        <w:rFonts w:ascii="宋体" w:hAnsi="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c0ZmM2YTM0M2MyZGQ5NDQ2OGVmZmY5MjhhMmFmNWMifQ=="/>
  </w:docVars>
  <w:rsids>
    <w:rsidRoot w:val="004558F5"/>
    <w:rsid w:val="00000F81"/>
    <w:rsid w:val="000041A8"/>
    <w:rsid w:val="00007727"/>
    <w:rsid w:val="000155C4"/>
    <w:rsid w:val="00025BA2"/>
    <w:rsid w:val="000312B8"/>
    <w:rsid w:val="0004019A"/>
    <w:rsid w:val="000512DA"/>
    <w:rsid w:val="00056B87"/>
    <w:rsid w:val="00061152"/>
    <w:rsid w:val="00072A85"/>
    <w:rsid w:val="00081EF6"/>
    <w:rsid w:val="000A224C"/>
    <w:rsid w:val="000C0B35"/>
    <w:rsid w:val="000C6980"/>
    <w:rsid w:val="000E2290"/>
    <w:rsid w:val="000E31D8"/>
    <w:rsid w:val="000F4B02"/>
    <w:rsid w:val="00107724"/>
    <w:rsid w:val="0015757E"/>
    <w:rsid w:val="00171F47"/>
    <w:rsid w:val="00181FF8"/>
    <w:rsid w:val="001A7ADE"/>
    <w:rsid w:val="001E3666"/>
    <w:rsid w:val="001F3072"/>
    <w:rsid w:val="001F7C33"/>
    <w:rsid w:val="00203D20"/>
    <w:rsid w:val="0022082F"/>
    <w:rsid w:val="00227E16"/>
    <w:rsid w:val="00241FB3"/>
    <w:rsid w:val="002A6A48"/>
    <w:rsid w:val="002B45BE"/>
    <w:rsid w:val="002C30D2"/>
    <w:rsid w:val="002D6038"/>
    <w:rsid w:val="0030087C"/>
    <w:rsid w:val="003148D9"/>
    <w:rsid w:val="00324CFB"/>
    <w:rsid w:val="00340F51"/>
    <w:rsid w:val="003410C9"/>
    <w:rsid w:val="00347354"/>
    <w:rsid w:val="00353A73"/>
    <w:rsid w:val="00372DA2"/>
    <w:rsid w:val="003922A0"/>
    <w:rsid w:val="003C58D7"/>
    <w:rsid w:val="003D0E52"/>
    <w:rsid w:val="003D3A0F"/>
    <w:rsid w:val="003E2206"/>
    <w:rsid w:val="00403589"/>
    <w:rsid w:val="00404953"/>
    <w:rsid w:val="00421FF5"/>
    <w:rsid w:val="00422B92"/>
    <w:rsid w:val="004558F5"/>
    <w:rsid w:val="00487A86"/>
    <w:rsid w:val="004A3C80"/>
    <w:rsid w:val="004B31DC"/>
    <w:rsid w:val="004C191E"/>
    <w:rsid w:val="004C4005"/>
    <w:rsid w:val="004D0F5A"/>
    <w:rsid w:val="004D3C8D"/>
    <w:rsid w:val="004D5BFB"/>
    <w:rsid w:val="005042E3"/>
    <w:rsid w:val="005278CC"/>
    <w:rsid w:val="00536C55"/>
    <w:rsid w:val="0055047C"/>
    <w:rsid w:val="005523D3"/>
    <w:rsid w:val="0055340C"/>
    <w:rsid w:val="00577976"/>
    <w:rsid w:val="005C22A3"/>
    <w:rsid w:val="005C4E5E"/>
    <w:rsid w:val="005D152A"/>
    <w:rsid w:val="005F6680"/>
    <w:rsid w:val="0061205E"/>
    <w:rsid w:val="0062546A"/>
    <w:rsid w:val="00643C0A"/>
    <w:rsid w:val="006514A8"/>
    <w:rsid w:val="00671C69"/>
    <w:rsid w:val="006C3607"/>
    <w:rsid w:val="006F48A7"/>
    <w:rsid w:val="006F5151"/>
    <w:rsid w:val="00704A96"/>
    <w:rsid w:val="007139CE"/>
    <w:rsid w:val="00720A69"/>
    <w:rsid w:val="00755B1D"/>
    <w:rsid w:val="00764FF8"/>
    <w:rsid w:val="00765210"/>
    <w:rsid w:val="00774F9B"/>
    <w:rsid w:val="00792D1B"/>
    <w:rsid w:val="007A0287"/>
    <w:rsid w:val="007A28D7"/>
    <w:rsid w:val="007B580F"/>
    <w:rsid w:val="007D1B09"/>
    <w:rsid w:val="007D6274"/>
    <w:rsid w:val="0080021B"/>
    <w:rsid w:val="0082285D"/>
    <w:rsid w:val="0083265E"/>
    <w:rsid w:val="00835D5A"/>
    <w:rsid w:val="00840022"/>
    <w:rsid w:val="00843BF5"/>
    <w:rsid w:val="00856B0A"/>
    <w:rsid w:val="00861F6C"/>
    <w:rsid w:val="00865FCF"/>
    <w:rsid w:val="00876B8A"/>
    <w:rsid w:val="008831FC"/>
    <w:rsid w:val="00883D14"/>
    <w:rsid w:val="00896207"/>
    <w:rsid w:val="00896E10"/>
    <w:rsid w:val="008A6732"/>
    <w:rsid w:val="008A7AD4"/>
    <w:rsid w:val="008D45BA"/>
    <w:rsid w:val="008E2BEB"/>
    <w:rsid w:val="0090014F"/>
    <w:rsid w:val="00946450"/>
    <w:rsid w:val="00972E01"/>
    <w:rsid w:val="009752C7"/>
    <w:rsid w:val="0097745D"/>
    <w:rsid w:val="00984144"/>
    <w:rsid w:val="00995DE7"/>
    <w:rsid w:val="009A1B54"/>
    <w:rsid w:val="009A22A8"/>
    <w:rsid w:val="009B5FFA"/>
    <w:rsid w:val="009C55CE"/>
    <w:rsid w:val="009C5AA6"/>
    <w:rsid w:val="009D38D9"/>
    <w:rsid w:val="009E79A5"/>
    <w:rsid w:val="009F7BED"/>
    <w:rsid w:val="00A01521"/>
    <w:rsid w:val="00A05099"/>
    <w:rsid w:val="00A23E11"/>
    <w:rsid w:val="00A36385"/>
    <w:rsid w:val="00A374FE"/>
    <w:rsid w:val="00A6320B"/>
    <w:rsid w:val="00A73FFF"/>
    <w:rsid w:val="00A83F57"/>
    <w:rsid w:val="00AB35D2"/>
    <w:rsid w:val="00AC264E"/>
    <w:rsid w:val="00AC290A"/>
    <w:rsid w:val="00AC522E"/>
    <w:rsid w:val="00AE37F3"/>
    <w:rsid w:val="00AE7B9A"/>
    <w:rsid w:val="00B0041E"/>
    <w:rsid w:val="00B1137C"/>
    <w:rsid w:val="00B23F50"/>
    <w:rsid w:val="00B34CCC"/>
    <w:rsid w:val="00B42AE3"/>
    <w:rsid w:val="00B56DC0"/>
    <w:rsid w:val="00B74090"/>
    <w:rsid w:val="00B75072"/>
    <w:rsid w:val="00BA644F"/>
    <w:rsid w:val="00BB1748"/>
    <w:rsid w:val="00BB4EA1"/>
    <w:rsid w:val="00BC51BA"/>
    <w:rsid w:val="00BE190E"/>
    <w:rsid w:val="00C00764"/>
    <w:rsid w:val="00C31BF1"/>
    <w:rsid w:val="00C343B2"/>
    <w:rsid w:val="00C45E30"/>
    <w:rsid w:val="00C552D6"/>
    <w:rsid w:val="00C55B2D"/>
    <w:rsid w:val="00C61AEB"/>
    <w:rsid w:val="00C71BDD"/>
    <w:rsid w:val="00CA6ACF"/>
    <w:rsid w:val="00D153C2"/>
    <w:rsid w:val="00D170F6"/>
    <w:rsid w:val="00D35197"/>
    <w:rsid w:val="00D40257"/>
    <w:rsid w:val="00D43748"/>
    <w:rsid w:val="00D46634"/>
    <w:rsid w:val="00D47768"/>
    <w:rsid w:val="00D545F5"/>
    <w:rsid w:val="00D76639"/>
    <w:rsid w:val="00D86779"/>
    <w:rsid w:val="00D977B3"/>
    <w:rsid w:val="00DA3DDE"/>
    <w:rsid w:val="00DA717C"/>
    <w:rsid w:val="00DA7682"/>
    <w:rsid w:val="00E0557D"/>
    <w:rsid w:val="00E10BE0"/>
    <w:rsid w:val="00E11BEE"/>
    <w:rsid w:val="00E17A17"/>
    <w:rsid w:val="00E22BC1"/>
    <w:rsid w:val="00E42095"/>
    <w:rsid w:val="00E7373C"/>
    <w:rsid w:val="00E75B2C"/>
    <w:rsid w:val="00E773B6"/>
    <w:rsid w:val="00E92669"/>
    <w:rsid w:val="00EA08C4"/>
    <w:rsid w:val="00EA13C7"/>
    <w:rsid w:val="00EB53DC"/>
    <w:rsid w:val="00EB7495"/>
    <w:rsid w:val="00EC5D1F"/>
    <w:rsid w:val="00EE7DCF"/>
    <w:rsid w:val="00F03663"/>
    <w:rsid w:val="00F2276C"/>
    <w:rsid w:val="00F30B67"/>
    <w:rsid w:val="00F37B2A"/>
    <w:rsid w:val="00F42879"/>
    <w:rsid w:val="00F45503"/>
    <w:rsid w:val="00F643FD"/>
    <w:rsid w:val="00F65C7F"/>
    <w:rsid w:val="00F7368B"/>
    <w:rsid w:val="00F82731"/>
    <w:rsid w:val="00F83B8E"/>
    <w:rsid w:val="00FB1D8E"/>
    <w:rsid w:val="00FD07A3"/>
    <w:rsid w:val="00FD5065"/>
    <w:rsid w:val="00FE477B"/>
    <w:rsid w:val="0CFD07D9"/>
    <w:rsid w:val="487E63FF"/>
    <w:rsid w:val="6669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3"/>
    <w:qFormat/>
    <w:uiPriority w:val="9"/>
    <w:pPr>
      <w:keepNext/>
      <w:keepLines/>
      <w:spacing w:before="340" w:after="330" w:line="576" w:lineRule="auto"/>
      <w:jc w:val="center"/>
      <w:outlineLvl w:val="0"/>
    </w:pPr>
    <w:rPr>
      <w:rFonts w:ascii="Calibri" w:hAnsi="Calibri" w:eastAsia="方正小标宋简体"/>
      <w:b/>
      <w:kern w:val="44"/>
      <w:sz w:val="44"/>
      <w:szCs w:val="2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page number"/>
    <w:basedOn w:val="9"/>
    <w:qFormat/>
    <w:uiPriority w:val="0"/>
  </w:style>
  <w:style w:type="paragraph" w:customStyle="1" w:styleId="12">
    <w:name w:val="Revision"/>
    <w:hidden/>
    <w:unhideWhenUsed/>
    <w:qFormat/>
    <w:uiPriority w:val="99"/>
    <w:rPr>
      <w:rFonts w:ascii="Times New Roman" w:hAnsi="Times New Roman" w:eastAsia="宋体" w:cs="Times New Roman"/>
      <w:kern w:val="2"/>
      <w:sz w:val="32"/>
      <w:szCs w:val="32"/>
      <w:lang w:val="en-US" w:eastAsia="zh-CN" w:bidi="ar-SA"/>
    </w:rPr>
  </w:style>
  <w:style w:type="character" w:customStyle="1" w:styleId="13">
    <w:name w:val="标题 1 字符"/>
    <w:basedOn w:val="9"/>
    <w:link w:val="2"/>
    <w:qFormat/>
    <w:uiPriority w:val="9"/>
    <w:rPr>
      <w:rFonts w:ascii="Calibri" w:hAnsi="Calibri" w:eastAsia="方正小标宋简体"/>
      <w:b/>
      <w:kern w:val="44"/>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中劳</Company>
  <Pages>7</Pages>
  <Words>2454</Words>
  <Characters>2501</Characters>
  <Lines>1</Lines>
  <Paragraphs>5</Paragraphs>
  <TotalTime>8</TotalTime>
  <ScaleCrop>false</ScaleCrop>
  <LinksUpToDate>false</LinksUpToDate>
  <CharactersWithSpaces>2560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2023-06-28T09:31:00Z</dcterms:created>
  <dc:creator>刑晓陆</dc:creator>
  <cp:lastModifiedBy>sarah</cp:lastModifiedBy>
  <cp:lastPrinted>2024-07-03T06:23:00Z</cp:lastPrinted>
  <dcterms:modified xsi:type="dcterms:W3CDTF">2024-07-03T07:18:08Z</dcterms:modified>
  <dc:title>中 国 劳 动 关 系 学 院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3875DE7A118E4724A8154C5AB7DE5FF4_13</vt:lpwstr>
  </property>
</Properties>
</file>