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ascii="黑体" w:hAnsi="黑体" w:eastAsia="黑体"/>
          <w:color w:val="auto"/>
          <w:sz w:val="36"/>
          <w:szCs w:val="36"/>
        </w:rPr>
      </w:pPr>
      <w:bookmarkStart w:id="0" w:name="_Toc25689"/>
      <w:bookmarkStart w:id="1" w:name="_Toc1970"/>
      <w:bookmarkStart w:id="2" w:name="_Toc12279"/>
      <w:bookmarkStart w:id="213" w:name="_GoBack"/>
      <w:bookmarkEnd w:id="213"/>
      <w:r>
        <w:rPr>
          <w:rFonts w:hint="eastAsia" w:ascii="黑体" w:hAnsi="黑体" w:eastAsia="黑体"/>
          <w:color w:val="auto"/>
          <w:sz w:val="36"/>
          <w:szCs w:val="36"/>
        </w:rPr>
        <w:t>中国劳动关系学院2017-2018学年本科教学质量报告</w:t>
      </w:r>
      <w:bookmarkEnd w:id="0"/>
      <w:bookmarkEnd w:id="1"/>
      <w:bookmarkEnd w:id="2"/>
    </w:p>
    <w:p>
      <w:pPr>
        <w:rPr>
          <w:color w:val="auto"/>
          <w:sz w:val="24"/>
          <w:szCs w:val="24"/>
        </w:rPr>
      </w:pPr>
    </w:p>
    <w:p>
      <w:pPr>
        <w:spacing w:line="400" w:lineRule="exact"/>
        <w:rPr>
          <w:color w:val="auto"/>
          <w:sz w:val="24"/>
          <w:szCs w:val="24"/>
        </w:rPr>
      </w:pPr>
      <w:r>
        <w:rPr>
          <w:rFonts w:hint="eastAsia"/>
          <w:color w:val="auto"/>
          <w:sz w:val="24"/>
          <w:szCs w:val="24"/>
        </w:rPr>
        <w:t xml:space="preserve">    中国劳动关系学院是中华全国总工会直属的行业特色型高校，由中华全国总工会与教育部共建。2017-2018学年，学校在认真学习、贯彻落实党的十九大报告精神、习近平总书记给我校劳模本科班学员回信精神和5月2日北京大学师生座谈会重要讲话精神、中华全国总工会王东明主席和教育部陈宝生部长来校指导工作讲话精神的过程中，坚定了“崇尚劳动育英才、弘扬特色创一流”的办学思路，并以迎接教育部本科教学</w:t>
      </w:r>
      <w:r>
        <w:rPr>
          <w:rFonts w:hint="eastAsia"/>
          <w:color w:val="auto"/>
          <w:sz w:val="24"/>
          <w:szCs w:val="24"/>
          <w:lang w:eastAsia="zh-CN"/>
        </w:rPr>
        <w:t>工作</w:t>
      </w:r>
      <w:r>
        <w:rPr>
          <w:rFonts w:hint="eastAsia"/>
          <w:color w:val="auto"/>
          <w:sz w:val="24"/>
          <w:szCs w:val="24"/>
        </w:rPr>
        <w:t>审核评估为契机，认真落实新时代全国高等学校本科教育工作会议精神，扎实推进内涵建设，着力提高人才培养质量和办学水平。</w:t>
      </w:r>
    </w:p>
    <w:p>
      <w:pPr>
        <w:pStyle w:val="2"/>
        <w:spacing w:before="0" w:after="0" w:line="240" w:lineRule="auto"/>
        <w:rPr>
          <w:rFonts w:ascii="黑体" w:hAnsi="黑体" w:eastAsia="黑体"/>
          <w:b w:val="0"/>
          <w:color w:val="auto"/>
          <w:sz w:val="30"/>
          <w:szCs w:val="30"/>
        </w:rPr>
      </w:pPr>
      <w:bookmarkStart w:id="3" w:name="_Toc6525_WPSOffice_Level1"/>
      <w:bookmarkStart w:id="4" w:name="_Toc16270"/>
      <w:bookmarkStart w:id="5" w:name="_Toc27785"/>
      <w:bookmarkStart w:id="6" w:name="_Toc3090"/>
      <w:bookmarkStart w:id="7" w:name="_Toc16657_WPSOffice_Level1"/>
      <w:r>
        <w:rPr>
          <w:rFonts w:hint="eastAsia" w:ascii="黑体" w:hAnsi="黑体" w:eastAsia="黑体"/>
          <w:b w:val="0"/>
          <w:color w:val="auto"/>
          <w:sz w:val="30"/>
          <w:szCs w:val="30"/>
        </w:rPr>
        <w:t>一、本科教育基本情况</w:t>
      </w:r>
      <w:bookmarkEnd w:id="3"/>
      <w:bookmarkEnd w:id="4"/>
      <w:bookmarkEnd w:id="5"/>
      <w:bookmarkEnd w:id="6"/>
      <w:bookmarkEnd w:id="7"/>
    </w:p>
    <w:p>
      <w:pPr>
        <w:pStyle w:val="3"/>
        <w:spacing w:before="0" w:after="0" w:line="240" w:lineRule="auto"/>
        <w:rPr>
          <w:rFonts w:ascii="黑体" w:hAnsi="黑体" w:eastAsia="黑体"/>
          <w:b w:val="0"/>
          <w:color w:val="auto"/>
          <w:sz w:val="28"/>
          <w:szCs w:val="28"/>
        </w:rPr>
      </w:pPr>
      <w:bookmarkStart w:id="8" w:name="_Toc302"/>
      <w:bookmarkStart w:id="9" w:name="_Toc20447"/>
      <w:bookmarkStart w:id="10" w:name="_Toc22021_WPSOffice_Level2"/>
      <w:bookmarkStart w:id="11" w:name="_Toc14012_WPSOffice_Level2"/>
      <w:bookmarkStart w:id="12" w:name="_Toc9640"/>
      <w:r>
        <w:rPr>
          <w:rFonts w:hint="eastAsia" w:ascii="黑体" w:hAnsi="黑体" w:eastAsia="黑体"/>
          <w:b w:val="0"/>
          <w:color w:val="auto"/>
          <w:sz w:val="28"/>
          <w:szCs w:val="28"/>
        </w:rPr>
        <w:t>（一）本科人才培养目标</w:t>
      </w:r>
      <w:bookmarkEnd w:id="8"/>
      <w:bookmarkEnd w:id="9"/>
      <w:bookmarkEnd w:id="10"/>
      <w:bookmarkEnd w:id="11"/>
      <w:bookmarkEnd w:id="12"/>
    </w:p>
    <w:p>
      <w:pPr>
        <w:spacing w:line="400" w:lineRule="exact"/>
        <w:ind w:firstLine="480" w:firstLineChars="200"/>
        <w:rPr>
          <w:color w:val="auto"/>
          <w:sz w:val="24"/>
          <w:szCs w:val="24"/>
        </w:rPr>
      </w:pPr>
      <w:r>
        <w:rPr>
          <w:rFonts w:hint="eastAsia"/>
          <w:color w:val="auto"/>
          <w:sz w:val="24"/>
          <w:szCs w:val="24"/>
        </w:rPr>
        <w:t>《中国劳动关系学院“十三五”发展规划》将学校的人才培养目标定位为：培养政治素质过硬、劳动情怀深厚、专业功底扎实、实践能力突出的高素质应用型人才；将服务面向定位为：立足工会、面向社会，以高质量的人才培养和科学研究成果，服务国家经济社会发展，服务和谐劳动关系建设，服务高素质工会干部</w:t>
      </w:r>
      <w:r>
        <w:rPr>
          <w:rFonts w:hint="eastAsia"/>
          <w:color w:val="auto"/>
          <w:sz w:val="24"/>
          <w:szCs w:val="24"/>
          <w:lang w:eastAsia="zh-CN"/>
        </w:rPr>
        <w:t>队伍</w:t>
      </w:r>
      <w:r>
        <w:rPr>
          <w:rFonts w:hint="eastAsia"/>
          <w:color w:val="auto"/>
          <w:sz w:val="24"/>
          <w:szCs w:val="24"/>
        </w:rPr>
        <w:t>建设和产业工人队伍建设。</w:t>
      </w:r>
    </w:p>
    <w:p>
      <w:pPr>
        <w:spacing w:line="400" w:lineRule="exact"/>
        <w:ind w:firstLine="480" w:firstLineChars="200"/>
        <w:rPr>
          <w:color w:val="auto"/>
          <w:sz w:val="24"/>
          <w:szCs w:val="24"/>
        </w:rPr>
      </w:pPr>
      <w:r>
        <w:rPr>
          <w:rFonts w:hint="eastAsia"/>
          <w:color w:val="auto"/>
          <w:sz w:val="24"/>
          <w:szCs w:val="24"/>
        </w:rPr>
        <w:t>该人才培养目标与服务面向定位，既体现了我校人才培养与其他高校特别是新建本科院校人才培养的共同特征——坚持办学正确政治方向、服务社会经济发展、培养高素质应用型人才，又彰显了新时期我校人才培养的独特性——立足工会事业发展、服务和谐劳动关系建设、强化劳动情怀培育，为学校在中国特色社会主义新时代遵循高等教育办学规律，走“质量立校、特色兴校、人才强校”的内涵式发展道路指明了方向。</w:t>
      </w:r>
    </w:p>
    <w:p>
      <w:pPr>
        <w:pStyle w:val="3"/>
        <w:spacing w:before="0" w:after="0" w:line="240" w:lineRule="auto"/>
        <w:rPr>
          <w:rFonts w:ascii="黑体" w:hAnsi="黑体" w:eastAsia="黑体"/>
          <w:b w:val="0"/>
          <w:color w:val="auto"/>
          <w:sz w:val="28"/>
          <w:szCs w:val="28"/>
        </w:rPr>
      </w:pPr>
      <w:bookmarkStart w:id="13" w:name="_Toc3467"/>
      <w:bookmarkStart w:id="14" w:name="_Toc9902"/>
      <w:bookmarkStart w:id="15" w:name="_Toc31201_WPSOffice_Level2"/>
      <w:bookmarkStart w:id="16" w:name="_Toc12521_WPSOffice_Level2"/>
      <w:bookmarkStart w:id="17" w:name="_Toc1727"/>
      <w:r>
        <w:rPr>
          <w:rFonts w:hint="eastAsia" w:ascii="黑体" w:hAnsi="黑体" w:eastAsia="黑体"/>
          <w:b w:val="0"/>
          <w:color w:val="auto"/>
          <w:sz w:val="28"/>
          <w:szCs w:val="28"/>
        </w:rPr>
        <w:t>（二）本科专业情况</w:t>
      </w:r>
      <w:bookmarkEnd w:id="13"/>
      <w:bookmarkEnd w:id="14"/>
      <w:bookmarkEnd w:id="15"/>
      <w:bookmarkEnd w:id="16"/>
      <w:bookmarkEnd w:id="17"/>
    </w:p>
    <w:p>
      <w:pPr>
        <w:spacing w:line="400" w:lineRule="exact"/>
        <w:ind w:firstLine="480" w:firstLineChars="200"/>
        <w:rPr>
          <w:rFonts w:hint="eastAsia"/>
          <w:color w:val="auto"/>
          <w:sz w:val="24"/>
          <w:szCs w:val="24"/>
        </w:rPr>
      </w:pPr>
      <w:r>
        <w:rPr>
          <w:rFonts w:hint="eastAsia"/>
          <w:color w:val="auto"/>
          <w:sz w:val="24"/>
          <w:szCs w:val="24"/>
        </w:rPr>
        <w:t>学校现有工会学院、劳动关系系、经济管理系、法学院、公共管理系、安全工程系、文化传播学院和高职学院8个院系，思想政治理论教学部、外语教学部、数学与计算机教学部、体育教学部4个公共教学部，开设社会工作、行政管理、劳动关系等16个普通本科专业，覆盖法学、管理学、经济学、工学、文学、艺术学6个学科门类。其中，劳动关系和法学专业（劳动法与社会保障法方向）为国家级特色专业建设点和北京市特色专业建设点。</w:t>
      </w:r>
    </w:p>
    <w:p>
      <w:pPr>
        <w:pStyle w:val="3"/>
        <w:spacing w:before="0" w:after="0" w:line="240" w:lineRule="auto"/>
        <w:rPr>
          <w:rFonts w:ascii="黑体" w:hAnsi="黑体" w:eastAsia="黑体"/>
          <w:b w:val="0"/>
          <w:color w:val="auto"/>
          <w:sz w:val="28"/>
          <w:szCs w:val="28"/>
        </w:rPr>
      </w:pPr>
      <w:bookmarkStart w:id="18" w:name="_Toc19829"/>
      <w:bookmarkStart w:id="19" w:name="_Toc21938_WPSOffice_Level2"/>
      <w:bookmarkStart w:id="20" w:name="_Toc16657_WPSOffice_Level2"/>
      <w:bookmarkStart w:id="21" w:name="_Toc7566"/>
      <w:bookmarkStart w:id="22" w:name="_Toc975"/>
      <w:r>
        <w:rPr>
          <w:rFonts w:hint="eastAsia" w:ascii="黑体" w:hAnsi="黑体" w:eastAsia="黑体"/>
          <w:b w:val="0"/>
          <w:color w:val="auto"/>
          <w:sz w:val="28"/>
          <w:szCs w:val="28"/>
        </w:rPr>
        <w:t>（三）本科生源质量</w:t>
      </w:r>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color w:val="auto"/>
          <w:sz w:val="24"/>
          <w:szCs w:val="24"/>
        </w:rPr>
      </w:pPr>
      <w:r>
        <w:rPr>
          <w:rFonts w:hint="eastAsia"/>
          <w:color w:val="auto"/>
          <w:sz w:val="24"/>
          <w:szCs w:val="24"/>
        </w:rPr>
        <w:t>学校现有全日制在校生6389人，其中普通本科生4723人，占全日制在校生总数的73.92%。近年来，随着学校办学水平和声誉的提高，本科生源质量不断提升，新生报到率逐年上升。2014至2018年，录取分数达到或超过当地一本线考生数量及比例年分别为113人/ 9.37%、147人/11.76%、121/10.1%、358人/28.64%、550人/44%；本科新生报到率分别为95.27%、95.28%、95.52%、96.39%、96.47%。</w:t>
      </w:r>
    </w:p>
    <w:p>
      <w:pPr>
        <w:pStyle w:val="2"/>
        <w:pageBreakBefore w:val="0"/>
        <w:widowControl w:val="0"/>
        <w:kinsoku/>
        <w:wordWrap/>
        <w:overflowPunct/>
        <w:topLinePunct w:val="0"/>
        <w:autoSpaceDE/>
        <w:autoSpaceDN/>
        <w:bidi w:val="0"/>
        <w:adjustRightInd/>
        <w:snapToGrid/>
        <w:spacing w:before="0" w:after="0" w:line="240" w:lineRule="auto"/>
        <w:textAlignment w:val="auto"/>
        <w:rPr>
          <w:rFonts w:ascii="黑体" w:hAnsi="黑体" w:eastAsia="黑体"/>
          <w:b w:val="0"/>
          <w:color w:val="auto"/>
          <w:sz w:val="30"/>
          <w:szCs w:val="30"/>
        </w:rPr>
      </w:pPr>
      <w:bookmarkStart w:id="23" w:name="_Toc14012_WPSOffice_Level1"/>
      <w:bookmarkStart w:id="24" w:name="_Toc22021_WPSOffice_Level1"/>
      <w:bookmarkStart w:id="25" w:name="_Toc21275"/>
      <w:bookmarkStart w:id="26" w:name="_Toc20292"/>
      <w:bookmarkStart w:id="27" w:name="_Toc11037"/>
      <w:r>
        <w:rPr>
          <w:rFonts w:hint="eastAsia" w:ascii="黑体" w:hAnsi="黑体" w:eastAsia="黑体"/>
          <w:b w:val="0"/>
          <w:color w:val="auto"/>
          <w:sz w:val="30"/>
          <w:szCs w:val="30"/>
        </w:rPr>
        <w:t>二、师资与教学条件</w:t>
      </w:r>
      <w:bookmarkEnd w:id="23"/>
      <w:bookmarkEnd w:id="24"/>
      <w:bookmarkEnd w:id="25"/>
      <w:bookmarkEnd w:id="26"/>
      <w:bookmarkEnd w:id="27"/>
    </w:p>
    <w:p>
      <w:pPr>
        <w:pStyle w:val="3"/>
        <w:spacing w:before="0" w:after="0" w:line="240" w:lineRule="auto"/>
        <w:rPr>
          <w:rFonts w:ascii="黑体" w:hAnsi="黑体" w:eastAsia="黑体"/>
          <w:b w:val="0"/>
          <w:color w:val="auto"/>
          <w:sz w:val="28"/>
          <w:szCs w:val="28"/>
        </w:rPr>
      </w:pPr>
      <w:bookmarkStart w:id="28" w:name="_Toc8554"/>
      <w:bookmarkStart w:id="29" w:name="_Toc26604_WPSOffice_Level2"/>
      <w:bookmarkStart w:id="30" w:name="_Toc10896"/>
      <w:bookmarkStart w:id="31" w:name="_Toc15382_WPSOffice_Level2"/>
      <w:bookmarkStart w:id="32" w:name="_Toc24791"/>
      <w:r>
        <w:rPr>
          <w:rFonts w:hint="eastAsia" w:ascii="黑体" w:hAnsi="黑体" w:eastAsia="黑体"/>
          <w:b w:val="0"/>
          <w:color w:val="auto"/>
          <w:sz w:val="28"/>
          <w:szCs w:val="28"/>
        </w:rPr>
        <w:t>（一）师资队伍</w:t>
      </w:r>
      <w:bookmarkEnd w:id="28"/>
      <w:bookmarkEnd w:id="29"/>
      <w:bookmarkEnd w:id="30"/>
      <w:bookmarkEnd w:id="31"/>
      <w:bookmarkEnd w:id="32"/>
    </w:p>
    <w:p>
      <w:pPr>
        <w:pStyle w:val="4"/>
        <w:spacing w:before="0" w:after="0" w:line="240" w:lineRule="auto"/>
        <w:rPr>
          <w:rFonts w:ascii="黑体" w:hAnsi="黑体" w:eastAsia="黑体"/>
          <w:b w:val="0"/>
          <w:color w:val="auto"/>
          <w:sz w:val="24"/>
          <w:szCs w:val="24"/>
        </w:rPr>
      </w:pPr>
      <w:bookmarkStart w:id="33" w:name="_Toc19049"/>
      <w:bookmarkStart w:id="34" w:name="_Toc27924"/>
      <w:bookmarkStart w:id="35" w:name="_Toc8521"/>
      <w:bookmarkStart w:id="36" w:name="_Toc6166"/>
      <w:bookmarkStart w:id="37" w:name="_Toc13998"/>
      <w:r>
        <w:rPr>
          <w:rFonts w:hint="eastAsia" w:ascii="黑体" w:hAnsi="黑体" w:eastAsia="黑体"/>
          <w:b w:val="0"/>
          <w:color w:val="auto"/>
          <w:sz w:val="24"/>
          <w:szCs w:val="24"/>
        </w:rPr>
        <w:t>1.生师比</w:t>
      </w:r>
      <w:bookmarkEnd w:id="33"/>
      <w:bookmarkEnd w:id="34"/>
      <w:bookmarkEnd w:id="35"/>
      <w:bookmarkEnd w:id="36"/>
      <w:bookmarkEnd w:id="37"/>
    </w:p>
    <w:p>
      <w:pPr>
        <w:spacing w:line="400" w:lineRule="exact"/>
        <w:ind w:firstLine="480" w:firstLineChars="200"/>
        <w:rPr>
          <w:color w:val="auto"/>
          <w:sz w:val="24"/>
          <w:szCs w:val="24"/>
        </w:rPr>
      </w:pPr>
      <w:r>
        <w:rPr>
          <w:rFonts w:hint="eastAsia"/>
          <w:color w:val="auto"/>
          <w:sz w:val="24"/>
          <w:szCs w:val="24"/>
        </w:rPr>
        <w:t>截止到2018年9月15日，学校专任教师总数</w:t>
      </w:r>
      <w:r>
        <w:rPr>
          <w:rFonts w:hint="eastAsia"/>
          <w:color w:val="auto"/>
          <w:sz w:val="24"/>
          <w:szCs w:val="24"/>
          <w:lang w:val="en-US" w:eastAsia="zh-CN"/>
        </w:rPr>
        <w:t>286人</w:t>
      </w:r>
      <w:r>
        <w:rPr>
          <w:rFonts w:hint="eastAsia"/>
          <w:color w:val="auto"/>
          <w:sz w:val="24"/>
          <w:szCs w:val="24"/>
        </w:rPr>
        <w:t>，外聘教师数为</w:t>
      </w:r>
      <w:r>
        <w:rPr>
          <w:rFonts w:hint="eastAsia"/>
          <w:color w:val="auto"/>
          <w:sz w:val="24"/>
          <w:szCs w:val="24"/>
          <w:lang w:val="en-US" w:eastAsia="zh-CN"/>
        </w:rPr>
        <w:t>94人</w:t>
      </w:r>
      <w:r>
        <w:rPr>
          <w:rFonts w:hint="eastAsia"/>
          <w:color w:val="auto"/>
          <w:sz w:val="24"/>
          <w:szCs w:val="24"/>
        </w:rPr>
        <w:t>，折合在校生数</w:t>
      </w:r>
      <w:r>
        <w:rPr>
          <w:rFonts w:hint="eastAsia"/>
          <w:color w:val="auto"/>
          <w:sz w:val="24"/>
          <w:szCs w:val="24"/>
          <w:lang w:val="en-US" w:eastAsia="zh-CN"/>
        </w:rPr>
        <w:t>6635.5</w:t>
      </w:r>
      <w:r>
        <w:rPr>
          <w:rFonts w:hint="eastAsia"/>
          <w:color w:val="auto"/>
          <w:sz w:val="24"/>
          <w:szCs w:val="24"/>
        </w:rPr>
        <w:t>人，生师比为</w:t>
      </w:r>
      <w:r>
        <w:rPr>
          <w:rFonts w:hint="eastAsia"/>
          <w:color w:val="auto"/>
          <w:sz w:val="24"/>
          <w:szCs w:val="24"/>
          <w:lang w:val="en-US" w:eastAsia="zh-CN"/>
        </w:rPr>
        <w:t>19.93:1</w:t>
      </w:r>
      <w:r>
        <w:rPr>
          <w:rFonts w:hint="eastAsia"/>
          <w:color w:val="auto"/>
          <w:sz w:val="24"/>
          <w:szCs w:val="24"/>
        </w:rPr>
        <w:t>。</w:t>
      </w:r>
    </w:p>
    <w:p>
      <w:pPr>
        <w:pStyle w:val="4"/>
        <w:spacing w:before="0" w:after="0" w:line="240" w:lineRule="auto"/>
        <w:rPr>
          <w:rFonts w:ascii="黑体" w:hAnsi="黑体" w:eastAsia="黑体"/>
          <w:b w:val="0"/>
          <w:color w:val="auto"/>
          <w:sz w:val="24"/>
          <w:szCs w:val="24"/>
        </w:rPr>
      </w:pPr>
      <w:bookmarkStart w:id="38" w:name="_Toc16019"/>
      <w:bookmarkStart w:id="39" w:name="_Toc30530"/>
      <w:bookmarkStart w:id="40" w:name="_Toc7271"/>
      <w:bookmarkStart w:id="41" w:name="_Toc19140"/>
      <w:bookmarkStart w:id="42" w:name="_Toc1415"/>
      <w:r>
        <w:rPr>
          <w:rFonts w:hint="eastAsia" w:ascii="黑体" w:hAnsi="黑体" w:eastAsia="黑体"/>
          <w:b w:val="0"/>
          <w:color w:val="auto"/>
          <w:sz w:val="24"/>
          <w:szCs w:val="24"/>
        </w:rPr>
        <w:t>2.队伍结构</w:t>
      </w:r>
      <w:bookmarkEnd w:id="38"/>
      <w:bookmarkEnd w:id="39"/>
      <w:bookmarkEnd w:id="40"/>
      <w:bookmarkEnd w:id="41"/>
      <w:bookmarkEnd w:id="42"/>
    </w:p>
    <w:p>
      <w:pPr>
        <w:spacing w:line="400" w:lineRule="exact"/>
        <w:ind w:firstLine="480"/>
        <w:rPr>
          <w:color w:val="auto"/>
          <w:sz w:val="24"/>
          <w:szCs w:val="24"/>
        </w:rPr>
      </w:pPr>
      <w:r>
        <w:rPr>
          <w:rFonts w:hint="eastAsia"/>
          <w:color w:val="auto"/>
          <w:sz w:val="24"/>
          <w:szCs w:val="24"/>
        </w:rPr>
        <w:t>（1）职称结构：专任教师中，正高、副高职称人员</w:t>
      </w:r>
      <w:r>
        <w:rPr>
          <w:rFonts w:hint="eastAsia"/>
          <w:color w:val="auto"/>
          <w:sz w:val="24"/>
          <w:szCs w:val="24"/>
          <w:lang w:val="en-US" w:eastAsia="zh-CN"/>
        </w:rPr>
        <w:t>130</w:t>
      </w:r>
      <w:r>
        <w:rPr>
          <w:rFonts w:hint="eastAsia"/>
          <w:color w:val="auto"/>
          <w:sz w:val="24"/>
          <w:szCs w:val="24"/>
        </w:rPr>
        <w:t>人，占专任教师的</w:t>
      </w:r>
      <w:r>
        <w:rPr>
          <w:rFonts w:hint="eastAsia"/>
          <w:color w:val="auto"/>
          <w:sz w:val="24"/>
          <w:szCs w:val="24"/>
          <w:lang w:val="en-US" w:eastAsia="zh-CN"/>
        </w:rPr>
        <w:t>45.45</w:t>
      </w:r>
      <w:r>
        <w:rPr>
          <w:rFonts w:hint="eastAsia"/>
          <w:color w:val="auto"/>
          <w:sz w:val="24"/>
          <w:szCs w:val="24"/>
        </w:rPr>
        <w:t>%；中级职称人员</w:t>
      </w:r>
      <w:r>
        <w:rPr>
          <w:rFonts w:hint="eastAsia"/>
          <w:color w:val="auto"/>
          <w:sz w:val="24"/>
          <w:szCs w:val="24"/>
          <w:lang w:val="en-US" w:eastAsia="zh-CN"/>
        </w:rPr>
        <w:t>133</w:t>
      </w:r>
      <w:r>
        <w:rPr>
          <w:rFonts w:hint="eastAsia"/>
          <w:color w:val="auto"/>
          <w:sz w:val="24"/>
          <w:szCs w:val="24"/>
        </w:rPr>
        <w:t>人，占专任教师</w:t>
      </w:r>
      <w:r>
        <w:rPr>
          <w:rFonts w:hint="eastAsia"/>
          <w:color w:val="auto"/>
          <w:sz w:val="24"/>
          <w:szCs w:val="24"/>
          <w:lang w:val="en-US" w:eastAsia="zh-CN"/>
        </w:rPr>
        <w:t>46.50</w:t>
      </w:r>
      <w:r>
        <w:rPr>
          <w:rFonts w:hint="eastAsia"/>
          <w:color w:val="auto"/>
          <w:sz w:val="24"/>
          <w:szCs w:val="24"/>
        </w:rPr>
        <w:t>%，职称结构较为合理。</w:t>
      </w:r>
    </w:p>
    <w:p>
      <w:pPr>
        <w:spacing w:line="400" w:lineRule="exact"/>
        <w:ind w:firstLine="480"/>
        <w:rPr>
          <w:color w:val="auto"/>
          <w:sz w:val="24"/>
          <w:szCs w:val="24"/>
        </w:rPr>
      </w:pPr>
      <w:r>
        <w:rPr>
          <w:rFonts w:hint="eastAsia"/>
          <w:color w:val="auto"/>
          <w:sz w:val="24"/>
          <w:szCs w:val="24"/>
        </w:rPr>
        <w:t>（2）学位结构：专任教师中，具有博士学位</w:t>
      </w:r>
      <w:r>
        <w:rPr>
          <w:rFonts w:hint="eastAsia"/>
          <w:color w:val="auto"/>
          <w:sz w:val="24"/>
          <w:szCs w:val="24"/>
          <w:lang w:val="en-US" w:eastAsia="zh-CN"/>
        </w:rPr>
        <w:t>160</w:t>
      </w:r>
      <w:r>
        <w:rPr>
          <w:rFonts w:hint="eastAsia"/>
          <w:color w:val="auto"/>
          <w:sz w:val="24"/>
          <w:szCs w:val="24"/>
        </w:rPr>
        <w:t>人，硕士学位</w:t>
      </w:r>
      <w:r>
        <w:rPr>
          <w:rFonts w:hint="eastAsia"/>
          <w:color w:val="auto"/>
          <w:sz w:val="24"/>
          <w:szCs w:val="24"/>
          <w:lang w:val="en-US" w:eastAsia="zh-CN"/>
        </w:rPr>
        <w:t>119</w:t>
      </w:r>
      <w:r>
        <w:rPr>
          <w:rFonts w:hint="eastAsia"/>
          <w:color w:val="auto"/>
          <w:sz w:val="24"/>
          <w:szCs w:val="24"/>
        </w:rPr>
        <w:t>人，硕士及以上学位教师占专任教师</w:t>
      </w:r>
      <w:r>
        <w:rPr>
          <w:rFonts w:hint="eastAsia"/>
          <w:color w:val="auto"/>
          <w:sz w:val="24"/>
          <w:szCs w:val="24"/>
          <w:lang w:eastAsia="zh-CN"/>
        </w:rPr>
        <w:t>总数</w:t>
      </w:r>
      <w:r>
        <w:rPr>
          <w:rFonts w:hint="eastAsia"/>
          <w:color w:val="auto"/>
          <w:sz w:val="24"/>
          <w:szCs w:val="24"/>
        </w:rPr>
        <w:t>的</w:t>
      </w:r>
      <w:r>
        <w:rPr>
          <w:rFonts w:hint="eastAsia"/>
          <w:color w:val="auto"/>
          <w:sz w:val="24"/>
          <w:szCs w:val="24"/>
          <w:lang w:val="en-US" w:eastAsia="zh-CN"/>
        </w:rPr>
        <w:t>97.55</w:t>
      </w:r>
      <w:r>
        <w:rPr>
          <w:rFonts w:hint="eastAsia"/>
          <w:color w:val="auto"/>
          <w:sz w:val="24"/>
          <w:szCs w:val="24"/>
        </w:rPr>
        <w:t>%，学位结构进一步得到改善。</w:t>
      </w:r>
    </w:p>
    <w:p>
      <w:pPr>
        <w:spacing w:line="400" w:lineRule="exact"/>
        <w:ind w:firstLine="480"/>
        <w:rPr>
          <w:color w:val="auto"/>
          <w:sz w:val="24"/>
          <w:szCs w:val="24"/>
        </w:rPr>
      </w:pPr>
      <w:r>
        <w:rPr>
          <w:rFonts w:hint="eastAsia"/>
          <w:color w:val="auto"/>
          <w:sz w:val="24"/>
          <w:szCs w:val="24"/>
        </w:rPr>
        <w:t>（3）年龄结构：学校通过培养和引进中青年学术带头人和学术骨干，进一步优化了师资队伍年龄结构。专任教师中，35岁以下的青年教师</w:t>
      </w:r>
      <w:r>
        <w:rPr>
          <w:rFonts w:hint="eastAsia"/>
          <w:color w:val="auto"/>
          <w:sz w:val="24"/>
          <w:szCs w:val="24"/>
          <w:lang w:val="en-US" w:eastAsia="zh-CN"/>
        </w:rPr>
        <w:t>72</w:t>
      </w:r>
      <w:r>
        <w:rPr>
          <w:rFonts w:hint="eastAsia"/>
          <w:color w:val="auto"/>
          <w:sz w:val="24"/>
          <w:szCs w:val="24"/>
        </w:rPr>
        <w:t>人，占比</w:t>
      </w:r>
      <w:r>
        <w:rPr>
          <w:rFonts w:hint="eastAsia"/>
          <w:color w:val="auto"/>
          <w:sz w:val="24"/>
          <w:szCs w:val="24"/>
          <w:lang w:val="en-US" w:eastAsia="zh-CN"/>
        </w:rPr>
        <w:t>25.17</w:t>
      </w:r>
      <w:r>
        <w:rPr>
          <w:rFonts w:hint="eastAsia"/>
          <w:color w:val="auto"/>
          <w:sz w:val="24"/>
          <w:szCs w:val="24"/>
        </w:rPr>
        <w:t>%；36-45岁教师</w:t>
      </w:r>
      <w:r>
        <w:rPr>
          <w:rFonts w:hint="eastAsia"/>
          <w:color w:val="auto"/>
          <w:sz w:val="24"/>
          <w:szCs w:val="24"/>
          <w:lang w:val="en-US" w:eastAsia="zh-CN"/>
        </w:rPr>
        <w:t>150</w:t>
      </w:r>
      <w:r>
        <w:rPr>
          <w:rFonts w:hint="eastAsia"/>
          <w:color w:val="auto"/>
          <w:sz w:val="24"/>
          <w:szCs w:val="24"/>
        </w:rPr>
        <w:t>人，占比</w:t>
      </w:r>
      <w:r>
        <w:rPr>
          <w:rFonts w:hint="eastAsia"/>
          <w:color w:val="auto"/>
          <w:sz w:val="24"/>
          <w:szCs w:val="24"/>
          <w:lang w:val="en-US" w:eastAsia="zh-CN"/>
        </w:rPr>
        <w:t>52.45</w:t>
      </w:r>
      <w:r>
        <w:rPr>
          <w:rFonts w:hint="eastAsia"/>
          <w:color w:val="auto"/>
          <w:sz w:val="24"/>
          <w:szCs w:val="24"/>
        </w:rPr>
        <w:t>%；46岁及以上教师</w:t>
      </w:r>
      <w:r>
        <w:rPr>
          <w:rFonts w:hint="eastAsia"/>
          <w:color w:val="auto"/>
          <w:sz w:val="24"/>
          <w:szCs w:val="24"/>
          <w:lang w:val="en-US" w:eastAsia="zh-CN"/>
        </w:rPr>
        <w:t>64</w:t>
      </w:r>
      <w:r>
        <w:rPr>
          <w:rFonts w:hint="eastAsia"/>
          <w:color w:val="auto"/>
          <w:sz w:val="24"/>
          <w:szCs w:val="24"/>
        </w:rPr>
        <w:t>人，占比</w:t>
      </w:r>
      <w:r>
        <w:rPr>
          <w:rFonts w:hint="eastAsia"/>
          <w:color w:val="auto"/>
          <w:sz w:val="24"/>
          <w:szCs w:val="24"/>
          <w:lang w:val="en-US" w:eastAsia="zh-CN"/>
        </w:rPr>
        <w:t>22.38</w:t>
      </w:r>
      <w:r>
        <w:rPr>
          <w:rFonts w:hint="eastAsia"/>
          <w:color w:val="auto"/>
          <w:sz w:val="24"/>
          <w:szCs w:val="24"/>
        </w:rPr>
        <w:t>%。</w:t>
      </w:r>
    </w:p>
    <w:p>
      <w:pPr>
        <w:spacing w:line="400" w:lineRule="exact"/>
        <w:ind w:firstLine="480"/>
        <w:rPr>
          <w:color w:val="auto"/>
          <w:sz w:val="24"/>
          <w:szCs w:val="24"/>
        </w:rPr>
      </w:pPr>
      <w:r>
        <w:rPr>
          <w:rFonts w:hint="eastAsia"/>
          <w:color w:val="auto"/>
          <w:sz w:val="24"/>
          <w:szCs w:val="24"/>
        </w:rPr>
        <w:t>（4）学缘结构：学校积极引进高层次人才、接收国内外一流高校优秀毕业生，教师队伍学缘结构良好。</w:t>
      </w:r>
      <w:r>
        <w:rPr>
          <w:rFonts w:hint="eastAsia"/>
          <w:color w:val="auto"/>
          <w:sz w:val="24"/>
          <w:szCs w:val="24"/>
          <w:lang w:val="en-US" w:eastAsia="zh-CN"/>
        </w:rPr>
        <w:t>286</w:t>
      </w:r>
      <w:r>
        <w:rPr>
          <w:rFonts w:hint="eastAsia"/>
          <w:color w:val="auto"/>
          <w:sz w:val="24"/>
          <w:szCs w:val="24"/>
        </w:rPr>
        <w:t>名专任教师中，毕业于境内其他高校的教师</w:t>
      </w:r>
      <w:r>
        <w:rPr>
          <w:rFonts w:hint="eastAsia"/>
          <w:color w:val="auto"/>
          <w:sz w:val="24"/>
          <w:szCs w:val="24"/>
          <w:lang w:val="en-US" w:eastAsia="zh-CN"/>
        </w:rPr>
        <w:t>267</w:t>
      </w:r>
      <w:r>
        <w:rPr>
          <w:rFonts w:hint="eastAsia"/>
          <w:color w:val="auto"/>
          <w:sz w:val="24"/>
          <w:szCs w:val="24"/>
        </w:rPr>
        <w:t>人，境外高校的</w:t>
      </w:r>
      <w:r>
        <w:rPr>
          <w:rFonts w:hint="eastAsia"/>
          <w:color w:val="auto"/>
          <w:sz w:val="24"/>
          <w:szCs w:val="24"/>
          <w:lang w:val="en-US" w:eastAsia="zh-CN"/>
        </w:rPr>
        <w:t>19</w:t>
      </w:r>
      <w:r>
        <w:rPr>
          <w:rFonts w:hint="eastAsia"/>
          <w:color w:val="auto"/>
          <w:sz w:val="24"/>
          <w:szCs w:val="24"/>
        </w:rPr>
        <w:t>人，合计占比100%。</w:t>
      </w:r>
    </w:p>
    <w:p>
      <w:pPr>
        <w:pStyle w:val="4"/>
        <w:spacing w:before="0" w:after="0" w:line="240" w:lineRule="auto"/>
        <w:rPr>
          <w:rFonts w:ascii="黑体" w:hAnsi="黑体" w:eastAsia="黑体"/>
          <w:b w:val="0"/>
          <w:color w:val="auto"/>
          <w:sz w:val="24"/>
          <w:szCs w:val="24"/>
        </w:rPr>
      </w:pPr>
      <w:bookmarkStart w:id="43" w:name="_Toc21797"/>
      <w:bookmarkStart w:id="44" w:name="_Toc14006"/>
      <w:bookmarkStart w:id="45" w:name="_Toc21458"/>
      <w:bookmarkStart w:id="46" w:name="_Toc18348"/>
      <w:bookmarkStart w:id="47" w:name="_Toc17516"/>
      <w:r>
        <w:rPr>
          <w:rFonts w:hint="eastAsia" w:ascii="黑体" w:hAnsi="黑体" w:eastAsia="黑体"/>
          <w:b w:val="0"/>
          <w:color w:val="auto"/>
          <w:sz w:val="24"/>
          <w:szCs w:val="24"/>
        </w:rPr>
        <w:t>3.教师发展与培训</w:t>
      </w:r>
      <w:bookmarkEnd w:id="43"/>
      <w:bookmarkEnd w:id="44"/>
      <w:bookmarkEnd w:id="45"/>
      <w:bookmarkEnd w:id="46"/>
      <w:bookmarkEnd w:id="47"/>
    </w:p>
    <w:p>
      <w:pPr>
        <w:spacing w:line="400" w:lineRule="exact"/>
        <w:ind w:firstLine="480" w:firstLineChars="200"/>
        <w:rPr>
          <w:color w:val="auto"/>
          <w:sz w:val="24"/>
          <w:szCs w:val="24"/>
        </w:rPr>
      </w:pPr>
      <w:r>
        <w:rPr>
          <w:rFonts w:hint="eastAsia"/>
          <w:color w:val="auto"/>
          <w:sz w:val="24"/>
          <w:szCs w:val="24"/>
        </w:rPr>
        <w:t>学校重视教职工继续教育与培训。2017年度，学校用于教职工培训学习的经费支出为145万元，人均3120元。教师发展中心根据我校师资队伍发展现状，制定年度培训计划，配套相应考核办法，确保培训经费使用效益。2017-2018学年，学校分两批选拔和资助5名专任教师出国访学；资助外语教学部和高职学院5名英语教师出国进行为期4-6个月的语言培训；支持2名专任教师参加国家留学基金委出国访学项目。在国内培训方面，学校组织了中青年骨干教师理论培训班，</w:t>
      </w:r>
      <w:r>
        <w:rPr>
          <w:rFonts w:hint="eastAsia"/>
          <w:color w:val="auto"/>
          <w:sz w:val="24"/>
          <w:szCs w:val="24"/>
          <w:u w:val="none"/>
        </w:rPr>
        <w:t>对35位教学院（系</w:t>
      </w:r>
      <w:r>
        <w:rPr>
          <w:rFonts w:hint="eastAsia"/>
          <w:color w:val="auto"/>
          <w:sz w:val="24"/>
          <w:szCs w:val="24"/>
          <w:u w:val="none"/>
          <w:lang w:eastAsia="zh-CN"/>
        </w:rPr>
        <w:t>、部</w:t>
      </w:r>
      <w:r>
        <w:rPr>
          <w:rFonts w:hint="eastAsia"/>
          <w:color w:val="auto"/>
          <w:sz w:val="24"/>
          <w:szCs w:val="24"/>
          <w:u w:val="none"/>
        </w:rPr>
        <w:t>）</w:t>
      </w:r>
      <w:r>
        <w:rPr>
          <w:rFonts w:hint="eastAsia"/>
          <w:color w:val="auto"/>
          <w:sz w:val="24"/>
          <w:szCs w:val="24"/>
          <w:u w:val="none"/>
          <w:lang w:eastAsia="zh-CN"/>
        </w:rPr>
        <w:t>和</w:t>
      </w:r>
      <w:r>
        <w:rPr>
          <w:rFonts w:hint="eastAsia"/>
          <w:color w:val="auto"/>
          <w:sz w:val="24"/>
          <w:szCs w:val="24"/>
          <w:u w:val="none"/>
        </w:rPr>
        <w:t>职能部门</w:t>
      </w:r>
      <w:r>
        <w:rPr>
          <w:rFonts w:hint="eastAsia"/>
          <w:color w:val="auto"/>
          <w:sz w:val="24"/>
          <w:szCs w:val="24"/>
          <w:u w:val="none"/>
          <w:lang w:eastAsia="zh-CN"/>
        </w:rPr>
        <w:t>思政工作</w:t>
      </w:r>
      <w:r>
        <w:rPr>
          <w:rFonts w:hint="eastAsia"/>
          <w:color w:val="auto"/>
          <w:sz w:val="24"/>
          <w:szCs w:val="24"/>
          <w:u w:val="none"/>
        </w:rPr>
        <w:t>教师进行思想政治培训；</w:t>
      </w:r>
      <w:r>
        <w:rPr>
          <w:rFonts w:hint="eastAsia"/>
          <w:color w:val="auto"/>
          <w:sz w:val="24"/>
          <w:szCs w:val="24"/>
        </w:rPr>
        <w:t>组织了党的十九大精神专题培训班，对27位教学院（系、部）党总支书记（副书记）、职能部门副处级以上干部开展专题培训；组织了各部门负责人参加北京市教工委学习贯彻党的十九大精神专题培训班；组织了6名教师参加北京市哲学社会科学教学科研骨干研修班；组织46名教师赴厦门大学参加骨干教师专业能力提升研修班；组织教务处等主要教学管理部门工作人员及各院（系、部）教学秘书等31人赴北京大学参加教学管理人员能力提升研修班。2018年我校一名教师荣获第六届北京高校辅导员素质能力大赛一等奖、第七届全国高校辅导员素质能力大赛三等奖</w:t>
      </w:r>
      <w:r>
        <w:rPr>
          <w:rFonts w:hint="eastAsia"/>
          <w:color w:val="auto"/>
          <w:sz w:val="24"/>
          <w:szCs w:val="24"/>
          <w:lang w:eastAsia="zh-CN"/>
        </w:rPr>
        <w:t>；</w:t>
      </w:r>
      <w:r>
        <w:rPr>
          <w:rFonts w:hint="eastAsia"/>
          <w:color w:val="auto"/>
          <w:sz w:val="24"/>
          <w:szCs w:val="24"/>
        </w:rPr>
        <w:t>一名教师荣获第四届北京高校数学微课程教学设计竞赛二等奖。</w:t>
      </w:r>
    </w:p>
    <w:p>
      <w:pPr>
        <w:pStyle w:val="3"/>
        <w:spacing w:before="0" w:after="0" w:line="240" w:lineRule="auto"/>
        <w:rPr>
          <w:rFonts w:ascii="黑体" w:hAnsi="黑体" w:eastAsia="黑体"/>
          <w:color w:val="auto"/>
          <w:sz w:val="28"/>
          <w:szCs w:val="28"/>
        </w:rPr>
      </w:pPr>
      <w:bookmarkStart w:id="48" w:name="_Toc4596_WPSOffice_Level2"/>
      <w:bookmarkStart w:id="49" w:name="_Toc3245_WPSOffice_Level2"/>
      <w:bookmarkStart w:id="50" w:name="_Toc9422"/>
      <w:bookmarkStart w:id="51" w:name="_Toc16715"/>
      <w:bookmarkStart w:id="52" w:name="_Toc4492"/>
      <w:r>
        <w:rPr>
          <w:rFonts w:hint="eastAsia" w:ascii="黑体" w:hAnsi="黑体" w:eastAsia="黑体"/>
          <w:b w:val="0"/>
          <w:color w:val="auto"/>
          <w:sz w:val="28"/>
          <w:szCs w:val="28"/>
        </w:rPr>
        <w:t>（二）教学条件</w:t>
      </w:r>
      <w:bookmarkEnd w:id="48"/>
      <w:bookmarkEnd w:id="49"/>
      <w:bookmarkEnd w:id="50"/>
      <w:bookmarkEnd w:id="51"/>
      <w:bookmarkEnd w:id="52"/>
    </w:p>
    <w:p>
      <w:pPr>
        <w:pStyle w:val="4"/>
        <w:adjustRightInd w:val="0"/>
        <w:snapToGrid w:val="0"/>
        <w:spacing w:before="0" w:after="0" w:line="240" w:lineRule="auto"/>
        <w:rPr>
          <w:rFonts w:ascii="黑体" w:hAnsi="黑体" w:eastAsia="黑体"/>
          <w:b w:val="0"/>
          <w:color w:val="auto"/>
          <w:sz w:val="24"/>
          <w:szCs w:val="24"/>
        </w:rPr>
      </w:pPr>
      <w:bookmarkStart w:id="53" w:name="_Toc16860"/>
      <w:bookmarkStart w:id="54" w:name="_Toc24789"/>
      <w:bookmarkStart w:id="55" w:name="_Toc10733"/>
      <w:bookmarkStart w:id="56" w:name="_Toc28165"/>
      <w:bookmarkStart w:id="57" w:name="_Toc28239"/>
      <w:r>
        <w:rPr>
          <w:rFonts w:hint="eastAsia" w:ascii="黑体" w:hAnsi="黑体" w:eastAsia="黑体"/>
          <w:b w:val="0"/>
          <w:color w:val="auto"/>
          <w:sz w:val="24"/>
          <w:szCs w:val="24"/>
        </w:rPr>
        <w:t>1.经费投入</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eastAsia="宋体" w:cs="Times New Roman"/>
          <w:color w:val="auto"/>
          <w:sz w:val="24"/>
        </w:rPr>
      </w:pPr>
      <w:r>
        <w:rPr>
          <w:rFonts w:hint="eastAsia" w:ascii="宋体" w:hAnsi="宋体" w:eastAsia="宋体" w:cs="Times New Roman"/>
          <w:color w:val="auto"/>
          <w:sz w:val="24"/>
        </w:rPr>
        <w:t>学校逐年加大本科教学经费投入。2017年学校本科教学日常运行支出总额</w:t>
      </w:r>
      <w:r>
        <w:rPr>
          <w:rFonts w:hint="eastAsia" w:ascii="宋体" w:hAnsi="宋体" w:eastAsia="宋体" w:cs="Times New Roman"/>
          <w:color w:val="auto"/>
          <w:sz w:val="24"/>
          <w:lang w:val="en-US" w:eastAsia="zh-CN"/>
        </w:rPr>
        <w:t>2157.11</w:t>
      </w:r>
      <w:r>
        <w:rPr>
          <w:rFonts w:hint="eastAsia" w:ascii="宋体" w:hAnsi="宋体" w:eastAsia="宋体" w:cs="Times New Roman"/>
          <w:color w:val="auto"/>
          <w:sz w:val="24"/>
        </w:rPr>
        <w:t>万元，生</w:t>
      </w:r>
      <w:r>
        <w:rPr>
          <w:rFonts w:hint="eastAsia" w:ascii="宋体" w:hAnsi="宋体" w:eastAsia="宋体" w:cs="Times New Roman"/>
          <w:color w:val="auto"/>
          <w:sz w:val="24"/>
          <w:lang w:eastAsia="zh-CN"/>
        </w:rPr>
        <w:t>均</w:t>
      </w:r>
      <w:r>
        <w:rPr>
          <w:rFonts w:hint="eastAsia" w:ascii="宋体" w:hAnsi="宋体" w:eastAsia="宋体" w:cs="Times New Roman"/>
          <w:color w:val="auto"/>
          <w:sz w:val="24"/>
          <w:lang w:val="en-US" w:eastAsia="zh-CN"/>
        </w:rPr>
        <w:t>3421.27</w:t>
      </w:r>
      <w:r>
        <w:rPr>
          <w:rFonts w:hint="eastAsia" w:ascii="宋体" w:hAnsi="宋体" w:eastAsia="宋体" w:cs="Times New Roman"/>
          <w:color w:val="auto"/>
          <w:sz w:val="24"/>
        </w:rPr>
        <w:t>元；本科</w:t>
      </w:r>
      <w:r>
        <w:rPr>
          <w:rFonts w:hint="eastAsia" w:ascii="宋体" w:hAnsi="宋体" w:eastAsia="宋体" w:cs="Times New Roman"/>
          <w:color w:val="auto"/>
          <w:sz w:val="24"/>
          <w:lang w:eastAsia="zh-CN"/>
        </w:rPr>
        <w:t>实践教学支出（含</w:t>
      </w:r>
      <w:r>
        <w:rPr>
          <w:rFonts w:hint="eastAsia" w:ascii="宋体" w:hAnsi="宋体" w:eastAsia="宋体" w:cs="Times New Roman"/>
          <w:color w:val="auto"/>
          <w:sz w:val="24"/>
        </w:rPr>
        <w:t>实验及实习经费</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205.94</w:t>
      </w:r>
      <w:r>
        <w:rPr>
          <w:rFonts w:hint="eastAsia" w:ascii="宋体" w:hAnsi="宋体" w:eastAsia="宋体" w:cs="Times New Roman"/>
          <w:color w:val="auto"/>
          <w:sz w:val="24"/>
        </w:rPr>
        <w:t>万元，生均</w:t>
      </w:r>
      <w:r>
        <w:rPr>
          <w:rFonts w:hint="eastAsia" w:ascii="宋体" w:hAnsi="宋体" w:eastAsia="宋体" w:cs="Times New Roman"/>
          <w:color w:val="auto"/>
          <w:sz w:val="24"/>
          <w:lang w:eastAsia="zh-CN"/>
        </w:rPr>
        <w:t>实践教学</w:t>
      </w:r>
      <w:r>
        <w:rPr>
          <w:rFonts w:hint="eastAsia" w:ascii="宋体" w:hAnsi="宋体" w:eastAsia="宋体" w:cs="Times New Roman"/>
          <w:color w:val="auto"/>
          <w:sz w:val="24"/>
        </w:rPr>
        <w:t>经费为</w:t>
      </w:r>
      <w:r>
        <w:rPr>
          <w:rFonts w:hint="eastAsia" w:ascii="宋体" w:hAnsi="宋体" w:eastAsia="宋体" w:cs="Times New Roman"/>
          <w:color w:val="auto"/>
          <w:sz w:val="24"/>
          <w:lang w:val="en-US" w:eastAsia="zh-CN"/>
        </w:rPr>
        <w:t>436.04 元</w:t>
      </w:r>
      <w:r>
        <w:rPr>
          <w:rFonts w:hint="eastAsia" w:ascii="宋体" w:hAnsi="宋体" w:eastAsia="宋体" w:cs="Times New Roman"/>
          <w:color w:val="auto"/>
          <w:sz w:val="24"/>
        </w:rPr>
        <w:t>。各项费用较2015、2016年均有明显增长（见表1）。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eastAsia="宋体" w:cs="黑体"/>
          <w:b/>
          <w:color w:val="auto"/>
          <w:szCs w:val="21"/>
        </w:rPr>
      </w:pPr>
      <w:r>
        <w:rPr>
          <w:rFonts w:hint="eastAsia" w:ascii="宋体" w:hAnsi="宋体" w:eastAsia="宋体" w:cs="黑体"/>
          <w:b/>
          <w:color w:val="auto"/>
          <w:szCs w:val="21"/>
        </w:rPr>
        <w:t>表1: 教学经费概况一览表</w:t>
      </w:r>
    </w:p>
    <w:tbl>
      <w:tblPr>
        <w:tblStyle w:val="16"/>
        <w:tblW w:w="8230"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931"/>
        <w:gridCol w:w="1560"/>
        <w:gridCol w:w="1417"/>
        <w:gridCol w:w="13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543" w:hRule="exact"/>
          <w:jc w:val="center"/>
        </w:trPr>
        <w:tc>
          <w:tcPr>
            <w:tcW w:w="3931" w:type="dxa"/>
            <w:shd w:val="clear" w:color="auto" w:fill="4BACC6" w:themeFill="accent5"/>
          </w:tcPr>
          <w:p>
            <w:pPr>
              <w:keepNext w:val="0"/>
              <w:keepLines w:val="0"/>
              <w:pageBreakBefore w:val="0"/>
              <w:kinsoku/>
              <w:wordWrap/>
              <w:overflowPunct/>
              <w:topLinePunct w:val="0"/>
              <w:autoSpaceDE/>
              <w:autoSpaceDN/>
              <w:bidi w:val="0"/>
              <w:adjustRightInd/>
              <w:snapToGrid/>
              <w:spacing w:before="0" w:after="0" w:line="300" w:lineRule="exact"/>
              <w:jc w:val="center"/>
              <w:textAlignment w:val="auto"/>
              <w:outlineLvl w:val="9"/>
              <w:rPr>
                <w:rFonts w:ascii="Calibri" w:hAnsi="Calibri" w:eastAsia="宋体" w:cs="Times New Roman"/>
                <w:b w:val="0"/>
                <w:bCs w:val="0"/>
                <w:color w:val="auto"/>
                <w:szCs w:val="21"/>
              </w:rPr>
            </w:pPr>
            <w:r>
              <w:rPr>
                <w:rFonts w:ascii="Calibri" w:hAnsi="Calibri" w:eastAsia="宋体" w:cs="Times New Roman"/>
                <w:b/>
                <w:bCs/>
                <w:color w:val="auto"/>
                <w:szCs w:val="21"/>
                <w:lang w:val="zh-TW" w:eastAsia="zh-TW"/>
              </w:rPr>
              <w:t>项目</w:t>
            </w:r>
          </w:p>
        </w:tc>
        <w:tc>
          <w:tcPr>
            <w:tcW w:w="1560" w:type="dxa"/>
            <w:shd w:val="clear" w:color="auto" w:fill="4BACC6" w:themeFill="accent5"/>
            <w:vAlign w:val="top"/>
          </w:tcPr>
          <w:p>
            <w:pPr>
              <w:keepNext w:val="0"/>
              <w:keepLines w:val="0"/>
              <w:pageBreakBefore w:val="0"/>
              <w:kinsoku/>
              <w:wordWrap/>
              <w:overflowPunct/>
              <w:topLinePunct w:val="0"/>
              <w:autoSpaceDE/>
              <w:autoSpaceDN/>
              <w:bidi w:val="0"/>
              <w:adjustRightInd/>
              <w:snapToGrid/>
              <w:spacing w:before="0" w:after="0" w:line="300" w:lineRule="exact"/>
              <w:jc w:val="right"/>
              <w:textAlignment w:val="auto"/>
              <w:outlineLvl w:val="9"/>
              <w:rPr>
                <w:rFonts w:ascii="Calibri" w:hAnsi="Calibri" w:eastAsia="宋体" w:cs="Times New Roman"/>
                <w:b w:val="0"/>
                <w:bCs w:val="0"/>
                <w:color w:val="auto"/>
                <w:szCs w:val="21"/>
              </w:rPr>
            </w:pPr>
            <w:r>
              <w:rPr>
                <w:rFonts w:ascii="宋体" w:hAnsi="宋体" w:eastAsia="宋体" w:cs="宋体"/>
                <w:b/>
                <w:bCs/>
                <w:color w:val="auto"/>
                <w:szCs w:val="21"/>
              </w:rPr>
              <w:t>201</w:t>
            </w:r>
            <w:r>
              <w:rPr>
                <w:rFonts w:hint="eastAsia" w:ascii="宋体" w:hAnsi="宋体" w:eastAsia="宋体" w:cs="宋体"/>
                <w:b/>
                <w:bCs/>
                <w:color w:val="auto"/>
                <w:szCs w:val="21"/>
              </w:rPr>
              <w:t>5</w:t>
            </w:r>
            <w:r>
              <w:rPr>
                <w:rFonts w:ascii="Calibri" w:hAnsi="Calibri" w:eastAsia="宋体" w:cs="Times New Roman"/>
                <w:b/>
                <w:bCs/>
                <w:color w:val="auto"/>
                <w:szCs w:val="21"/>
                <w:lang w:val="zh-TW" w:eastAsia="zh-TW"/>
              </w:rPr>
              <w:t>年</w:t>
            </w:r>
          </w:p>
        </w:tc>
        <w:tc>
          <w:tcPr>
            <w:tcW w:w="1417" w:type="dxa"/>
            <w:shd w:val="clear" w:color="auto" w:fill="4BACC6" w:themeFill="accent5"/>
            <w:vAlign w:val="top"/>
          </w:tcPr>
          <w:p>
            <w:pPr>
              <w:keepNext w:val="0"/>
              <w:keepLines w:val="0"/>
              <w:pageBreakBefore w:val="0"/>
              <w:kinsoku/>
              <w:wordWrap/>
              <w:overflowPunct/>
              <w:topLinePunct w:val="0"/>
              <w:autoSpaceDE/>
              <w:autoSpaceDN/>
              <w:bidi w:val="0"/>
              <w:adjustRightInd/>
              <w:snapToGrid/>
              <w:spacing w:before="0" w:after="0" w:line="300" w:lineRule="exact"/>
              <w:jc w:val="right"/>
              <w:textAlignment w:val="auto"/>
              <w:outlineLvl w:val="9"/>
              <w:rPr>
                <w:rFonts w:ascii="Calibri" w:hAnsi="Calibri" w:eastAsia="宋体" w:cs="Times New Roman"/>
                <w:b w:val="0"/>
                <w:bCs w:val="0"/>
                <w:color w:val="auto"/>
                <w:szCs w:val="21"/>
              </w:rPr>
            </w:pPr>
            <w:r>
              <w:rPr>
                <w:rFonts w:ascii="宋体" w:hAnsi="宋体" w:eastAsia="宋体" w:cs="宋体"/>
                <w:b/>
                <w:bCs/>
                <w:color w:val="auto"/>
                <w:szCs w:val="21"/>
              </w:rPr>
              <w:t>201</w:t>
            </w:r>
            <w:r>
              <w:rPr>
                <w:rFonts w:hint="eastAsia" w:ascii="宋体" w:hAnsi="宋体" w:eastAsia="宋体" w:cs="宋体"/>
                <w:b/>
                <w:bCs/>
                <w:color w:val="auto"/>
                <w:szCs w:val="21"/>
              </w:rPr>
              <w:t>6</w:t>
            </w:r>
            <w:r>
              <w:rPr>
                <w:rFonts w:ascii="Calibri" w:hAnsi="Calibri" w:eastAsia="宋体" w:cs="Times New Roman"/>
                <w:b/>
                <w:bCs/>
                <w:color w:val="auto"/>
                <w:szCs w:val="21"/>
                <w:lang w:val="zh-TW" w:eastAsia="zh-TW"/>
              </w:rPr>
              <w:t>年</w:t>
            </w:r>
          </w:p>
        </w:tc>
        <w:tc>
          <w:tcPr>
            <w:tcW w:w="1322" w:type="dxa"/>
            <w:shd w:val="clear" w:color="auto" w:fill="4BACC6" w:themeFill="accent5"/>
            <w:vAlign w:val="top"/>
          </w:tcPr>
          <w:p>
            <w:pPr>
              <w:keepNext w:val="0"/>
              <w:keepLines w:val="0"/>
              <w:pageBreakBefore w:val="0"/>
              <w:kinsoku/>
              <w:wordWrap/>
              <w:overflowPunct/>
              <w:topLinePunct w:val="0"/>
              <w:autoSpaceDE/>
              <w:autoSpaceDN/>
              <w:bidi w:val="0"/>
              <w:adjustRightInd/>
              <w:snapToGrid/>
              <w:spacing w:before="0" w:after="0" w:line="300" w:lineRule="exact"/>
              <w:jc w:val="right"/>
              <w:textAlignment w:val="auto"/>
              <w:outlineLvl w:val="9"/>
              <w:rPr>
                <w:rFonts w:ascii="Calibri" w:hAnsi="Calibri" w:eastAsia="宋体" w:cs="Times New Roman"/>
                <w:b w:val="0"/>
                <w:bCs w:val="0"/>
                <w:color w:val="auto"/>
                <w:szCs w:val="21"/>
              </w:rPr>
            </w:pPr>
            <w:r>
              <w:rPr>
                <w:rFonts w:hint="eastAsia" w:ascii="宋体" w:hAnsi="宋体" w:eastAsia="宋体" w:cs="宋体"/>
                <w:b/>
                <w:bCs/>
                <w:color w:val="auto"/>
                <w:szCs w:val="21"/>
              </w:rPr>
              <w:t>2017年</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66" w:hRule="exact"/>
          <w:jc w:val="center"/>
        </w:trPr>
        <w:tc>
          <w:tcPr>
            <w:tcW w:w="3931" w:type="dxa"/>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Calibri" w:hAnsi="Calibri" w:eastAsia="宋体" w:cs="Times New Roman"/>
                <w:b/>
                <w:bCs/>
                <w:color w:val="auto"/>
                <w:szCs w:val="21"/>
              </w:rPr>
            </w:pPr>
            <w:r>
              <w:rPr>
                <w:rFonts w:ascii="Calibri" w:hAnsi="Calibri" w:eastAsia="宋体" w:cs="Times New Roman"/>
                <w:b/>
                <w:bCs/>
                <w:color w:val="auto"/>
                <w:szCs w:val="21"/>
                <w:lang w:val="zh-TW" w:eastAsia="zh-TW"/>
              </w:rPr>
              <w:t>教育经费总额</w:t>
            </w:r>
            <w:r>
              <w:rPr>
                <w:rFonts w:ascii="Calibri" w:hAnsi="Calibri" w:eastAsia="宋体" w:cs="Times New Roman"/>
                <w:b/>
                <w:bCs/>
                <w:color w:val="auto"/>
                <w:kern w:val="0"/>
                <w:szCs w:val="21"/>
                <w:lang w:val="zh-TW" w:eastAsia="zh-TW"/>
              </w:rPr>
              <w:t>（万元）</w:t>
            </w:r>
          </w:p>
        </w:tc>
        <w:tc>
          <w:tcPr>
            <w:tcW w:w="1560"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cs="宋体"/>
                <w:color w:val="auto"/>
              </w:rPr>
            </w:pPr>
            <w:r>
              <w:rPr>
                <w:rFonts w:hint="eastAsia" w:ascii="宋体" w:hAnsi="宋体" w:cs="宋体"/>
                <w:color w:val="auto"/>
              </w:rPr>
              <w:t>24,928.77</w:t>
            </w:r>
          </w:p>
        </w:tc>
        <w:tc>
          <w:tcPr>
            <w:tcW w:w="1417"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cs="宋体"/>
                <w:color w:val="auto"/>
              </w:rPr>
            </w:pPr>
            <w:r>
              <w:rPr>
                <w:rFonts w:hint="eastAsia" w:ascii="宋体" w:hAnsi="宋体" w:cs="宋体"/>
                <w:color w:val="auto"/>
              </w:rPr>
              <w:t>25,144.42</w:t>
            </w:r>
          </w:p>
        </w:tc>
        <w:tc>
          <w:tcPr>
            <w:tcW w:w="1322"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cs="宋体"/>
                <w:color w:val="auto"/>
              </w:rPr>
            </w:pPr>
            <w:r>
              <w:rPr>
                <w:rFonts w:hint="eastAsia" w:ascii="宋体" w:hAnsi="宋体" w:cs="宋体"/>
                <w:color w:val="auto"/>
              </w:rPr>
              <w:t>31,422.73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30" w:hRule="exact"/>
          <w:jc w:val="center"/>
        </w:trPr>
        <w:tc>
          <w:tcPr>
            <w:tcW w:w="3931" w:type="dxa"/>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Calibri" w:hAnsi="Calibri" w:eastAsia="宋体" w:cs="Times New Roman"/>
                <w:b/>
                <w:bCs/>
                <w:color w:val="auto"/>
                <w:szCs w:val="21"/>
              </w:rPr>
            </w:pPr>
            <w:r>
              <w:rPr>
                <w:rFonts w:ascii="Calibri" w:hAnsi="Calibri" w:eastAsia="宋体" w:cs="Times New Roman"/>
                <w:b/>
                <w:bCs/>
                <w:color w:val="auto"/>
                <w:szCs w:val="21"/>
                <w:lang w:val="zh-TW" w:eastAsia="zh-TW"/>
              </w:rPr>
              <w:t>本科教学</w:t>
            </w:r>
            <w:r>
              <w:rPr>
                <w:rFonts w:hint="eastAsia" w:ascii="Calibri" w:hAnsi="Calibri" w:eastAsia="宋体" w:cs="Times New Roman"/>
                <w:b/>
                <w:bCs/>
                <w:color w:val="auto"/>
                <w:szCs w:val="21"/>
                <w:lang w:val="zh-TW"/>
              </w:rPr>
              <w:t>日常运行</w:t>
            </w:r>
            <w:r>
              <w:rPr>
                <w:rFonts w:ascii="Calibri" w:hAnsi="Calibri" w:eastAsia="宋体" w:cs="Times New Roman"/>
                <w:b/>
                <w:bCs/>
                <w:color w:val="auto"/>
                <w:szCs w:val="21"/>
                <w:lang w:val="zh-TW" w:eastAsia="zh-TW"/>
              </w:rPr>
              <w:t>经费（万元）</w:t>
            </w:r>
          </w:p>
        </w:tc>
        <w:tc>
          <w:tcPr>
            <w:tcW w:w="1560"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ascii="Calibri" w:hAnsi="Calibri" w:eastAsia="宋体" w:cs="Times New Roman"/>
                <w:color w:val="auto"/>
                <w:szCs w:val="21"/>
              </w:rPr>
            </w:pPr>
            <w:r>
              <w:rPr>
                <w:rFonts w:hint="eastAsia" w:ascii="宋体" w:hAnsi="宋体" w:cs="宋体"/>
                <w:color w:val="auto"/>
              </w:rPr>
              <w:t>1,801.76</w:t>
            </w:r>
          </w:p>
        </w:tc>
        <w:tc>
          <w:tcPr>
            <w:tcW w:w="1417"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ascii="Calibri" w:hAnsi="Calibri" w:eastAsia="宋体" w:cs="Times New Roman"/>
                <w:color w:val="auto"/>
                <w:szCs w:val="21"/>
              </w:rPr>
            </w:pPr>
            <w:r>
              <w:rPr>
                <w:rFonts w:hint="eastAsia" w:ascii="宋体" w:hAnsi="宋体" w:cs="宋体"/>
                <w:color w:val="auto"/>
              </w:rPr>
              <w:t>1,934.75</w:t>
            </w:r>
          </w:p>
        </w:tc>
        <w:tc>
          <w:tcPr>
            <w:tcW w:w="1322"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ascii="Calibri" w:hAnsi="Calibri" w:eastAsia="宋体" w:cs="Times New Roman"/>
                <w:color w:val="auto"/>
                <w:szCs w:val="21"/>
              </w:rPr>
            </w:pPr>
            <w:r>
              <w:rPr>
                <w:rFonts w:hint="eastAsia" w:ascii="宋体" w:hAnsi="宋体" w:cs="宋体"/>
                <w:color w:val="auto"/>
              </w:rPr>
              <w:t>2,157.11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75" w:hRule="exact"/>
          <w:jc w:val="center"/>
        </w:trPr>
        <w:tc>
          <w:tcPr>
            <w:tcW w:w="3931" w:type="dxa"/>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Calibri" w:hAnsi="Calibri" w:eastAsia="宋体" w:cs="Times New Roman"/>
                <w:b/>
                <w:bCs/>
                <w:color w:val="auto"/>
                <w:szCs w:val="21"/>
                <w:lang w:val="zh-TW"/>
              </w:rPr>
            </w:pPr>
            <w:r>
              <w:rPr>
                <w:rFonts w:hint="eastAsia" w:ascii="Calibri" w:hAnsi="Calibri" w:eastAsia="宋体" w:cs="Times New Roman"/>
                <w:b/>
                <w:bCs/>
                <w:color w:val="auto"/>
                <w:szCs w:val="21"/>
                <w:lang w:val="zh-TW"/>
              </w:rPr>
              <w:t>生均本科教学日常运行支出（元）</w:t>
            </w:r>
          </w:p>
        </w:tc>
        <w:tc>
          <w:tcPr>
            <w:tcW w:w="1560"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ascii="Calibri" w:hAnsi="Calibri" w:eastAsia="宋体" w:cs="Times New Roman"/>
                <w:color w:val="auto"/>
                <w:szCs w:val="21"/>
              </w:rPr>
            </w:pPr>
            <w:r>
              <w:rPr>
                <w:rFonts w:hint="eastAsia" w:ascii="宋体" w:hAnsi="宋体" w:cs="宋体"/>
                <w:color w:val="auto"/>
                <w:kern w:val="0"/>
                <w:lang w:val="en-US" w:eastAsia="zh-CN"/>
              </w:rPr>
              <w:t>2842.79</w:t>
            </w:r>
          </w:p>
        </w:tc>
        <w:tc>
          <w:tcPr>
            <w:tcW w:w="1417"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ascii="Calibri" w:hAnsi="Calibri" w:eastAsia="宋体" w:cs="Times New Roman"/>
                <w:color w:val="auto"/>
                <w:szCs w:val="21"/>
              </w:rPr>
            </w:pPr>
            <w:r>
              <w:rPr>
                <w:rFonts w:hint="eastAsia" w:ascii="宋体" w:hAnsi="宋体" w:eastAsia="宋体" w:cs="宋体"/>
                <w:color w:val="auto"/>
                <w:kern w:val="0"/>
                <w:lang w:val="en-US" w:eastAsia="zh-CN"/>
              </w:rPr>
              <w:t>3000.07</w:t>
            </w:r>
          </w:p>
        </w:tc>
        <w:tc>
          <w:tcPr>
            <w:tcW w:w="1322"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ascii="Calibri" w:hAnsi="Calibri" w:eastAsia="宋体" w:cs="Times New Roman"/>
                <w:color w:val="auto"/>
                <w:szCs w:val="21"/>
                <w:lang w:val="en-US"/>
              </w:rPr>
            </w:pPr>
            <w:r>
              <w:rPr>
                <w:rFonts w:hint="eastAsia" w:ascii="宋体" w:hAnsi="宋体" w:cs="宋体"/>
                <w:color w:val="auto"/>
                <w:kern w:val="0"/>
                <w:lang w:val="en-US" w:eastAsia="zh-CN"/>
              </w:rPr>
              <w:t>3421.27</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75" w:hRule="exact"/>
          <w:jc w:val="center"/>
        </w:trPr>
        <w:tc>
          <w:tcPr>
            <w:tcW w:w="39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Calibri" w:hAnsi="Calibri" w:eastAsia="宋体" w:cs="Times New Roman"/>
                <w:b/>
                <w:bCs/>
                <w:color w:val="auto"/>
                <w:szCs w:val="21"/>
                <w:lang w:val="zh-TW"/>
              </w:rPr>
            </w:pPr>
            <w:r>
              <w:rPr>
                <w:rFonts w:hint="eastAsia" w:ascii="Calibri" w:hAnsi="Calibri" w:eastAsia="宋体" w:cs="Times New Roman"/>
                <w:b/>
                <w:bCs/>
                <w:color w:val="auto"/>
                <w:szCs w:val="21"/>
                <w:lang w:val="zh-TW" w:eastAsia="zh-TW"/>
              </w:rPr>
              <w:t>教学改革支出（万元）</w:t>
            </w:r>
          </w:p>
        </w:tc>
        <w:tc>
          <w:tcPr>
            <w:tcW w:w="1560" w:type="dxa"/>
            <w:vAlign w:val="top"/>
          </w:tcPr>
          <w:p>
            <w:pPr>
              <w:keepNext w:val="0"/>
              <w:keepLines w:val="0"/>
              <w:pageBreakBefore w:val="0"/>
              <w:widowControl/>
              <w:kinsoku/>
              <w:wordWrap/>
              <w:overflowPunct/>
              <w:topLinePunct w:val="0"/>
              <w:autoSpaceDE/>
              <w:autoSpaceDN/>
              <w:bidi w:val="0"/>
              <w:adjustRightInd/>
              <w:snapToGrid/>
              <w:spacing w:line="300" w:lineRule="exact"/>
              <w:jc w:val="right"/>
              <w:textAlignment w:val="auto"/>
              <w:outlineLvl w:val="9"/>
              <w:rPr>
                <w:rFonts w:hint="eastAsia" w:ascii="宋体" w:hAnsi="宋体" w:cs="宋体"/>
                <w:color w:val="auto"/>
                <w:kern w:val="0"/>
                <w:lang w:val="en-US" w:eastAsia="zh-CN"/>
              </w:rPr>
            </w:pPr>
            <w:r>
              <w:rPr>
                <w:rFonts w:hint="eastAsia" w:ascii="宋体" w:hAnsi="宋体" w:cs="宋体"/>
                <w:color w:val="auto"/>
                <w:kern w:val="0"/>
              </w:rPr>
              <w:t>99.38</w:t>
            </w:r>
          </w:p>
        </w:tc>
        <w:tc>
          <w:tcPr>
            <w:tcW w:w="1417" w:type="dxa"/>
            <w:vAlign w:val="top"/>
          </w:tcPr>
          <w:p>
            <w:pPr>
              <w:keepNext w:val="0"/>
              <w:keepLines w:val="0"/>
              <w:pageBreakBefore w:val="0"/>
              <w:widowControl/>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kern w:val="0"/>
                <w:lang w:val="en-US" w:eastAsia="zh-CN"/>
              </w:rPr>
            </w:pPr>
            <w:r>
              <w:rPr>
                <w:rFonts w:hint="eastAsia" w:ascii="宋体" w:hAnsi="宋体" w:cs="宋体"/>
                <w:color w:val="auto"/>
                <w:kern w:val="0"/>
              </w:rPr>
              <w:t>58.64</w:t>
            </w:r>
          </w:p>
        </w:tc>
        <w:tc>
          <w:tcPr>
            <w:tcW w:w="1322" w:type="dxa"/>
            <w:vAlign w:val="top"/>
          </w:tcPr>
          <w:p>
            <w:pPr>
              <w:keepNext w:val="0"/>
              <w:keepLines w:val="0"/>
              <w:pageBreakBefore w:val="0"/>
              <w:widowControl/>
              <w:kinsoku/>
              <w:wordWrap/>
              <w:overflowPunct/>
              <w:topLinePunct w:val="0"/>
              <w:autoSpaceDE/>
              <w:autoSpaceDN/>
              <w:bidi w:val="0"/>
              <w:adjustRightInd/>
              <w:snapToGrid/>
              <w:spacing w:line="300" w:lineRule="exact"/>
              <w:jc w:val="right"/>
              <w:textAlignment w:val="auto"/>
              <w:outlineLvl w:val="9"/>
              <w:rPr>
                <w:rFonts w:hint="eastAsia" w:ascii="宋体" w:hAnsi="宋体" w:cs="宋体"/>
                <w:color w:val="auto"/>
                <w:kern w:val="0"/>
                <w:lang w:val="en-US" w:eastAsia="zh-CN"/>
              </w:rPr>
            </w:pPr>
            <w:r>
              <w:rPr>
                <w:rFonts w:hint="eastAsia" w:ascii="宋体" w:hAnsi="宋体" w:cs="宋体"/>
                <w:color w:val="auto"/>
                <w:kern w:val="0"/>
              </w:rPr>
              <w:t>60.31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75" w:hRule="exact"/>
          <w:jc w:val="center"/>
        </w:trPr>
        <w:tc>
          <w:tcPr>
            <w:tcW w:w="39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Calibri" w:hAnsi="Calibri" w:eastAsia="宋体" w:cs="Times New Roman"/>
                <w:b/>
                <w:bCs/>
                <w:color w:val="auto"/>
                <w:szCs w:val="21"/>
                <w:lang w:val="zh-TW"/>
              </w:rPr>
            </w:pPr>
            <w:r>
              <w:rPr>
                <w:rFonts w:hint="eastAsia" w:ascii="Calibri" w:hAnsi="Calibri" w:eastAsia="宋体" w:cs="Times New Roman"/>
                <w:b/>
                <w:bCs/>
                <w:color w:val="auto"/>
                <w:szCs w:val="21"/>
                <w:lang w:val="zh-TW" w:eastAsia="zh-TW"/>
              </w:rPr>
              <w:t>专业建设支出（万元）</w:t>
            </w:r>
          </w:p>
        </w:tc>
        <w:tc>
          <w:tcPr>
            <w:tcW w:w="1560" w:type="dxa"/>
            <w:vAlign w:val="top"/>
          </w:tcPr>
          <w:p>
            <w:pPr>
              <w:keepNext w:val="0"/>
              <w:keepLines w:val="0"/>
              <w:pageBreakBefore w:val="0"/>
              <w:widowControl/>
              <w:kinsoku/>
              <w:wordWrap/>
              <w:overflowPunct/>
              <w:topLinePunct w:val="0"/>
              <w:autoSpaceDE/>
              <w:autoSpaceDN/>
              <w:bidi w:val="0"/>
              <w:adjustRightInd/>
              <w:snapToGrid/>
              <w:spacing w:line="300" w:lineRule="exact"/>
              <w:jc w:val="right"/>
              <w:textAlignment w:val="auto"/>
              <w:outlineLvl w:val="9"/>
              <w:rPr>
                <w:rFonts w:hint="eastAsia" w:ascii="宋体" w:hAnsi="宋体" w:cs="宋体"/>
                <w:color w:val="auto"/>
                <w:kern w:val="0"/>
                <w:lang w:val="en-US" w:eastAsia="zh-CN"/>
              </w:rPr>
            </w:pPr>
            <w:r>
              <w:rPr>
                <w:rFonts w:hint="eastAsia" w:ascii="宋体" w:hAnsi="宋体" w:cs="宋体"/>
                <w:color w:val="auto"/>
                <w:kern w:val="0"/>
              </w:rPr>
              <w:t>65.62</w:t>
            </w:r>
          </w:p>
        </w:tc>
        <w:tc>
          <w:tcPr>
            <w:tcW w:w="1417" w:type="dxa"/>
            <w:vAlign w:val="top"/>
          </w:tcPr>
          <w:p>
            <w:pPr>
              <w:keepNext w:val="0"/>
              <w:keepLines w:val="0"/>
              <w:pageBreakBefore w:val="0"/>
              <w:widowControl/>
              <w:kinsoku/>
              <w:wordWrap/>
              <w:overflowPunct/>
              <w:topLinePunct w:val="0"/>
              <w:autoSpaceDE/>
              <w:autoSpaceDN/>
              <w:bidi w:val="0"/>
              <w:adjustRightInd/>
              <w:snapToGrid/>
              <w:spacing w:line="300" w:lineRule="exact"/>
              <w:jc w:val="right"/>
              <w:textAlignment w:val="auto"/>
              <w:outlineLvl w:val="9"/>
              <w:rPr>
                <w:rFonts w:hint="eastAsia" w:ascii="宋体" w:hAnsi="宋体" w:eastAsia="宋体" w:cs="宋体"/>
                <w:color w:val="auto"/>
                <w:kern w:val="0"/>
                <w:lang w:val="en-US" w:eastAsia="zh-CN"/>
              </w:rPr>
            </w:pPr>
            <w:r>
              <w:rPr>
                <w:rFonts w:ascii="宋体" w:hAnsi="宋体" w:cs="宋体"/>
                <w:color w:val="auto"/>
                <w:kern w:val="0"/>
              </w:rPr>
              <w:t>179.87</w:t>
            </w:r>
          </w:p>
        </w:tc>
        <w:tc>
          <w:tcPr>
            <w:tcW w:w="1322" w:type="dxa"/>
            <w:vAlign w:val="top"/>
          </w:tcPr>
          <w:p>
            <w:pPr>
              <w:keepNext w:val="0"/>
              <w:keepLines w:val="0"/>
              <w:pageBreakBefore w:val="0"/>
              <w:widowControl/>
              <w:kinsoku/>
              <w:wordWrap/>
              <w:overflowPunct/>
              <w:topLinePunct w:val="0"/>
              <w:autoSpaceDE/>
              <w:autoSpaceDN/>
              <w:bidi w:val="0"/>
              <w:adjustRightInd/>
              <w:snapToGrid/>
              <w:spacing w:line="300" w:lineRule="exact"/>
              <w:jc w:val="right"/>
              <w:textAlignment w:val="auto"/>
              <w:outlineLvl w:val="9"/>
              <w:rPr>
                <w:rFonts w:hint="eastAsia" w:ascii="宋体" w:hAnsi="宋体" w:cs="宋体"/>
                <w:color w:val="auto"/>
                <w:kern w:val="0"/>
                <w:lang w:val="en-US" w:eastAsia="zh-CN"/>
              </w:rPr>
            </w:pPr>
            <w:r>
              <w:rPr>
                <w:rFonts w:ascii="宋体" w:hAnsi="宋体" w:cs="宋体"/>
                <w:color w:val="auto"/>
                <w:kern w:val="0"/>
              </w:rPr>
              <w:t>159.66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24" w:hRule="exact"/>
          <w:jc w:val="center"/>
        </w:trPr>
        <w:tc>
          <w:tcPr>
            <w:tcW w:w="3931" w:type="dxa"/>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Calibri" w:hAnsi="Calibri" w:eastAsia="宋体" w:cs="Times New Roman"/>
                <w:b/>
                <w:bCs/>
                <w:color w:val="auto"/>
                <w:szCs w:val="21"/>
              </w:rPr>
            </w:pPr>
            <w:r>
              <w:rPr>
                <w:rFonts w:hint="eastAsia" w:ascii="Calibri" w:hAnsi="Calibri" w:eastAsia="宋体" w:cs="Times New Roman"/>
                <w:b/>
                <w:bCs/>
                <w:color w:val="auto"/>
                <w:szCs w:val="21"/>
                <w:lang w:val="zh-TW"/>
              </w:rPr>
              <w:t>本科</w:t>
            </w:r>
            <w:r>
              <w:rPr>
                <w:rFonts w:hint="eastAsia" w:ascii="Calibri" w:hAnsi="Calibri" w:eastAsia="宋体" w:cs="Times New Roman"/>
                <w:b/>
                <w:bCs/>
                <w:color w:val="auto"/>
                <w:szCs w:val="21"/>
                <w:lang w:val="zh-TW" w:eastAsia="zh-CN"/>
              </w:rPr>
              <w:t>实践教学支出</w:t>
            </w:r>
            <w:r>
              <w:rPr>
                <w:rFonts w:ascii="Calibri" w:hAnsi="Calibri" w:eastAsia="宋体" w:cs="Times New Roman"/>
                <w:b/>
                <w:bCs/>
                <w:color w:val="auto"/>
                <w:szCs w:val="21"/>
                <w:lang w:val="zh-TW" w:eastAsia="zh-TW"/>
              </w:rPr>
              <w:t>（万元）</w:t>
            </w:r>
          </w:p>
        </w:tc>
        <w:tc>
          <w:tcPr>
            <w:tcW w:w="1560" w:type="dxa"/>
            <w:vAlign w:val="top"/>
          </w:tcPr>
          <w:p>
            <w:pPr>
              <w:keepNext w:val="0"/>
              <w:keepLines w:val="0"/>
              <w:pageBreakBefore w:val="0"/>
              <w:widowControl/>
              <w:kinsoku/>
              <w:wordWrap/>
              <w:overflowPunct/>
              <w:topLinePunct w:val="0"/>
              <w:autoSpaceDE/>
              <w:autoSpaceDN/>
              <w:bidi w:val="0"/>
              <w:adjustRightInd/>
              <w:snapToGrid/>
              <w:spacing w:line="300" w:lineRule="exact"/>
              <w:jc w:val="right"/>
              <w:textAlignment w:val="auto"/>
              <w:outlineLvl w:val="9"/>
              <w:rPr>
                <w:rFonts w:ascii="Calibri" w:hAnsi="Calibri" w:eastAsia="宋体" w:cs="Times New Roman"/>
                <w:color w:val="auto"/>
                <w:szCs w:val="21"/>
              </w:rPr>
            </w:pPr>
            <w:r>
              <w:rPr>
                <w:rFonts w:hint="eastAsia" w:ascii="宋体" w:hAnsi="宋体" w:cs="宋体"/>
                <w:color w:val="auto"/>
                <w:kern w:val="0"/>
              </w:rPr>
              <w:t>121.57</w:t>
            </w:r>
          </w:p>
        </w:tc>
        <w:tc>
          <w:tcPr>
            <w:tcW w:w="1417" w:type="dxa"/>
            <w:vAlign w:val="top"/>
          </w:tcPr>
          <w:p>
            <w:pPr>
              <w:keepNext w:val="0"/>
              <w:keepLines w:val="0"/>
              <w:pageBreakBefore w:val="0"/>
              <w:widowControl/>
              <w:kinsoku/>
              <w:wordWrap/>
              <w:overflowPunct/>
              <w:topLinePunct w:val="0"/>
              <w:autoSpaceDE/>
              <w:autoSpaceDN/>
              <w:bidi w:val="0"/>
              <w:adjustRightInd/>
              <w:snapToGrid/>
              <w:spacing w:line="300" w:lineRule="exact"/>
              <w:jc w:val="right"/>
              <w:textAlignment w:val="auto"/>
              <w:outlineLvl w:val="9"/>
              <w:rPr>
                <w:rFonts w:ascii="Calibri" w:hAnsi="Calibri" w:eastAsia="宋体" w:cs="Times New Roman"/>
                <w:color w:val="auto"/>
                <w:szCs w:val="21"/>
              </w:rPr>
            </w:pPr>
            <w:r>
              <w:rPr>
                <w:rFonts w:ascii="宋体" w:hAnsi="宋体" w:cs="宋体"/>
                <w:color w:val="auto"/>
                <w:kern w:val="0"/>
              </w:rPr>
              <w:t>97.18</w:t>
            </w:r>
          </w:p>
        </w:tc>
        <w:tc>
          <w:tcPr>
            <w:tcW w:w="1322" w:type="dxa"/>
            <w:vAlign w:val="top"/>
          </w:tcPr>
          <w:p>
            <w:pPr>
              <w:keepNext w:val="0"/>
              <w:keepLines w:val="0"/>
              <w:pageBreakBefore w:val="0"/>
              <w:widowControl/>
              <w:kinsoku/>
              <w:wordWrap/>
              <w:overflowPunct/>
              <w:topLinePunct w:val="0"/>
              <w:autoSpaceDE/>
              <w:autoSpaceDN/>
              <w:bidi w:val="0"/>
              <w:adjustRightInd/>
              <w:snapToGrid/>
              <w:spacing w:line="300" w:lineRule="exact"/>
              <w:jc w:val="right"/>
              <w:textAlignment w:val="auto"/>
              <w:outlineLvl w:val="9"/>
              <w:rPr>
                <w:rFonts w:ascii="Calibri" w:hAnsi="Calibri" w:eastAsia="宋体" w:cs="Times New Roman"/>
                <w:color w:val="auto"/>
                <w:szCs w:val="21"/>
              </w:rPr>
            </w:pPr>
            <w:r>
              <w:rPr>
                <w:rFonts w:hint="eastAsia" w:ascii="宋体" w:hAnsi="宋体" w:cs="宋体"/>
                <w:color w:val="auto"/>
                <w:kern w:val="0"/>
              </w:rPr>
              <w:t>205.94</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443" w:hRule="exact"/>
          <w:jc w:val="center"/>
        </w:trPr>
        <w:tc>
          <w:tcPr>
            <w:tcW w:w="3931" w:type="dxa"/>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Calibri" w:hAnsi="Calibri" w:eastAsia="宋体" w:cs="Times New Roman"/>
                <w:b/>
                <w:bCs/>
                <w:color w:val="auto"/>
                <w:szCs w:val="21"/>
              </w:rPr>
            </w:pPr>
            <w:r>
              <w:rPr>
                <w:rFonts w:hint="eastAsia" w:ascii="Calibri" w:hAnsi="Calibri" w:eastAsia="宋体" w:cs="Times New Roman"/>
                <w:b/>
                <w:bCs/>
                <w:color w:val="auto"/>
                <w:szCs w:val="21"/>
                <w:lang w:val="zh-TW"/>
              </w:rPr>
              <w:t>生均本科实验及实习经费</w:t>
            </w:r>
            <w:r>
              <w:rPr>
                <w:rFonts w:ascii="Calibri" w:hAnsi="Calibri" w:eastAsia="宋体" w:cs="Times New Roman"/>
                <w:b/>
                <w:bCs/>
                <w:color w:val="auto"/>
                <w:szCs w:val="21"/>
                <w:lang w:val="zh-TW" w:eastAsia="zh-TW"/>
              </w:rPr>
              <w:t>（元）</w:t>
            </w:r>
          </w:p>
        </w:tc>
        <w:tc>
          <w:tcPr>
            <w:tcW w:w="1560"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cs="宋体"/>
                <w:color w:val="auto"/>
              </w:rPr>
            </w:pPr>
            <w:r>
              <w:rPr>
                <w:rFonts w:hint="eastAsia" w:ascii="宋体" w:hAnsi="宋体" w:cs="宋体"/>
                <w:color w:val="auto"/>
              </w:rPr>
              <w:t>135.81</w:t>
            </w:r>
          </w:p>
        </w:tc>
        <w:tc>
          <w:tcPr>
            <w:tcW w:w="1417"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cs="宋体"/>
                <w:color w:val="auto"/>
              </w:rPr>
            </w:pPr>
            <w:r>
              <w:rPr>
                <w:rFonts w:hint="eastAsia" w:ascii="宋体" w:hAnsi="宋体" w:cs="宋体"/>
                <w:color w:val="auto"/>
              </w:rPr>
              <w:t>159.39</w:t>
            </w:r>
          </w:p>
        </w:tc>
        <w:tc>
          <w:tcPr>
            <w:tcW w:w="1322" w:type="dxa"/>
            <w:vAlign w:val="top"/>
          </w:tcPr>
          <w:p>
            <w:pPr>
              <w:keepNext w:val="0"/>
              <w:keepLines w:val="0"/>
              <w:pageBreakBefore w:val="0"/>
              <w:kinsoku/>
              <w:wordWrap/>
              <w:overflowPunct/>
              <w:topLinePunct w:val="0"/>
              <w:autoSpaceDE/>
              <w:autoSpaceDN/>
              <w:bidi w:val="0"/>
              <w:adjustRightInd/>
              <w:snapToGrid/>
              <w:spacing w:line="300" w:lineRule="exact"/>
              <w:jc w:val="right"/>
              <w:textAlignment w:val="auto"/>
              <w:outlineLvl w:val="9"/>
              <w:rPr>
                <w:rFonts w:hint="eastAsia" w:ascii="宋体" w:hAnsi="宋体" w:cs="宋体"/>
                <w:color w:val="auto"/>
                <w:lang w:val="en-US" w:eastAsia="zh-CN"/>
              </w:rPr>
            </w:pPr>
            <w:r>
              <w:rPr>
                <w:rFonts w:hint="eastAsia" w:ascii="宋体" w:hAnsi="宋体" w:cs="宋体"/>
                <w:color w:val="auto"/>
                <w:lang w:val="en-US" w:eastAsia="zh-CN"/>
              </w:rPr>
              <w:t>436.04</w:t>
            </w:r>
          </w:p>
        </w:tc>
      </w:tr>
    </w:tbl>
    <w:p>
      <w:pPr>
        <w:pStyle w:val="4"/>
        <w:spacing w:before="0" w:after="0" w:line="240" w:lineRule="auto"/>
        <w:rPr>
          <w:rFonts w:hint="eastAsia" w:ascii="黑体" w:hAnsi="黑体" w:eastAsia="黑体"/>
          <w:b w:val="0"/>
          <w:color w:val="auto"/>
          <w:sz w:val="24"/>
          <w:szCs w:val="24"/>
        </w:rPr>
      </w:pPr>
      <w:bookmarkStart w:id="58" w:name="_Toc8390"/>
      <w:bookmarkStart w:id="59" w:name="_Toc15655"/>
      <w:bookmarkStart w:id="60" w:name="_Toc29394"/>
      <w:bookmarkStart w:id="61" w:name="_Toc11937"/>
    </w:p>
    <w:p>
      <w:pPr>
        <w:pStyle w:val="4"/>
        <w:spacing w:before="0" w:after="0" w:line="240" w:lineRule="auto"/>
        <w:rPr>
          <w:rFonts w:ascii="黑体" w:hAnsi="黑体" w:eastAsia="黑体"/>
          <w:b w:val="0"/>
          <w:color w:val="auto"/>
          <w:sz w:val="24"/>
          <w:szCs w:val="24"/>
        </w:rPr>
      </w:pPr>
      <w:bookmarkStart w:id="62" w:name="_Toc29776"/>
      <w:r>
        <w:rPr>
          <w:rFonts w:hint="eastAsia" w:ascii="黑体" w:hAnsi="黑体" w:eastAsia="黑体"/>
          <w:b w:val="0"/>
          <w:color w:val="auto"/>
          <w:sz w:val="24"/>
          <w:szCs w:val="24"/>
        </w:rPr>
        <w:t>2.教学基本设施</w:t>
      </w:r>
      <w:bookmarkEnd w:id="58"/>
      <w:bookmarkEnd w:id="59"/>
      <w:bookmarkEnd w:id="60"/>
      <w:bookmarkEnd w:id="61"/>
      <w:bookmarkEnd w:id="62"/>
    </w:p>
    <w:p>
      <w:pPr>
        <w:spacing w:line="400" w:lineRule="exact"/>
        <w:ind w:firstLine="480" w:firstLineChars="200"/>
        <w:rPr>
          <w:color w:val="auto"/>
          <w:sz w:val="24"/>
          <w:szCs w:val="24"/>
        </w:rPr>
      </w:pPr>
      <w:r>
        <w:rPr>
          <w:rFonts w:hint="eastAsia"/>
          <w:color w:val="auto"/>
          <w:sz w:val="24"/>
          <w:szCs w:val="24"/>
        </w:rPr>
        <w:t>学校</w:t>
      </w:r>
      <w:r>
        <w:rPr>
          <w:rFonts w:hint="eastAsia"/>
          <w:color w:val="auto"/>
          <w:sz w:val="24"/>
          <w:szCs w:val="24"/>
          <w:lang w:eastAsia="zh-CN"/>
        </w:rPr>
        <w:t>北京校区和河北涿州校区共</w:t>
      </w:r>
      <w:r>
        <w:rPr>
          <w:rFonts w:hint="eastAsia"/>
          <w:color w:val="auto"/>
          <w:sz w:val="24"/>
          <w:szCs w:val="24"/>
        </w:rPr>
        <w:t>有土地面积</w:t>
      </w:r>
      <w:r>
        <w:rPr>
          <w:color w:val="auto"/>
          <w:sz w:val="24"/>
          <w:szCs w:val="24"/>
        </w:rPr>
        <w:t>约</w:t>
      </w:r>
      <w:r>
        <w:rPr>
          <w:rFonts w:hint="eastAsia"/>
          <w:color w:val="auto"/>
          <w:sz w:val="24"/>
          <w:szCs w:val="24"/>
        </w:rPr>
        <w:t>63</w:t>
      </w:r>
      <w:r>
        <w:rPr>
          <w:rFonts w:hint="eastAsia"/>
          <w:color w:val="auto"/>
          <w:sz w:val="24"/>
          <w:szCs w:val="24"/>
          <w:lang w:val="en-US" w:eastAsia="zh-CN"/>
        </w:rPr>
        <w:t>0</w:t>
      </w:r>
      <w:r>
        <w:rPr>
          <w:rFonts w:hint="eastAsia"/>
          <w:color w:val="auto"/>
          <w:sz w:val="24"/>
          <w:szCs w:val="24"/>
        </w:rPr>
        <w:t>亩。学校重视校园基础设施建设</w:t>
      </w:r>
      <w:r>
        <w:rPr>
          <w:rFonts w:hint="eastAsia"/>
          <w:color w:val="auto"/>
          <w:sz w:val="24"/>
          <w:szCs w:val="24"/>
          <w:lang w:eastAsia="zh-CN"/>
        </w:rPr>
        <w:t>，</w:t>
      </w:r>
      <w:r>
        <w:rPr>
          <w:rFonts w:hint="eastAsia"/>
          <w:color w:val="auto"/>
          <w:sz w:val="24"/>
          <w:szCs w:val="24"/>
        </w:rPr>
        <w:t>专门</w:t>
      </w:r>
      <w:r>
        <w:rPr>
          <w:color w:val="auto"/>
          <w:sz w:val="24"/>
          <w:szCs w:val="24"/>
        </w:rPr>
        <w:t>制定《中国劳动关系学院</w:t>
      </w:r>
      <w:r>
        <w:rPr>
          <w:rFonts w:hint="eastAsia"/>
          <w:color w:val="auto"/>
          <w:sz w:val="24"/>
          <w:szCs w:val="24"/>
          <w:lang w:eastAsia="zh-CN"/>
        </w:rPr>
        <w:t>“</w:t>
      </w:r>
      <w:r>
        <w:rPr>
          <w:color w:val="auto"/>
          <w:sz w:val="24"/>
          <w:szCs w:val="24"/>
        </w:rPr>
        <w:t>十三五</w:t>
      </w:r>
      <w:r>
        <w:rPr>
          <w:rFonts w:hint="eastAsia"/>
          <w:color w:val="auto"/>
          <w:sz w:val="24"/>
          <w:szCs w:val="24"/>
          <w:lang w:eastAsia="zh-CN"/>
        </w:rPr>
        <w:t>”</w:t>
      </w:r>
      <w:r>
        <w:rPr>
          <w:color w:val="auto"/>
          <w:sz w:val="24"/>
          <w:szCs w:val="24"/>
        </w:rPr>
        <w:t>校园建设专项规划》</w:t>
      </w:r>
      <w:r>
        <w:rPr>
          <w:rFonts w:hint="eastAsia"/>
          <w:color w:val="auto"/>
          <w:sz w:val="24"/>
          <w:szCs w:val="24"/>
        </w:rPr>
        <w:t>。2018年</w:t>
      </w:r>
      <w:r>
        <w:rPr>
          <w:rFonts w:hint="eastAsia"/>
          <w:color w:val="auto"/>
          <w:sz w:val="24"/>
          <w:szCs w:val="24"/>
          <w:lang w:eastAsia="zh-CN"/>
        </w:rPr>
        <w:t>，</w:t>
      </w:r>
      <w:r>
        <w:rPr>
          <w:rFonts w:hint="eastAsia"/>
          <w:color w:val="auto"/>
          <w:sz w:val="24"/>
          <w:szCs w:val="24"/>
        </w:rPr>
        <w:t>北京校区第二综合教学楼</w:t>
      </w:r>
      <w:r>
        <w:rPr>
          <w:rFonts w:hint="eastAsia"/>
          <w:color w:val="auto"/>
          <w:sz w:val="24"/>
          <w:szCs w:val="24"/>
          <w:lang w:eastAsia="zh-CN"/>
        </w:rPr>
        <w:t>正式</w:t>
      </w:r>
      <w:r>
        <w:rPr>
          <w:rFonts w:hint="eastAsia"/>
          <w:color w:val="auto"/>
          <w:sz w:val="24"/>
          <w:szCs w:val="24"/>
        </w:rPr>
        <w:t>投入使用，两校区教学行政用房总面积增至88499平方米。实验室建设不断完善，专业实验室</w:t>
      </w:r>
      <w:r>
        <w:rPr>
          <w:rFonts w:hint="eastAsia"/>
          <w:color w:val="auto"/>
          <w:sz w:val="24"/>
          <w:szCs w:val="24"/>
          <w:lang w:val="en-US" w:eastAsia="zh-CN"/>
        </w:rPr>
        <w:t>63</w:t>
      </w:r>
      <w:r>
        <w:rPr>
          <w:rFonts w:hint="eastAsia"/>
          <w:color w:val="auto"/>
          <w:sz w:val="24"/>
          <w:szCs w:val="24"/>
        </w:rPr>
        <w:t>个，</w:t>
      </w:r>
      <w:r>
        <w:rPr>
          <w:rFonts w:hint="eastAsia"/>
          <w:color w:val="auto"/>
          <w:sz w:val="24"/>
          <w:szCs w:val="24"/>
          <w:lang w:eastAsia="zh-CN"/>
        </w:rPr>
        <w:t>实验室、实习场所</w:t>
      </w:r>
      <w:r>
        <w:rPr>
          <w:rFonts w:hint="eastAsia"/>
          <w:color w:val="auto"/>
          <w:sz w:val="24"/>
          <w:szCs w:val="24"/>
        </w:rPr>
        <w:t>总面积</w:t>
      </w:r>
      <w:r>
        <w:rPr>
          <w:rFonts w:hint="eastAsia"/>
          <w:color w:val="auto"/>
          <w:sz w:val="24"/>
          <w:szCs w:val="24"/>
          <w:lang w:val="en-US" w:eastAsia="zh-CN"/>
        </w:rPr>
        <w:t>11237.75</w:t>
      </w:r>
      <w:r>
        <w:rPr>
          <w:rFonts w:hint="eastAsia"/>
          <w:color w:val="auto"/>
          <w:sz w:val="24"/>
          <w:szCs w:val="24"/>
        </w:rPr>
        <w:t>平方米，生均</w:t>
      </w:r>
      <w:r>
        <w:rPr>
          <w:rFonts w:hint="eastAsia"/>
          <w:color w:val="auto"/>
          <w:sz w:val="24"/>
          <w:szCs w:val="24"/>
          <w:lang w:val="en-US" w:eastAsia="zh-CN"/>
        </w:rPr>
        <w:t>1.76</w:t>
      </w:r>
      <w:r>
        <w:rPr>
          <w:rFonts w:hint="eastAsia"/>
          <w:color w:val="auto"/>
          <w:sz w:val="24"/>
          <w:szCs w:val="24"/>
        </w:rPr>
        <w:t>平方米；教学科研仪器设备总值11152.51万元，当年新增值746.22万元</w:t>
      </w:r>
      <w:r>
        <w:rPr>
          <w:rFonts w:hint="eastAsia"/>
          <w:color w:val="auto"/>
          <w:sz w:val="24"/>
          <w:szCs w:val="24"/>
          <w:lang w:eastAsia="zh-CN"/>
        </w:rPr>
        <w:t>，</w:t>
      </w:r>
      <w:r>
        <w:rPr>
          <w:rFonts w:hint="eastAsia"/>
          <w:color w:val="auto"/>
          <w:sz w:val="24"/>
          <w:szCs w:val="24"/>
        </w:rPr>
        <w:t>生均</w:t>
      </w:r>
      <w:r>
        <w:rPr>
          <w:rFonts w:hint="eastAsia" w:eastAsia="宋体"/>
          <w:color w:val="auto"/>
          <w:sz w:val="24"/>
          <w:szCs w:val="24"/>
          <w:lang w:val="en-US" w:eastAsia="zh-CN"/>
        </w:rPr>
        <w:t>1.68</w:t>
      </w:r>
      <w:r>
        <w:rPr>
          <w:rFonts w:hint="eastAsia"/>
          <w:color w:val="auto"/>
          <w:sz w:val="24"/>
          <w:szCs w:val="24"/>
        </w:rPr>
        <w:t>万元。校外实习、实训基地不断拓展，具有稳定合作关系的</w:t>
      </w:r>
      <w:r>
        <w:rPr>
          <w:rFonts w:hint="eastAsia"/>
          <w:color w:val="auto"/>
          <w:sz w:val="24"/>
          <w:szCs w:val="24"/>
          <w:lang w:eastAsia="zh-CN"/>
        </w:rPr>
        <w:t>本科</w:t>
      </w:r>
      <w:r>
        <w:rPr>
          <w:rFonts w:hint="eastAsia"/>
          <w:color w:val="auto"/>
          <w:sz w:val="24"/>
          <w:szCs w:val="24"/>
        </w:rPr>
        <w:t>校外实习、实训基地31 个。体育设施较为齐全，运动场面积41167.46平方米，体育馆面积4850.79平方米。图书馆配套较为完备，建有图书馆2个，总面积9711.06平方米，阅览座位数1282个，拥有中外文纸质图书总量847488册</w:t>
      </w:r>
      <w:r>
        <w:rPr>
          <w:rFonts w:hint="eastAsia"/>
          <w:color w:val="auto"/>
          <w:sz w:val="24"/>
          <w:szCs w:val="24"/>
          <w:u w:val="none"/>
        </w:rPr>
        <w:t>，</w:t>
      </w:r>
      <w:r>
        <w:rPr>
          <w:rFonts w:hint="eastAsia"/>
          <w:color w:val="auto"/>
          <w:sz w:val="24"/>
          <w:szCs w:val="24"/>
          <w:u w:val="none"/>
          <w:lang w:eastAsia="zh-CN"/>
        </w:rPr>
        <w:t>当年新增</w:t>
      </w:r>
      <w:r>
        <w:rPr>
          <w:rFonts w:hint="eastAsia"/>
          <w:color w:val="auto"/>
          <w:sz w:val="24"/>
          <w:szCs w:val="24"/>
          <w:u w:val="none"/>
          <w:lang w:val="en-US" w:eastAsia="zh-CN"/>
        </w:rPr>
        <w:t>30877册</w:t>
      </w:r>
      <w:r>
        <w:rPr>
          <w:rFonts w:hint="eastAsia"/>
          <w:color w:val="auto"/>
          <w:sz w:val="24"/>
          <w:szCs w:val="24"/>
          <w:lang w:val="en-US" w:eastAsia="zh-CN"/>
        </w:rPr>
        <w:t>，</w:t>
      </w:r>
      <w:r>
        <w:rPr>
          <w:rFonts w:hint="eastAsia"/>
          <w:color w:val="auto"/>
          <w:sz w:val="24"/>
          <w:szCs w:val="24"/>
        </w:rPr>
        <w:t>生均</w:t>
      </w:r>
      <w:r>
        <w:rPr>
          <w:rFonts w:hint="eastAsia" w:eastAsia="宋体"/>
          <w:color w:val="auto"/>
          <w:sz w:val="24"/>
          <w:szCs w:val="24"/>
          <w:lang w:val="en-US" w:eastAsia="zh-CN"/>
        </w:rPr>
        <w:t>127.72</w:t>
      </w:r>
      <w:r>
        <w:rPr>
          <w:rFonts w:hint="eastAsia"/>
          <w:color w:val="auto"/>
          <w:sz w:val="24"/>
          <w:szCs w:val="24"/>
        </w:rPr>
        <w:t>册，电子图书1510050册</w:t>
      </w:r>
      <w:r>
        <w:rPr>
          <w:rFonts w:hint="eastAsia"/>
          <w:color w:val="auto"/>
          <w:sz w:val="24"/>
          <w:szCs w:val="24"/>
          <w:u w:val="none"/>
        </w:rPr>
        <w:t>，</w:t>
      </w:r>
      <w:r>
        <w:rPr>
          <w:rFonts w:hint="eastAsia"/>
          <w:color w:val="auto"/>
          <w:sz w:val="24"/>
          <w:szCs w:val="24"/>
          <w:u w:val="none"/>
          <w:lang w:eastAsia="zh-CN"/>
        </w:rPr>
        <w:t>当年新增</w:t>
      </w:r>
      <w:r>
        <w:rPr>
          <w:rFonts w:hint="eastAsia"/>
          <w:color w:val="auto"/>
          <w:sz w:val="24"/>
          <w:szCs w:val="24"/>
          <w:u w:val="none"/>
          <w:lang w:val="en-US" w:eastAsia="zh-CN"/>
        </w:rPr>
        <w:t>148000册</w:t>
      </w:r>
      <w:r>
        <w:rPr>
          <w:rFonts w:hint="eastAsia"/>
          <w:color w:val="auto"/>
          <w:sz w:val="24"/>
          <w:szCs w:val="24"/>
          <w:lang w:val="en-US" w:eastAsia="zh-CN"/>
        </w:rPr>
        <w:t>，</w:t>
      </w:r>
      <w:r>
        <w:rPr>
          <w:rFonts w:hint="eastAsia"/>
          <w:color w:val="auto"/>
          <w:sz w:val="24"/>
          <w:szCs w:val="24"/>
        </w:rPr>
        <w:t>纸质期刊1080种，数据库196个。</w:t>
      </w:r>
    </w:p>
    <w:p>
      <w:pPr>
        <w:spacing w:line="400" w:lineRule="exact"/>
        <w:ind w:firstLine="480" w:firstLineChars="200"/>
        <w:rPr>
          <w:color w:val="auto"/>
          <w:sz w:val="24"/>
          <w:szCs w:val="24"/>
        </w:rPr>
      </w:pPr>
      <w:r>
        <w:rPr>
          <w:rFonts w:hint="eastAsia"/>
          <w:color w:val="auto"/>
          <w:sz w:val="24"/>
          <w:szCs w:val="24"/>
        </w:rPr>
        <w:t>学校积极推进数字化平台建设，完成教学场所桌面网络千兆级介入，获取数字资源量9200GB，管理信息系统数据总量550GB，基本建成了统一身份认证、统一信息门户、统一数据中心的三大数字校园平台以及教务管理系统、教学质量评价与反馈系统、网络教学系统、在线学堂等运行良好的信息系统。</w:t>
      </w:r>
    </w:p>
    <w:p>
      <w:pPr>
        <w:pStyle w:val="2"/>
        <w:spacing w:before="0" w:after="0" w:line="240" w:lineRule="auto"/>
        <w:rPr>
          <w:rFonts w:ascii="黑体" w:hAnsi="黑体" w:eastAsia="黑体"/>
          <w:b w:val="0"/>
          <w:color w:val="auto"/>
          <w:sz w:val="30"/>
          <w:szCs w:val="30"/>
        </w:rPr>
      </w:pPr>
      <w:bookmarkStart w:id="63" w:name="_Toc3574"/>
      <w:bookmarkStart w:id="64" w:name="_Toc28340"/>
      <w:bookmarkStart w:id="65" w:name="_Toc31201_WPSOffice_Level1"/>
      <w:bookmarkStart w:id="66" w:name="_Toc12521_WPSOffice_Level1"/>
      <w:bookmarkStart w:id="67" w:name="_Toc4963"/>
      <w:r>
        <w:rPr>
          <w:rFonts w:hint="eastAsia" w:ascii="黑体" w:hAnsi="黑体" w:eastAsia="黑体"/>
          <w:b w:val="0"/>
          <w:color w:val="auto"/>
          <w:sz w:val="30"/>
          <w:szCs w:val="30"/>
        </w:rPr>
        <w:t>三、教学建设与改革</w:t>
      </w:r>
      <w:bookmarkEnd w:id="63"/>
      <w:bookmarkEnd w:id="64"/>
      <w:bookmarkEnd w:id="65"/>
      <w:bookmarkEnd w:id="66"/>
      <w:bookmarkEnd w:id="67"/>
    </w:p>
    <w:p>
      <w:pPr>
        <w:pStyle w:val="3"/>
        <w:spacing w:before="0" w:after="0" w:line="240" w:lineRule="auto"/>
        <w:rPr>
          <w:rFonts w:ascii="黑体" w:hAnsi="黑体" w:eastAsia="黑体"/>
          <w:b w:val="0"/>
          <w:color w:val="auto"/>
          <w:sz w:val="28"/>
          <w:szCs w:val="28"/>
        </w:rPr>
      </w:pPr>
      <w:bookmarkStart w:id="68" w:name="_Toc25793"/>
      <w:bookmarkStart w:id="69" w:name="_Toc20760"/>
      <w:bookmarkStart w:id="70" w:name="_Toc8321"/>
      <w:bookmarkStart w:id="71" w:name="_Toc13451_WPSOffice_Level2"/>
      <w:bookmarkStart w:id="72" w:name="_Toc20869_WPSOffice_Level2"/>
      <w:r>
        <w:rPr>
          <w:rFonts w:hint="eastAsia" w:ascii="黑体" w:hAnsi="黑体" w:eastAsia="黑体"/>
          <w:b w:val="0"/>
          <w:color w:val="auto"/>
          <w:sz w:val="28"/>
          <w:szCs w:val="28"/>
        </w:rPr>
        <w:t>（一）教学基本情况</w:t>
      </w:r>
      <w:bookmarkEnd w:id="68"/>
      <w:bookmarkEnd w:id="69"/>
      <w:bookmarkEnd w:id="70"/>
      <w:bookmarkEnd w:id="71"/>
      <w:bookmarkEnd w:id="72"/>
    </w:p>
    <w:p>
      <w:pPr>
        <w:spacing w:line="400" w:lineRule="exact"/>
        <w:ind w:firstLine="480" w:firstLineChars="200"/>
        <w:rPr>
          <w:rFonts w:hint="eastAsia"/>
          <w:color w:val="auto"/>
          <w:sz w:val="24"/>
          <w:szCs w:val="24"/>
        </w:rPr>
      </w:pPr>
      <w:r>
        <w:rPr>
          <w:rFonts w:hint="eastAsia"/>
          <w:color w:val="auto"/>
          <w:sz w:val="24"/>
          <w:szCs w:val="24"/>
        </w:rPr>
        <w:t>2017-2018学年，全校开设课程总数79</w:t>
      </w:r>
      <w:r>
        <w:rPr>
          <w:rFonts w:hint="eastAsia"/>
          <w:color w:val="auto"/>
          <w:sz w:val="24"/>
          <w:szCs w:val="24"/>
          <w:lang w:val="en-US" w:eastAsia="zh-CN"/>
        </w:rPr>
        <w:t>9</w:t>
      </w:r>
      <w:r>
        <w:rPr>
          <w:rFonts w:hint="eastAsia"/>
          <w:color w:val="auto"/>
          <w:sz w:val="24"/>
          <w:szCs w:val="24"/>
        </w:rPr>
        <w:t>门，其中校级公共选修课145门，引入超星在线学分课程45门、在线自主学习课程29门、在线考研辅导课程14门，推荐本校优质在线课程4门。所有课程均严格按照各专业培养方案开设，选修课学分占总学分的比例情况如表2所示，实践教学学分占总学分的比例情况如表3所示。学校严格执行教授为本科生上课制度，2017-2018学年，主讲本科课程（不含讲座）的教授占教授总数的比例为</w:t>
      </w:r>
      <w:r>
        <w:rPr>
          <w:rFonts w:hint="eastAsia"/>
          <w:color w:val="auto"/>
          <w:sz w:val="24"/>
          <w:szCs w:val="24"/>
          <w:lang w:val="en-US" w:eastAsia="zh-CN"/>
        </w:rPr>
        <w:t>90.24</w:t>
      </w:r>
      <w:r>
        <w:rPr>
          <w:rFonts w:hint="eastAsia"/>
          <w:color w:val="auto"/>
          <w:sz w:val="24"/>
          <w:szCs w:val="24"/>
        </w:rPr>
        <w:t>%，教授讲授的本科课程占课程总</w:t>
      </w:r>
      <w:r>
        <w:rPr>
          <w:rFonts w:hint="eastAsia"/>
          <w:color w:val="auto"/>
          <w:sz w:val="24"/>
          <w:szCs w:val="24"/>
          <w:lang w:eastAsia="zh-CN"/>
        </w:rPr>
        <w:t>数（</w:t>
      </w:r>
      <w:r>
        <w:rPr>
          <w:rFonts w:hint="eastAsia"/>
          <w:color w:val="auto"/>
          <w:sz w:val="24"/>
          <w:szCs w:val="24"/>
        </w:rPr>
        <w:t>门</w:t>
      </w:r>
      <w:r>
        <w:rPr>
          <w:rFonts w:hint="eastAsia"/>
          <w:color w:val="auto"/>
          <w:sz w:val="24"/>
          <w:szCs w:val="24"/>
          <w:lang w:eastAsia="zh-CN"/>
        </w:rPr>
        <w:t>）</w:t>
      </w:r>
      <w:r>
        <w:rPr>
          <w:rFonts w:hint="eastAsia"/>
          <w:color w:val="auto"/>
          <w:sz w:val="24"/>
          <w:szCs w:val="24"/>
        </w:rPr>
        <w:t>的比例为</w:t>
      </w:r>
      <w:r>
        <w:rPr>
          <w:rFonts w:hint="eastAsia"/>
          <w:color w:val="auto"/>
          <w:sz w:val="24"/>
          <w:szCs w:val="24"/>
          <w:lang w:val="en-US" w:eastAsia="zh-CN"/>
        </w:rPr>
        <w:t>15.52</w:t>
      </w:r>
      <w:r>
        <w:rPr>
          <w:rFonts w:hint="eastAsia"/>
          <w:color w:val="auto"/>
          <w:sz w:val="24"/>
          <w:szCs w:val="24"/>
        </w:rPr>
        <w:t>%。</w:t>
      </w:r>
    </w:p>
    <w:p>
      <w:pPr>
        <w:spacing w:line="400" w:lineRule="exact"/>
        <w:ind w:firstLine="480" w:firstLineChars="200"/>
        <w:rPr>
          <w:rFonts w:hint="eastAsia"/>
          <w:color w:val="auto"/>
          <w:sz w:val="24"/>
          <w:szCs w:val="24"/>
        </w:rPr>
      </w:pPr>
    </w:p>
    <w:p>
      <w:pPr>
        <w:spacing w:line="400" w:lineRule="exact"/>
        <w:jc w:val="center"/>
        <w:rPr>
          <w:b/>
          <w:color w:val="auto"/>
          <w:szCs w:val="21"/>
        </w:rPr>
      </w:pPr>
      <w:r>
        <w:rPr>
          <w:rFonts w:hint="eastAsia"/>
          <w:b/>
          <w:color w:val="auto"/>
          <w:szCs w:val="21"/>
        </w:rPr>
        <w:t>表2: 各专业培养方案中选修课学分占总学分的比例</w:t>
      </w:r>
    </w:p>
    <w:tbl>
      <w:tblPr>
        <w:tblStyle w:val="16"/>
        <w:tblW w:w="6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5"/>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4255" w:type="dxa"/>
            <w:shd w:val="clear" w:color="auto" w:fill="4BACC6" w:themeFill="accent5"/>
          </w:tcPr>
          <w:p>
            <w:pPr>
              <w:keepNext w:val="0"/>
              <w:keepLines w:val="0"/>
              <w:pageBreakBefore w:val="0"/>
              <w:widowControl/>
              <w:kinsoku/>
              <w:wordWrap/>
              <w:overflowPunct/>
              <w:topLinePunct w:val="0"/>
              <w:autoSpaceDE/>
              <w:autoSpaceDN/>
              <w:bidi w:val="0"/>
              <w:adjustRightInd/>
              <w:snapToGrid/>
              <w:spacing w:before="0" w:after="0" w:line="400" w:lineRule="exact"/>
              <w:jc w:val="center"/>
              <w:textAlignment w:val="auto"/>
              <w:outlineLvl w:val="9"/>
              <w:rPr>
                <w:rFonts w:ascii="黑体" w:hAnsi="黑体" w:eastAsia="黑体" w:cs="黑体"/>
                <w:b w:val="0"/>
                <w:bCs w:val="0"/>
                <w:color w:val="auto"/>
                <w:kern w:val="0"/>
                <w:szCs w:val="21"/>
              </w:rPr>
            </w:pPr>
            <w:r>
              <w:rPr>
                <w:rFonts w:hint="eastAsia" w:ascii="黑体" w:hAnsi="黑体" w:eastAsia="黑体" w:cs="黑体"/>
                <w:b/>
                <w:bCs/>
                <w:color w:val="auto"/>
                <w:kern w:val="0"/>
                <w:szCs w:val="21"/>
              </w:rPr>
              <w:t>专业名称</w:t>
            </w:r>
          </w:p>
        </w:tc>
        <w:tc>
          <w:tcPr>
            <w:tcW w:w="2618" w:type="dxa"/>
            <w:shd w:val="clear" w:color="auto" w:fill="4BACC6" w:themeFill="accent5"/>
          </w:tcPr>
          <w:p>
            <w:pPr>
              <w:keepNext w:val="0"/>
              <w:keepLines w:val="0"/>
              <w:pageBreakBefore w:val="0"/>
              <w:widowControl/>
              <w:kinsoku/>
              <w:wordWrap/>
              <w:overflowPunct/>
              <w:topLinePunct w:val="0"/>
              <w:autoSpaceDE/>
              <w:autoSpaceDN/>
              <w:bidi w:val="0"/>
              <w:adjustRightInd/>
              <w:snapToGrid/>
              <w:spacing w:before="0" w:after="0" w:line="400" w:lineRule="exact"/>
              <w:jc w:val="center"/>
              <w:textAlignment w:val="auto"/>
              <w:outlineLvl w:val="9"/>
              <w:rPr>
                <w:rFonts w:ascii="黑体" w:hAnsi="黑体" w:eastAsia="黑体" w:cs="黑体"/>
                <w:b w:val="0"/>
                <w:bCs w:val="0"/>
                <w:color w:val="auto"/>
                <w:kern w:val="0"/>
                <w:szCs w:val="21"/>
              </w:rPr>
            </w:pPr>
            <w:r>
              <w:rPr>
                <w:rFonts w:hint="eastAsia" w:ascii="黑体" w:hAnsi="黑体" w:eastAsia="黑体" w:cs="黑体"/>
                <w:b/>
                <w:bCs/>
                <w:color w:val="auto"/>
                <w:kern w:val="0"/>
                <w:szCs w:val="21"/>
              </w:rPr>
              <w:t>选修课占总学分的比例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社会工作专业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行政管理专业（企事业行政文化建设方向）</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劳动关系专业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人力资源管理专业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工商管理专业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经济学专业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财务管理专业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法学专业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行政管理专业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劳动与社会保障专业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政治学与行政学专业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安全工程专业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汉语言文学专业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新闻学专业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戏剧影视文学</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55"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酒店管理专业</w:t>
            </w:r>
          </w:p>
        </w:tc>
        <w:tc>
          <w:tcPr>
            <w:tcW w:w="2618"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23.75%</w:t>
            </w:r>
          </w:p>
        </w:tc>
      </w:tr>
    </w:tbl>
    <w:p>
      <w:pPr>
        <w:spacing w:line="400" w:lineRule="exact"/>
        <w:ind w:firstLine="426" w:firstLineChars="202"/>
        <w:jc w:val="center"/>
        <w:rPr>
          <w:rFonts w:hint="eastAsia" w:cs="黑体" w:asciiTheme="minorEastAsia" w:hAnsiTheme="minorEastAsia"/>
          <w:b/>
          <w:color w:val="auto"/>
          <w:szCs w:val="21"/>
        </w:rPr>
      </w:pPr>
    </w:p>
    <w:p>
      <w:pPr>
        <w:spacing w:line="400" w:lineRule="exact"/>
        <w:ind w:firstLine="426" w:firstLineChars="202"/>
        <w:jc w:val="center"/>
        <w:rPr>
          <w:rFonts w:hint="eastAsia" w:cs="黑体" w:asciiTheme="minorEastAsia" w:hAnsiTheme="minorEastAsia"/>
          <w:b/>
          <w:color w:val="auto"/>
          <w:szCs w:val="21"/>
        </w:rPr>
      </w:pPr>
    </w:p>
    <w:p>
      <w:pPr>
        <w:spacing w:line="400" w:lineRule="exact"/>
        <w:ind w:firstLine="426" w:firstLineChars="202"/>
        <w:jc w:val="center"/>
        <w:rPr>
          <w:rFonts w:hint="eastAsia" w:cs="黑体" w:asciiTheme="minorEastAsia" w:hAnsiTheme="minorEastAsia"/>
          <w:b/>
          <w:color w:val="auto"/>
          <w:szCs w:val="21"/>
        </w:rPr>
      </w:pPr>
    </w:p>
    <w:p>
      <w:pPr>
        <w:spacing w:line="400" w:lineRule="exact"/>
        <w:ind w:firstLine="426" w:firstLineChars="202"/>
        <w:jc w:val="center"/>
        <w:rPr>
          <w:rFonts w:hint="eastAsia" w:cs="黑体" w:asciiTheme="minorEastAsia" w:hAnsiTheme="minorEastAsia"/>
          <w:b/>
          <w:color w:val="auto"/>
          <w:szCs w:val="21"/>
        </w:rPr>
      </w:pPr>
    </w:p>
    <w:p>
      <w:pPr>
        <w:spacing w:line="400" w:lineRule="exact"/>
        <w:ind w:firstLine="426" w:firstLineChars="202"/>
        <w:jc w:val="center"/>
        <w:rPr>
          <w:rFonts w:hint="eastAsia" w:cs="黑体" w:asciiTheme="minorEastAsia" w:hAnsiTheme="minorEastAsia"/>
          <w:b/>
          <w:color w:val="auto"/>
          <w:szCs w:val="21"/>
        </w:rPr>
      </w:pPr>
    </w:p>
    <w:p>
      <w:pPr>
        <w:spacing w:line="400" w:lineRule="exact"/>
        <w:ind w:firstLine="426" w:firstLineChars="202"/>
        <w:jc w:val="center"/>
        <w:rPr>
          <w:rFonts w:hint="eastAsia" w:cs="黑体" w:asciiTheme="minorEastAsia" w:hAnsiTheme="minorEastAsia"/>
          <w:b/>
          <w:color w:val="auto"/>
          <w:szCs w:val="21"/>
        </w:rPr>
      </w:pPr>
    </w:p>
    <w:p>
      <w:pPr>
        <w:spacing w:line="400" w:lineRule="exact"/>
        <w:ind w:firstLine="426" w:firstLineChars="202"/>
        <w:jc w:val="center"/>
        <w:rPr>
          <w:rFonts w:cs="黑体" w:asciiTheme="minorEastAsia" w:hAnsiTheme="minorEastAsia"/>
          <w:b/>
          <w:color w:val="auto"/>
          <w:szCs w:val="21"/>
        </w:rPr>
      </w:pPr>
      <w:r>
        <w:rPr>
          <w:rFonts w:hint="eastAsia" w:cs="黑体" w:asciiTheme="minorEastAsia" w:hAnsiTheme="minorEastAsia"/>
          <w:b/>
          <w:color w:val="auto"/>
          <w:szCs w:val="21"/>
        </w:rPr>
        <w:t>表3：各专业培养方案中实践教学学分占总学分的比例</w:t>
      </w:r>
    </w:p>
    <w:tbl>
      <w:tblPr>
        <w:tblStyle w:val="16"/>
        <w:tblW w:w="6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3"/>
        <w:gridCol w:w="1027"/>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vMerge w:val="restart"/>
            <w:shd w:val="clear" w:color="auto" w:fill="4BACC6" w:themeFill="accent5"/>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textAlignment w:val="auto"/>
              <w:outlineLvl w:val="9"/>
              <w:rPr>
                <w:rFonts w:ascii="黑体" w:hAnsi="黑体" w:eastAsia="黑体" w:cs="黑体"/>
                <w:b w:val="0"/>
                <w:bCs w:val="0"/>
                <w:color w:val="auto"/>
                <w:kern w:val="0"/>
                <w:szCs w:val="21"/>
              </w:rPr>
            </w:pPr>
            <w:r>
              <w:rPr>
                <w:rFonts w:hint="eastAsia" w:ascii="黑体" w:hAnsi="黑体" w:eastAsia="黑体" w:cs="黑体"/>
                <w:b/>
                <w:bCs/>
                <w:color w:val="auto"/>
                <w:kern w:val="0"/>
                <w:szCs w:val="21"/>
              </w:rPr>
              <w:t>专业名称</w:t>
            </w:r>
          </w:p>
        </w:tc>
        <w:tc>
          <w:tcPr>
            <w:tcW w:w="2633" w:type="dxa"/>
            <w:gridSpan w:val="2"/>
            <w:tcBorders>
              <w:bottom w:val="single" w:color="auto" w:sz="4" w:space="0"/>
            </w:tcBorders>
            <w:shd w:val="clear" w:color="auto" w:fill="4BACC6" w:themeFill="accent5"/>
          </w:tcPr>
          <w:p>
            <w:pPr>
              <w:keepNext w:val="0"/>
              <w:keepLines w:val="0"/>
              <w:pageBreakBefore w:val="0"/>
              <w:widowControl/>
              <w:kinsoku/>
              <w:wordWrap/>
              <w:overflowPunct/>
              <w:topLinePunct w:val="0"/>
              <w:autoSpaceDE/>
              <w:autoSpaceDN/>
              <w:bidi w:val="0"/>
              <w:adjustRightInd/>
              <w:snapToGrid/>
              <w:spacing w:before="0" w:after="0" w:line="400" w:lineRule="exact"/>
              <w:jc w:val="center"/>
              <w:textAlignment w:val="auto"/>
              <w:outlineLvl w:val="9"/>
              <w:rPr>
                <w:rFonts w:ascii="黑体" w:hAnsi="黑体" w:eastAsia="黑体" w:cs="黑体"/>
                <w:b w:val="0"/>
                <w:bCs w:val="0"/>
                <w:color w:val="auto"/>
                <w:kern w:val="0"/>
                <w:szCs w:val="21"/>
              </w:rPr>
            </w:pPr>
            <w:r>
              <w:rPr>
                <w:rFonts w:hint="eastAsia" w:ascii="黑体" w:hAnsi="黑体" w:eastAsia="黑体" w:cs="黑体"/>
                <w:b/>
                <w:bCs/>
                <w:color w:val="auto"/>
                <w:kern w:val="0"/>
                <w:szCs w:val="21"/>
              </w:rPr>
              <w:t>各本科专业学分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4273" w:type="dxa"/>
            <w:vMerge w:val="continue"/>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黑体" w:hAnsi="黑体" w:eastAsia="黑体" w:cs="黑体"/>
                <w:b/>
                <w:bCs/>
                <w:color w:val="auto"/>
                <w:kern w:val="0"/>
                <w:szCs w:val="21"/>
              </w:rPr>
            </w:pPr>
          </w:p>
        </w:tc>
        <w:tc>
          <w:tcPr>
            <w:tcW w:w="1027" w:type="dxa"/>
            <w:shd w:val="clear" w:color="auto" w:fill="4BACC6" w:themeFill="accent5"/>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黑体" w:hAnsi="黑体" w:eastAsia="黑体" w:cs="黑体"/>
                <w:color w:val="auto"/>
                <w:kern w:val="0"/>
                <w:szCs w:val="21"/>
              </w:rPr>
            </w:pPr>
            <w:r>
              <w:rPr>
                <w:rFonts w:hint="eastAsia" w:ascii="黑体" w:hAnsi="黑体" w:eastAsia="黑体" w:cs="黑体"/>
                <w:color w:val="auto"/>
                <w:kern w:val="0"/>
                <w:szCs w:val="21"/>
              </w:rPr>
              <w:t>总学分</w:t>
            </w:r>
          </w:p>
        </w:tc>
        <w:tc>
          <w:tcPr>
            <w:tcW w:w="1606" w:type="dxa"/>
            <w:shd w:val="clear" w:color="auto" w:fill="4BACC6" w:themeFill="accent5"/>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黑体" w:hAnsi="黑体" w:eastAsia="黑体" w:cs="黑体"/>
                <w:color w:val="auto"/>
                <w:kern w:val="0"/>
                <w:szCs w:val="21"/>
              </w:rPr>
            </w:pPr>
            <w:r>
              <w:rPr>
                <w:rFonts w:hint="eastAsia" w:ascii="黑体" w:hAnsi="黑体" w:eastAsia="黑体" w:cs="黑体"/>
                <w:color w:val="auto"/>
                <w:kern w:val="0"/>
                <w:szCs w:val="21"/>
              </w:rPr>
              <w:t>实践教学比重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社会工作专业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158</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行政管理专业（企事业行政文化建设方向）</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152.5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劳动关系专业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155.5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人力资源管理专业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153.5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工商管理专业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157.5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经济学专业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158.5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财务管理专业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158.5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法学专业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159</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行政管理专业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154.5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劳动与社会保障专业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155.5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政治学与行政学专业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155.5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安全工程专业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170</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汉语言文学专业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158.5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新闻学专业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155.5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20.90%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戏剧影视文学</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154.5</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30.74%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273"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hAnsi="宋体" w:eastAsia="宋体" w:cs="宋体"/>
                <w:b/>
                <w:bCs/>
                <w:color w:val="auto"/>
                <w:kern w:val="0"/>
                <w:szCs w:val="21"/>
              </w:rPr>
            </w:pPr>
            <w:r>
              <w:rPr>
                <w:rFonts w:hint="eastAsia" w:ascii="宋体" w:hAnsi="宋体" w:eastAsia="宋体" w:cs="宋体"/>
                <w:b/>
                <w:bCs/>
                <w:color w:val="auto"/>
                <w:kern w:val="0"/>
                <w:szCs w:val="21"/>
              </w:rPr>
              <w:t>酒店管理专业</w:t>
            </w:r>
          </w:p>
        </w:tc>
        <w:tc>
          <w:tcPr>
            <w:tcW w:w="1027"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160</w:t>
            </w:r>
          </w:p>
        </w:tc>
        <w:tc>
          <w:tcPr>
            <w:tcW w:w="1606" w:type="dxa"/>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宋体" w:cs="宋体"/>
                <w:color w:val="auto"/>
                <w:kern w:val="0"/>
                <w:szCs w:val="21"/>
              </w:rPr>
            </w:pPr>
            <w:r>
              <w:rPr>
                <w:rFonts w:hint="eastAsia" w:ascii="宋体" w:hAnsi="宋体" w:eastAsia="宋体" w:cs="宋体"/>
                <w:color w:val="auto"/>
                <w:kern w:val="0"/>
                <w:szCs w:val="21"/>
              </w:rPr>
              <w:t>32.50%</w:t>
            </w:r>
          </w:p>
        </w:tc>
      </w:tr>
    </w:tbl>
    <w:p>
      <w:pPr>
        <w:pStyle w:val="3"/>
        <w:spacing w:before="0" w:after="0" w:line="240" w:lineRule="auto"/>
        <w:rPr>
          <w:rFonts w:ascii="黑体" w:hAnsi="黑体" w:eastAsia="黑体"/>
          <w:b w:val="0"/>
          <w:color w:val="auto"/>
          <w:sz w:val="28"/>
          <w:szCs w:val="28"/>
        </w:rPr>
      </w:pPr>
      <w:bookmarkStart w:id="73" w:name="_Toc16700_WPSOffice_Level2"/>
      <w:bookmarkStart w:id="74" w:name="_Toc11432"/>
      <w:bookmarkStart w:id="75" w:name="_Toc19846_WPSOffice_Level2"/>
      <w:bookmarkStart w:id="76" w:name="_Toc17274"/>
      <w:bookmarkStart w:id="77" w:name="_Toc31902"/>
      <w:r>
        <w:rPr>
          <w:rFonts w:hint="eastAsia" w:ascii="黑体" w:hAnsi="黑体" w:eastAsia="黑体"/>
          <w:b w:val="0"/>
          <w:color w:val="auto"/>
          <w:sz w:val="28"/>
          <w:szCs w:val="28"/>
        </w:rPr>
        <w:t>（二）教学建设与改革</w:t>
      </w:r>
      <w:bookmarkEnd w:id="73"/>
      <w:bookmarkEnd w:id="74"/>
      <w:bookmarkEnd w:id="75"/>
      <w:bookmarkEnd w:id="76"/>
      <w:bookmarkEnd w:id="77"/>
    </w:p>
    <w:p>
      <w:pPr>
        <w:pStyle w:val="4"/>
        <w:spacing w:before="0" w:after="0" w:line="240" w:lineRule="auto"/>
        <w:rPr>
          <w:rFonts w:ascii="黑体" w:hAnsi="黑体" w:eastAsia="黑体"/>
          <w:b w:val="0"/>
          <w:color w:val="auto"/>
          <w:sz w:val="24"/>
          <w:szCs w:val="24"/>
        </w:rPr>
      </w:pPr>
      <w:bookmarkStart w:id="78" w:name="_Toc11725"/>
      <w:bookmarkStart w:id="79" w:name="_Toc27599"/>
      <w:bookmarkStart w:id="80" w:name="_Toc30499"/>
      <w:bookmarkStart w:id="81" w:name="_Toc16510"/>
      <w:bookmarkStart w:id="82" w:name="_Toc31135"/>
      <w:r>
        <w:rPr>
          <w:rFonts w:hint="eastAsia" w:ascii="黑体" w:hAnsi="黑体" w:eastAsia="黑体"/>
          <w:b w:val="0"/>
          <w:color w:val="auto"/>
          <w:sz w:val="24"/>
          <w:szCs w:val="24"/>
        </w:rPr>
        <w:t>1.教学改革持续深化</w:t>
      </w:r>
      <w:bookmarkEnd w:id="78"/>
      <w:bookmarkEnd w:id="79"/>
      <w:bookmarkEnd w:id="80"/>
      <w:bookmarkEnd w:id="81"/>
      <w:bookmarkEnd w:id="82"/>
    </w:p>
    <w:p>
      <w:pPr>
        <w:spacing w:line="400" w:lineRule="exact"/>
        <w:ind w:firstLine="480" w:firstLineChars="200"/>
        <w:jc w:val="both"/>
        <w:rPr>
          <w:color w:val="auto"/>
          <w:sz w:val="24"/>
          <w:szCs w:val="24"/>
        </w:rPr>
      </w:pPr>
      <w:r>
        <w:rPr>
          <w:rFonts w:hint="eastAsia"/>
          <w:color w:val="auto"/>
          <w:sz w:val="24"/>
          <w:szCs w:val="24"/>
        </w:rPr>
        <w:t>学校持续完善“需求导向、能力本位”的应用型人才培养体系，大力推进课堂教学改革。2017-2018学年，校级教育教学改革重点项目立项6项，一般项目立项41项，财政部教育教学改革专项经费教改委托项目5项，累计资助经费342万元。</w:t>
      </w:r>
    </w:p>
    <w:p>
      <w:pPr>
        <w:pStyle w:val="4"/>
        <w:spacing w:before="0" w:after="0" w:line="240" w:lineRule="auto"/>
        <w:rPr>
          <w:rFonts w:ascii="黑体" w:hAnsi="黑体" w:eastAsia="黑体"/>
          <w:b w:val="0"/>
          <w:color w:val="auto"/>
          <w:sz w:val="24"/>
          <w:szCs w:val="24"/>
        </w:rPr>
      </w:pPr>
      <w:bookmarkStart w:id="83" w:name="_Toc24947"/>
      <w:bookmarkStart w:id="84" w:name="_Toc23070"/>
      <w:bookmarkStart w:id="85" w:name="_Toc10722"/>
      <w:bookmarkStart w:id="86" w:name="_Toc9920"/>
      <w:bookmarkStart w:id="87" w:name="_Toc6923"/>
      <w:r>
        <w:rPr>
          <w:rFonts w:hint="eastAsia" w:ascii="黑体" w:hAnsi="黑体" w:eastAsia="黑体"/>
          <w:b w:val="0"/>
          <w:color w:val="auto"/>
          <w:sz w:val="24"/>
          <w:szCs w:val="24"/>
        </w:rPr>
        <w:t>2.专业建设稳步推进</w:t>
      </w:r>
      <w:bookmarkEnd w:id="83"/>
      <w:bookmarkEnd w:id="84"/>
      <w:bookmarkEnd w:id="85"/>
      <w:bookmarkEnd w:id="86"/>
      <w:bookmarkEnd w:id="87"/>
    </w:p>
    <w:p>
      <w:pPr>
        <w:spacing w:line="400" w:lineRule="exact"/>
        <w:ind w:firstLine="480" w:firstLineChars="200"/>
        <w:jc w:val="both"/>
        <w:rPr>
          <w:color w:val="auto"/>
          <w:sz w:val="24"/>
          <w:szCs w:val="24"/>
        </w:rPr>
      </w:pPr>
      <w:r>
        <w:rPr>
          <w:rFonts w:hint="eastAsia"/>
          <w:color w:val="auto"/>
          <w:sz w:val="24"/>
          <w:szCs w:val="24"/>
        </w:rPr>
        <w:t>2017-2018学年，学校完成了政治学与行政学、工商管理、行政管理（企事业行政文化建设方向）、新闻学、汉语言文学和酒店管理6项本科专业综合建设与改革项目立项，安全工程、法学、劳动关系、人力资源管理、财务管理、经济学、劳动与社会保障和行政管理等8项专业特色建设项目立项。学校印发《中国劳动关系学院新增本科专业实施方案》，</w:t>
      </w:r>
      <w:r>
        <w:rPr>
          <w:color w:val="auto"/>
          <w:sz w:val="24"/>
          <w:szCs w:val="24"/>
        </w:rPr>
        <w:t>按照</w:t>
      </w:r>
      <w:r>
        <w:rPr>
          <w:rFonts w:hint="eastAsia"/>
          <w:color w:val="auto"/>
          <w:sz w:val="24"/>
          <w:szCs w:val="24"/>
          <w:lang w:eastAsia="zh-CN"/>
        </w:rPr>
        <w:t>“</w:t>
      </w:r>
      <w:r>
        <w:rPr>
          <w:color w:val="auto"/>
          <w:sz w:val="24"/>
          <w:szCs w:val="24"/>
        </w:rPr>
        <w:t>内部调整、优化结构、挖掘潜力、提升效益</w:t>
      </w:r>
      <w:r>
        <w:rPr>
          <w:rFonts w:hint="eastAsia"/>
          <w:color w:val="auto"/>
          <w:sz w:val="24"/>
          <w:szCs w:val="24"/>
          <w:lang w:eastAsia="zh-CN"/>
        </w:rPr>
        <w:t>”</w:t>
      </w:r>
      <w:r>
        <w:rPr>
          <w:color w:val="auto"/>
          <w:sz w:val="24"/>
          <w:szCs w:val="24"/>
        </w:rPr>
        <w:t>的思路，依据</w:t>
      </w:r>
      <w:r>
        <w:rPr>
          <w:rFonts w:hint="eastAsia"/>
          <w:color w:val="auto"/>
          <w:sz w:val="24"/>
          <w:szCs w:val="24"/>
          <w:lang w:eastAsia="zh-CN"/>
        </w:rPr>
        <w:t>“</w:t>
      </w:r>
      <w:r>
        <w:rPr>
          <w:color w:val="auto"/>
          <w:sz w:val="24"/>
          <w:szCs w:val="24"/>
        </w:rPr>
        <w:t>有基础、相关联、强特色</w:t>
      </w:r>
      <w:r>
        <w:rPr>
          <w:rFonts w:hint="eastAsia"/>
          <w:color w:val="auto"/>
          <w:sz w:val="24"/>
          <w:szCs w:val="24"/>
          <w:lang w:eastAsia="zh-CN"/>
        </w:rPr>
        <w:t>”</w:t>
      </w:r>
      <w:r>
        <w:rPr>
          <w:color w:val="auto"/>
          <w:sz w:val="24"/>
          <w:szCs w:val="24"/>
        </w:rPr>
        <w:t>的遴选标准</w:t>
      </w:r>
      <w:r>
        <w:rPr>
          <w:rFonts w:hint="eastAsia"/>
          <w:color w:val="auto"/>
          <w:sz w:val="24"/>
          <w:szCs w:val="24"/>
          <w:lang w:eastAsia="zh-CN"/>
        </w:rPr>
        <w:t>，</w:t>
      </w:r>
      <w:r>
        <w:rPr>
          <w:rFonts w:hint="eastAsia"/>
          <w:color w:val="auto"/>
          <w:sz w:val="24"/>
          <w:szCs w:val="24"/>
        </w:rPr>
        <w:t>完成劳动经济学、职业卫生工程2个新增专业的调研论证、学校审议及校内公示工作。</w:t>
      </w:r>
    </w:p>
    <w:p>
      <w:pPr>
        <w:pStyle w:val="4"/>
        <w:spacing w:before="0" w:after="0" w:line="240" w:lineRule="auto"/>
        <w:rPr>
          <w:rFonts w:ascii="黑体" w:hAnsi="黑体" w:eastAsia="黑体"/>
          <w:b w:val="0"/>
          <w:color w:val="auto"/>
          <w:sz w:val="24"/>
          <w:szCs w:val="24"/>
        </w:rPr>
      </w:pPr>
      <w:bookmarkStart w:id="88" w:name="_Toc18332"/>
      <w:bookmarkStart w:id="89" w:name="_Toc16175"/>
      <w:bookmarkStart w:id="90" w:name="_Toc27932"/>
      <w:bookmarkStart w:id="91" w:name="_Toc184"/>
      <w:bookmarkStart w:id="92" w:name="_Toc27111"/>
      <w:r>
        <w:rPr>
          <w:rFonts w:hint="eastAsia" w:ascii="黑体" w:hAnsi="黑体" w:eastAsia="黑体"/>
          <w:b w:val="0"/>
          <w:color w:val="auto"/>
          <w:sz w:val="24"/>
          <w:szCs w:val="24"/>
        </w:rPr>
        <w:t>3.课程建设不断优化</w:t>
      </w:r>
      <w:bookmarkEnd w:id="88"/>
      <w:bookmarkEnd w:id="89"/>
      <w:bookmarkEnd w:id="90"/>
      <w:bookmarkEnd w:id="91"/>
      <w:bookmarkEnd w:id="92"/>
    </w:p>
    <w:p>
      <w:pPr>
        <w:spacing w:line="400" w:lineRule="exact"/>
        <w:ind w:firstLine="480" w:firstLineChars="200"/>
        <w:jc w:val="both"/>
        <w:rPr>
          <w:rFonts w:hint="eastAsia"/>
          <w:color w:val="auto"/>
          <w:sz w:val="24"/>
          <w:szCs w:val="24"/>
          <w:lang w:val="en-US" w:eastAsia="zh-CN"/>
        </w:rPr>
      </w:pPr>
      <w:r>
        <w:rPr>
          <w:rFonts w:hint="eastAsia"/>
          <w:color w:val="auto"/>
          <w:sz w:val="24"/>
          <w:szCs w:val="24"/>
        </w:rPr>
        <w:t>2017-2018学年，学校修订了《中国劳动关系学院课程建设规划》，坚持通识与专业并重，启动实施专业主干课程、特色课程建设项目</w:t>
      </w:r>
      <w:r>
        <w:rPr>
          <w:rFonts w:hint="eastAsia"/>
          <w:color w:val="auto"/>
          <w:sz w:val="24"/>
          <w:szCs w:val="24"/>
          <w:lang w:val="en-US" w:eastAsia="zh-CN"/>
        </w:rPr>
        <w:t>，</w:t>
      </w:r>
      <w:r>
        <w:rPr>
          <w:rFonts w:hint="eastAsia"/>
          <w:color w:val="auto"/>
          <w:sz w:val="24"/>
          <w:szCs w:val="24"/>
          <w:u w:val="none"/>
          <w:lang w:val="en-US" w:eastAsia="zh-CN"/>
        </w:rPr>
        <w:t>共</w:t>
      </w:r>
      <w:r>
        <w:rPr>
          <w:rFonts w:hint="eastAsia"/>
          <w:color w:val="auto"/>
          <w:sz w:val="24"/>
          <w:szCs w:val="24"/>
          <w:u w:val="none"/>
        </w:rPr>
        <w:t>资助视频课程、共享课程、通识课程、校本课程等课程建设项目21项，资助经费</w:t>
      </w:r>
      <w:r>
        <w:rPr>
          <w:rFonts w:hint="eastAsia"/>
          <w:color w:val="auto"/>
          <w:sz w:val="24"/>
          <w:szCs w:val="24"/>
          <w:u w:val="none"/>
          <w:lang w:eastAsia="zh-CN"/>
        </w:rPr>
        <w:t>达</w:t>
      </w:r>
      <w:r>
        <w:rPr>
          <w:rFonts w:hint="eastAsia"/>
          <w:color w:val="auto"/>
          <w:sz w:val="24"/>
          <w:szCs w:val="24"/>
          <w:u w:val="none"/>
        </w:rPr>
        <w:t>117万元</w:t>
      </w:r>
      <w:r>
        <w:rPr>
          <w:rFonts w:hint="eastAsia"/>
          <w:color w:val="auto"/>
          <w:sz w:val="24"/>
          <w:szCs w:val="24"/>
        </w:rPr>
        <w:t>。一方面，继续推进通识教育核心课程和公共基础课程建设，将“文史经典与文化传承”“哲学智慧与批判性思维”“文明对话与世界视野”“科学精神与生命关怀”“艺术创作与审美体验”“社会研究与当代中国”“工会与劳动关系”“创新创业”8个模块通识核心课程纳入公选课，系统建设通识教育核心课程。另一方面，积极推进特色课程视频公开课建设，</w:t>
      </w:r>
      <w:r>
        <w:rPr>
          <w:rFonts w:hint="eastAsia"/>
          <w:color w:val="auto"/>
          <w:sz w:val="24"/>
          <w:szCs w:val="24"/>
          <w:lang w:val="en-US" w:eastAsia="zh-CN"/>
        </w:rPr>
        <w:t>本学年</w:t>
      </w:r>
      <w:r>
        <w:rPr>
          <w:rFonts w:hint="eastAsia"/>
          <w:color w:val="auto"/>
          <w:sz w:val="24"/>
          <w:szCs w:val="24"/>
        </w:rPr>
        <w:t>发布本校推荐在线课程4门，</w:t>
      </w:r>
      <w:r>
        <w:rPr>
          <w:rFonts w:hint="eastAsia"/>
          <w:color w:val="auto"/>
          <w:sz w:val="24"/>
          <w:szCs w:val="24"/>
          <w:lang w:eastAsia="zh-CN"/>
        </w:rPr>
        <w:t>其中《财务分析——</w:t>
      </w:r>
      <w:r>
        <w:rPr>
          <w:rFonts w:hint="eastAsia"/>
          <w:color w:val="auto"/>
          <w:sz w:val="24"/>
          <w:szCs w:val="24"/>
          <w:lang w:val="en-US" w:eastAsia="zh-CN"/>
        </w:rPr>
        <w:t>教你看报表</w:t>
      </w:r>
      <w:r>
        <w:rPr>
          <w:rFonts w:hint="eastAsia"/>
          <w:color w:val="auto"/>
          <w:sz w:val="24"/>
          <w:szCs w:val="24"/>
          <w:lang w:eastAsia="zh-CN"/>
        </w:rPr>
        <w:t>》，截至</w:t>
      </w:r>
      <w:r>
        <w:rPr>
          <w:rFonts w:hint="eastAsia"/>
          <w:color w:val="auto"/>
          <w:sz w:val="24"/>
          <w:szCs w:val="24"/>
          <w:lang w:val="en-US" w:eastAsia="zh-CN"/>
        </w:rPr>
        <w:t>2018年9月13日</w:t>
      </w:r>
      <w:r>
        <w:rPr>
          <w:rFonts w:hint="eastAsia"/>
          <w:color w:val="auto"/>
          <w:sz w:val="24"/>
          <w:szCs w:val="24"/>
          <w:lang w:eastAsia="zh-CN"/>
        </w:rPr>
        <w:t>的校内点击次数已达</w:t>
      </w:r>
      <w:r>
        <w:rPr>
          <w:rFonts w:hint="eastAsia"/>
          <w:color w:val="auto"/>
          <w:sz w:val="24"/>
          <w:szCs w:val="24"/>
          <w:lang w:val="en-US" w:eastAsia="zh-CN"/>
        </w:rPr>
        <w:t>5万余次</w:t>
      </w:r>
      <w:r>
        <w:rPr>
          <w:rFonts w:hint="eastAsia"/>
          <w:color w:val="auto"/>
          <w:sz w:val="24"/>
          <w:szCs w:val="24"/>
          <w:lang w:eastAsia="zh-CN"/>
        </w:rPr>
        <w:t>。</w:t>
      </w:r>
    </w:p>
    <w:p>
      <w:pPr>
        <w:pStyle w:val="4"/>
        <w:spacing w:before="0" w:after="0" w:line="240" w:lineRule="auto"/>
        <w:rPr>
          <w:rFonts w:ascii="黑体" w:hAnsi="黑体" w:eastAsia="黑体"/>
          <w:b w:val="0"/>
          <w:color w:val="auto"/>
          <w:sz w:val="24"/>
          <w:szCs w:val="24"/>
        </w:rPr>
      </w:pPr>
      <w:bookmarkStart w:id="93" w:name="_Toc20841"/>
      <w:bookmarkStart w:id="94" w:name="_Toc9098"/>
      <w:bookmarkStart w:id="95" w:name="_Toc17089"/>
      <w:bookmarkStart w:id="96" w:name="_Toc18152"/>
      <w:bookmarkStart w:id="97" w:name="_Toc25981"/>
      <w:r>
        <w:rPr>
          <w:rFonts w:hint="eastAsia" w:ascii="黑体" w:hAnsi="黑体" w:eastAsia="黑体"/>
          <w:b w:val="0"/>
          <w:color w:val="auto"/>
          <w:sz w:val="24"/>
          <w:szCs w:val="24"/>
        </w:rPr>
        <w:t>4.教材建设进一步加强</w:t>
      </w:r>
      <w:bookmarkEnd w:id="93"/>
      <w:bookmarkEnd w:id="94"/>
      <w:bookmarkEnd w:id="95"/>
      <w:bookmarkEnd w:id="96"/>
      <w:bookmarkEnd w:id="97"/>
    </w:p>
    <w:p>
      <w:pPr>
        <w:spacing w:line="400" w:lineRule="exact"/>
        <w:ind w:firstLine="480" w:firstLineChars="200"/>
        <w:jc w:val="both"/>
        <w:rPr>
          <w:rFonts w:hint="eastAsia" w:ascii="Calibri" w:hAnsi="Calibri" w:eastAsia="宋体" w:cs="Times New Roman"/>
          <w:color w:val="auto"/>
          <w:sz w:val="24"/>
          <w:lang w:val="zh-CN"/>
        </w:rPr>
      </w:pPr>
      <w:r>
        <w:rPr>
          <w:rFonts w:hint="eastAsia" w:ascii="Calibri" w:hAnsi="Calibri" w:eastAsia="宋体" w:cs="Times New Roman"/>
          <w:color w:val="auto"/>
          <w:sz w:val="24"/>
          <w:lang w:val="zh-CN"/>
        </w:rPr>
        <w:t>2017-2018学年，学校修订了《中国劳动关系学院本科教材选用管理办法》，进一步明确了教材选用规定，要求在符合人才培养目标和培养方案要求前提下，哲学社会科学学科课程应统一使用“马工程”教材，其他课程教材应优先选用国家规划教材、省部级获奖教材或教育部专业教学指导委员会推荐教材。2017-2018学年，学生选用本科教材400余种，其中，“马工程”教材约13种，选用“马工程”、国家规划教材、精品教材和教指委推荐教材数量约占本学年课程总门数的40%。</w:t>
      </w:r>
    </w:p>
    <w:p>
      <w:pPr>
        <w:spacing w:line="400" w:lineRule="exact"/>
        <w:ind w:firstLine="480" w:firstLineChars="200"/>
        <w:rPr>
          <w:rFonts w:ascii="Calibri" w:hAnsi="Calibri" w:eastAsia="宋体" w:cs="Times New Roman"/>
          <w:color w:val="auto"/>
          <w:sz w:val="24"/>
          <w:lang w:val="zh-CN"/>
        </w:rPr>
      </w:pPr>
      <w:r>
        <w:rPr>
          <w:rFonts w:hint="eastAsia" w:ascii="Calibri" w:hAnsi="Calibri" w:eastAsia="宋体" w:cs="Times New Roman"/>
          <w:color w:val="auto"/>
          <w:sz w:val="24"/>
          <w:lang w:val="zh-CN"/>
        </w:rPr>
        <w:t>此外，学校积极鼓励教师利用科研成果、教学成果撰写出版各类教材，2017-2018学年共立项资助校级规划教材3部、实验规划教材9部（见表</w:t>
      </w:r>
      <w:r>
        <w:rPr>
          <w:rFonts w:hint="eastAsia" w:ascii="Calibri" w:hAnsi="Calibri" w:eastAsia="宋体" w:cs="Times New Roman"/>
          <w:color w:val="auto"/>
          <w:sz w:val="24"/>
        </w:rPr>
        <w:t>4</w:t>
      </w:r>
      <w:r>
        <w:rPr>
          <w:rFonts w:hint="eastAsia" w:ascii="Calibri" w:hAnsi="Calibri" w:eastAsia="宋体" w:cs="Times New Roman"/>
          <w:color w:val="auto"/>
          <w:sz w:val="24"/>
          <w:lang w:val="zh-CN"/>
        </w:rPr>
        <w:t>），资助教师出版教材7部（见表</w:t>
      </w:r>
      <w:r>
        <w:rPr>
          <w:rFonts w:hint="eastAsia" w:ascii="Calibri" w:hAnsi="Calibri" w:eastAsia="宋体" w:cs="Times New Roman"/>
          <w:color w:val="auto"/>
          <w:sz w:val="24"/>
        </w:rPr>
        <w:t>5</w:t>
      </w:r>
      <w:r>
        <w:rPr>
          <w:rFonts w:hint="eastAsia" w:ascii="Calibri" w:hAnsi="Calibri" w:eastAsia="宋体" w:cs="Times New Roman"/>
          <w:color w:val="auto"/>
          <w:sz w:val="24"/>
          <w:lang w:val="zh-CN"/>
        </w:rPr>
        <w:t>）。</w:t>
      </w:r>
    </w:p>
    <w:p>
      <w:pPr>
        <w:jc w:val="center"/>
        <w:rPr>
          <w:rFonts w:ascii="宋体" w:hAnsi="宋体" w:eastAsia="宋体" w:cs="黑体"/>
          <w:b/>
          <w:color w:val="auto"/>
          <w:szCs w:val="21"/>
        </w:rPr>
      </w:pPr>
      <w:r>
        <w:rPr>
          <w:rFonts w:ascii="宋体" w:hAnsi="宋体" w:eastAsia="宋体" w:cs="黑体"/>
          <w:b/>
          <w:color w:val="auto"/>
          <w:szCs w:val="21"/>
        </w:rPr>
        <w:t>表</w:t>
      </w:r>
      <w:r>
        <w:rPr>
          <w:rFonts w:hint="eastAsia" w:ascii="宋体" w:hAnsi="宋体" w:eastAsia="宋体" w:cs="黑体"/>
          <w:b/>
          <w:color w:val="auto"/>
          <w:szCs w:val="21"/>
        </w:rPr>
        <w:t>4：2017年教材建设立项概况一览表</w:t>
      </w:r>
    </w:p>
    <w:tbl>
      <w:tblPr>
        <w:tblStyle w:val="16"/>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02"/>
        <w:gridCol w:w="3576"/>
        <w:gridCol w:w="850"/>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shd w:val="clear" w:color="auto" w:fill="4BACC6" w:themeFill="accent5"/>
          </w:tcPr>
          <w:p>
            <w:pPr>
              <w:spacing w:before="0" w:after="0" w:line="400" w:lineRule="exact"/>
              <w:jc w:val="center"/>
              <w:rPr>
                <w:rFonts w:ascii="宋体" w:hAnsi="宋体" w:eastAsia="宋体" w:cs="Times New Roman"/>
                <w:b/>
                <w:bCs/>
                <w:color w:val="auto"/>
                <w:szCs w:val="21"/>
              </w:rPr>
            </w:pPr>
            <w:r>
              <w:rPr>
                <w:rFonts w:hint="eastAsia" w:ascii="宋体" w:hAnsi="宋体" w:eastAsia="宋体" w:cs="Times New Roman"/>
                <w:b/>
                <w:bCs/>
                <w:color w:val="auto"/>
                <w:szCs w:val="21"/>
              </w:rPr>
              <w:t>序号</w:t>
            </w:r>
          </w:p>
        </w:tc>
        <w:tc>
          <w:tcPr>
            <w:tcW w:w="1102" w:type="dxa"/>
            <w:shd w:val="clear" w:color="auto" w:fill="4BACC6" w:themeFill="accent5"/>
          </w:tcPr>
          <w:p>
            <w:pPr>
              <w:spacing w:before="0" w:after="0" w:line="400" w:lineRule="exact"/>
              <w:jc w:val="center"/>
              <w:rPr>
                <w:rFonts w:ascii="宋体" w:hAnsi="宋体" w:eastAsia="宋体" w:cs="Times New Roman"/>
                <w:b/>
                <w:bCs/>
                <w:color w:val="auto"/>
                <w:szCs w:val="21"/>
                <w:lang w:val="zh-TW"/>
              </w:rPr>
            </w:pPr>
            <w:r>
              <w:rPr>
                <w:rFonts w:hint="eastAsia" w:ascii="宋体" w:hAnsi="宋体" w:eastAsia="宋体" w:cs="Times New Roman"/>
                <w:b/>
                <w:bCs/>
                <w:color w:val="auto"/>
                <w:szCs w:val="21"/>
                <w:lang w:val="zh-TW"/>
              </w:rPr>
              <w:t>立项年份</w:t>
            </w:r>
          </w:p>
        </w:tc>
        <w:tc>
          <w:tcPr>
            <w:tcW w:w="3576" w:type="dxa"/>
            <w:shd w:val="clear" w:color="auto" w:fill="4BACC6" w:themeFill="accent5"/>
          </w:tcPr>
          <w:p>
            <w:pPr>
              <w:spacing w:before="0" w:after="0" w:line="400" w:lineRule="exact"/>
              <w:jc w:val="center"/>
              <w:rPr>
                <w:rFonts w:ascii="宋体" w:hAnsi="宋体" w:eastAsia="宋体" w:cs="Times New Roman"/>
                <w:b/>
                <w:bCs/>
                <w:color w:val="auto"/>
                <w:szCs w:val="21"/>
                <w:lang w:val="zh-TW"/>
              </w:rPr>
            </w:pPr>
            <w:r>
              <w:rPr>
                <w:rFonts w:hint="eastAsia" w:ascii="宋体" w:hAnsi="宋体" w:eastAsia="宋体" w:cs="Times New Roman"/>
                <w:b/>
                <w:bCs/>
                <w:color w:val="auto"/>
                <w:szCs w:val="21"/>
                <w:lang w:val="zh-TW"/>
              </w:rPr>
              <w:t>教材名称</w:t>
            </w:r>
          </w:p>
        </w:tc>
        <w:tc>
          <w:tcPr>
            <w:tcW w:w="850" w:type="dxa"/>
            <w:shd w:val="clear" w:color="auto" w:fill="4BACC6" w:themeFill="accent5"/>
          </w:tcPr>
          <w:p>
            <w:pPr>
              <w:spacing w:before="0" w:after="0" w:line="400" w:lineRule="exact"/>
              <w:jc w:val="center"/>
              <w:rPr>
                <w:rFonts w:ascii="宋体" w:hAnsi="宋体" w:eastAsia="宋体" w:cs="Times New Roman"/>
                <w:b/>
                <w:bCs/>
                <w:color w:val="auto"/>
                <w:szCs w:val="21"/>
                <w:lang w:val="zh-TW"/>
              </w:rPr>
            </w:pPr>
            <w:r>
              <w:rPr>
                <w:rFonts w:hint="eastAsia" w:ascii="宋体" w:hAnsi="宋体" w:eastAsia="宋体" w:cs="Times New Roman"/>
                <w:b/>
                <w:bCs/>
                <w:color w:val="auto"/>
                <w:szCs w:val="21"/>
                <w:lang w:val="zh-TW"/>
              </w:rPr>
              <w:t>作者</w:t>
            </w:r>
          </w:p>
        </w:tc>
        <w:tc>
          <w:tcPr>
            <w:tcW w:w="2375" w:type="dxa"/>
            <w:shd w:val="clear" w:color="auto" w:fill="4BACC6" w:themeFill="accent5"/>
          </w:tcPr>
          <w:p>
            <w:pPr>
              <w:spacing w:before="0" w:after="0" w:line="400" w:lineRule="exact"/>
              <w:jc w:val="center"/>
              <w:rPr>
                <w:rFonts w:ascii="宋体" w:hAnsi="宋体" w:eastAsia="宋体" w:cs="Times New Roman"/>
                <w:b/>
                <w:bCs/>
                <w:color w:val="auto"/>
                <w:szCs w:val="21"/>
                <w:lang w:val="zh-TW"/>
              </w:rPr>
            </w:pPr>
            <w:r>
              <w:rPr>
                <w:rFonts w:hint="eastAsia" w:ascii="宋体" w:hAnsi="宋体" w:eastAsia="宋体" w:cs="Times New Roman"/>
                <w:b/>
                <w:bCs/>
                <w:color w:val="auto"/>
                <w:szCs w:val="21"/>
                <w:lang w:val="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1</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防火防爆技术</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胡广霞</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校“十三五”规划教材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2</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建筑防火设计</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颜  峻</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校“十三五”规划教材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3</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文献检索与综述</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刘泰洪</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校“十三五”规划教材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4</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生命中的第一年——婴儿观察实践</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阳  辉</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校实验教材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5</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企业管理综合训练</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胡玉玲</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校实验教材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6</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管理实践模拟</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王俊杰</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校实验教材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7</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政府与公务员绩效管理实验实训教程</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胡晓东</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校实验教材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8</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职业危害与个体防护</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唱  斗</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校实验教材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9</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运筹学实验指导及MATLAB程序设计</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杨鑫刚</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校实验教材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10</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人体生理信号测量与数据分析</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孙贵磊</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校实验教材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11</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大学书法学习与欣赏</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程仲霖</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校实验教材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19" w:type="dxa"/>
          </w:tcPr>
          <w:p>
            <w:pPr>
              <w:spacing w:line="400" w:lineRule="exact"/>
              <w:jc w:val="center"/>
              <w:rPr>
                <w:rFonts w:ascii="宋体" w:hAnsi="宋体" w:eastAsia="宋体" w:cs="Times New Roman"/>
                <w:b/>
                <w:bCs w:val="0"/>
                <w:color w:val="auto"/>
                <w:szCs w:val="21"/>
                <w:lang w:val="zh-TW"/>
              </w:rPr>
            </w:pPr>
            <w:r>
              <w:rPr>
                <w:rFonts w:hint="eastAsia" w:ascii="宋体" w:hAnsi="宋体" w:eastAsia="宋体" w:cs="Times New Roman"/>
                <w:b/>
                <w:bCs/>
                <w:color w:val="auto"/>
                <w:szCs w:val="21"/>
                <w:lang w:val="zh-TW"/>
              </w:rPr>
              <w:t>12</w:t>
            </w:r>
          </w:p>
        </w:tc>
        <w:tc>
          <w:tcPr>
            <w:tcW w:w="1102"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2017</w:t>
            </w:r>
          </w:p>
        </w:tc>
        <w:tc>
          <w:tcPr>
            <w:tcW w:w="3576" w:type="dxa"/>
          </w:tcPr>
          <w:p>
            <w:pPr>
              <w:spacing w:line="400" w:lineRule="exact"/>
              <w:jc w:val="left"/>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Autocad 机械绘图教程</w:t>
            </w:r>
          </w:p>
        </w:tc>
        <w:tc>
          <w:tcPr>
            <w:tcW w:w="850"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孙晓霞</w:t>
            </w:r>
          </w:p>
        </w:tc>
        <w:tc>
          <w:tcPr>
            <w:tcW w:w="2375" w:type="dxa"/>
          </w:tcPr>
          <w:p>
            <w:pPr>
              <w:spacing w:line="400" w:lineRule="exact"/>
              <w:jc w:val="center"/>
              <w:rPr>
                <w:rFonts w:ascii="宋体" w:hAnsi="宋体" w:eastAsia="宋体" w:cs="Times New Roman"/>
                <w:bCs/>
                <w:color w:val="auto"/>
                <w:szCs w:val="21"/>
                <w:lang w:val="zh-TW" w:eastAsia="zh-TW"/>
              </w:rPr>
            </w:pPr>
            <w:r>
              <w:rPr>
                <w:rFonts w:ascii="宋体" w:hAnsi="宋体" w:eastAsia="宋体" w:cs="Times New Roman"/>
                <w:bCs/>
                <w:color w:val="auto"/>
                <w:szCs w:val="21"/>
                <w:lang w:val="zh-TW" w:eastAsia="zh-TW"/>
              </w:rPr>
              <w:t>校实验教材</w:t>
            </w:r>
          </w:p>
        </w:tc>
      </w:tr>
    </w:tbl>
    <w:p>
      <w:pPr>
        <w:jc w:val="center"/>
        <w:rPr>
          <w:rFonts w:ascii="宋体" w:hAnsi="宋体" w:eastAsia="宋体" w:cs="黑体"/>
          <w:b/>
          <w:color w:val="auto"/>
          <w:szCs w:val="21"/>
        </w:rPr>
      </w:pPr>
      <w:r>
        <w:rPr>
          <w:rFonts w:ascii="宋体" w:hAnsi="宋体" w:eastAsia="宋体" w:cs="黑体"/>
          <w:b/>
          <w:color w:val="auto"/>
          <w:szCs w:val="21"/>
        </w:rPr>
        <w:t>表</w:t>
      </w:r>
      <w:r>
        <w:rPr>
          <w:rFonts w:hint="eastAsia" w:ascii="宋体" w:hAnsi="宋体" w:eastAsia="宋体" w:cs="黑体"/>
          <w:b/>
          <w:color w:val="auto"/>
          <w:szCs w:val="21"/>
        </w:rPr>
        <w:t>5：2017年教材出版概况一览表</w:t>
      </w:r>
    </w:p>
    <w:tbl>
      <w:tblPr>
        <w:tblStyle w:val="16"/>
        <w:tblW w:w="8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3543"/>
        <w:gridCol w:w="85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4BACC6" w:themeFill="accent5"/>
          </w:tcPr>
          <w:p>
            <w:pPr>
              <w:spacing w:before="0" w:after="0" w:line="400" w:lineRule="exact"/>
              <w:jc w:val="center"/>
              <w:rPr>
                <w:rFonts w:ascii="宋体" w:hAnsi="宋体" w:eastAsia="宋体" w:cs="Times New Roman"/>
                <w:b/>
                <w:bCs/>
                <w:color w:val="auto"/>
                <w:szCs w:val="21"/>
                <w:lang w:val="zh-TW"/>
              </w:rPr>
            </w:pPr>
            <w:r>
              <w:rPr>
                <w:rFonts w:hint="eastAsia" w:ascii="宋体" w:hAnsi="宋体" w:eastAsia="宋体" w:cs="Times New Roman"/>
                <w:b/>
                <w:bCs/>
                <w:color w:val="auto"/>
                <w:szCs w:val="21"/>
                <w:lang w:val="zh-TW"/>
              </w:rPr>
              <w:t>序号</w:t>
            </w:r>
          </w:p>
        </w:tc>
        <w:tc>
          <w:tcPr>
            <w:tcW w:w="1134" w:type="dxa"/>
            <w:shd w:val="clear" w:color="auto" w:fill="4BACC6" w:themeFill="accent5"/>
          </w:tcPr>
          <w:p>
            <w:pPr>
              <w:spacing w:before="0" w:after="0" w:line="400" w:lineRule="exact"/>
              <w:jc w:val="center"/>
              <w:rPr>
                <w:rFonts w:ascii="宋体" w:hAnsi="宋体" w:eastAsia="宋体" w:cs="Times New Roman"/>
                <w:b/>
                <w:bCs/>
                <w:color w:val="auto"/>
                <w:szCs w:val="21"/>
                <w:lang w:val="zh-TW"/>
              </w:rPr>
            </w:pPr>
            <w:r>
              <w:rPr>
                <w:rFonts w:hint="eastAsia" w:ascii="宋体" w:hAnsi="宋体" w:eastAsia="宋体" w:cs="Times New Roman"/>
                <w:b/>
                <w:bCs/>
                <w:color w:val="auto"/>
                <w:szCs w:val="21"/>
                <w:lang w:val="zh-TW"/>
              </w:rPr>
              <w:t>出版年份</w:t>
            </w:r>
          </w:p>
        </w:tc>
        <w:tc>
          <w:tcPr>
            <w:tcW w:w="3543" w:type="dxa"/>
            <w:shd w:val="clear" w:color="auto" w:fill="4BACC6" w:themeFill="accent5"/>
          </w:tcPr>
          <w:p>
            <w:pPr>
              <w:spacing w:before="0" w:after="0" w:line="400" w:lineRule="exact"/>
              <w:jc w:val="center"/>
              <w:rPr>
                <w:rFonts w:ascii="宋体" w:hAnsi="宋体" w:eastAsia="宋体" w:cs="Times New Roman"/>
                <w:b/>
                <w:bCs/>
                <w:color w:val="auto"/>
                <w:szCs w:val="21"/>
                <w:lang w:val="zh-TW"/>
              </w:rPr>
            </w:pPr>
            <w:r>
              <w:rPr>
                <w:rFonts w:hint="eastAsia" w:ascii="宋体" w:hAnsi="宋体" w:eastAsia="宋体" w:cs="Times New Roman"/>
                <w:b/>
                <w:bCs/>
                <w:color w:val="auto"/>
                <w:szCs w:val="21"/>
                <w:lang w:val="zh-TW"/>
              </w:rPr>
              <w:t>教材名称</w:t>
            </w:r>
          </w:p>
        </w:tc>
        <w:tc>
          <w:tcPr>
            <w:tcW w:w="851" w:type="dxa"/>
            <w:shd w:val="clear" w:color="auto" w:fill="4BACC6" w:themeFill="accent5"/>
          </w:tcPr>
          <w:p>
            <w:pPr>
              <w:spacing w:before="0" w:after="0" w:line="400" w:lineRule="exact"/>
              <w:jc w:val="center"/>
              <w:rPr>
                <w:rFonts w:ascii="宋体" w:hAnsi="宋体" w:eastAsia="宋体" w:cs="Times New Roman"/>
                <w:b/>
                <w:bCs/>
                <w:color w:val="auto"/>
                <w:szCs w:val="21"/>
                <w:lang w:val="zh-TW"/>
              </w:rPr>
            </w:pPr>
            <w:r>
              <w:rPr>
                <w:rFonts w:hint="eastAsia" w:ascii="宋体" w:hAnsi="宋体" w:eastAsia="宋体" w:cs="Times New Roman"/>
                <w:b/>
                <w:bCs/>
                <w:color w:val="auto"/>
                <w:szCs w:val="21"/>
                <w:lang w:val="zh-TW"/>
              </w:rPr>
              <w:t>作者</w:t>
            </w:r>
          </w:p>
        </w:tc>
        <w:tc>
          <w:tcPr>
            <w:tcW w:w="1984" w:type="dxa"/>
            <w:shd w:val="clear" w:color="auto" w:fill="4BACC6" w:themeFill="accent5"/>
          </w:tcPr>
          <w:p>
            <w:pPr>
              <w:spacing w:before="0" w:after="0" w:line="400" w:lineRule="exact"/>
              <w:jc w:val="center"/>
              <w:rPr>
                <w:rFonts w:ascii="宋体" w:hAnsi="宋体" w:eastAsia="宋体" w:cs="Times New Roman"/>
                <w:b/>
                <w:bCs/>
                <w:color w:val="auto"/>
                <w:szCs w:val="21"/>
                <w:lang w:val="zh-TW"/>
              </w:rPr>
            </w:pPr>
            <w:r>
              <w:rPr>
                <w:rFonts w:hint="eastAsia" w:ascii="宋体" w:hAnsi="宋体" w:eastAsia="宋体" w:cs="Times New Roman"/>
                <w:b/>
                <w:bCs/>
                <w:color w:val="auto"/>
                <w:szCs w:val="21"/>
                <w:lang w:val="zh-TW"/>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line="400" w:lineRule="exact"/>
              <w:jc w:val="center"/>
              <w:rPr>
                <w:rFonts w:ascii="宋体" w:hAnsi="宋体" w:eastAsia="宋体" w:cs="Times New Roman"/>
                <w:b w:val="0"/>
                <w:bCs/>
                <w:color w:val="auto"/>
                <w:szCs w:val="21"/>
                <w:lang w:val="zh-TW"/>
              </w:rPr>
            </w:pPr>
            <w:r>
              <w:rPr>
                <w:rFonts w:hint="eastAsia" w:ascii="宋体" w:hAnsi="宋体" w:eastAsia="宋体" w:cs="Times New Roman"/>
                <w:b/>
                <w:bCs/>
                <w:color w:val="auto"/>
                <w:szCs w:val="21"/>
                <w:lang w:val="zh-TW"/>
              </w:rPr>
              <w:t>1</w:t>
            </w:r>
          </w:p>
        </w:tc>
        <w:tc>
          <w:tcPr>
            <w:tcW w:w="1134"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2017</w:t>
            </w:r>
          </w:p>
        </w:tc>
        <w:tc>
          <w:tcPr>
            <w:tcW w:w="3543" w:type="dxa"/>
          </w:tcPr>
          <w:p>
            <w:pPr>
              <w:spacing w:line="400" w:lineRule="exact"/>
              <w:rPr>
                <w:rFonts w:ascii="宋体" w:hAnsi="宋体" w:eastAsia="宋体" w:cs="Times New Roman"/>
                <w:bCs/>
                <w:color w:val="auto"/>
                <w:szCs w:val="21"/>
                <w:lang w:val="zh-TW"/>
              </w:rPr>
            </w:pPr>
            <w:r>
              <w:rPr>
                <w:rFonts w:hint="eastAsia" w:ascii="宋体" w:hAnsi="宋体" w:eastAsia="宋体" w:cs="Times New Roman"/>
                <w:bCs/>
                <w:color w:val="auto"/>
                <w:szCs w:val="21"/>
                <w:lang w:val="zh-TW"/>
              </w:rPr>
              <w:t>绩效管理的理论研究与实践探索</w:t>
            </w:r>
          </w:p>
        </w:tc>
        <w:tc>
          <w:tcPr>
            <w:tcW w:w="851" w:type="dxa"/>
          </w:tcPr>
          <w:p>
            <w:pPr>
              <w:spacing w:line="400" w:lineRule="exact"/>
              <w:jc w:val="center"/>
              <w:rPr>
                <w:rFonts w:ascii="宋体" w:hAnsi="宋体" w:eastAsia="宋体" w:cs="Times New Roman"/>
                <w:bCs/>
                <w:color w:val="auto"/>
                <w:szCs w:val="21"/>
                <w:lang w:val="zh-TW"/>
              </w:rPr>
            </w:pPr>
            <w:r>
              <w:rPr>
                <w:rFonts w:hint="eastAsia" w:ascii="宋体" w:hAnsi="宋体" w:eastAsia="宋体" w:cs="Times New Roman"/>
                <w:bCs/>
                <w:color w:val="auto"/>
                <w:szCs w:val="21"/>
                <w:lang w:val="zh-TW"/>
              </w:rPr>
              <w:t>胡晓东</w:t>
            </w:r>
          </w:p>
        </w:tc>
        <w:tc>
          <w:tcPr>
            <w:tcW w:w="1984" w:type="dxa"/>
          </w:tcPr>
          <w:p>
            <w:pPr>
              <w:spacing w:line="400" w:lineRule="exact"/>
              <w:jc w:val="center"/>
              <w:rPr>
                <w:rFonts w:ascii="宋体" w:hAnsi="宋体" w:eastAsia="宋体" w:cs="Times New Roman"/>
                <w:bCs/>
                <w:color w:val="auto"/>
                <w:szCs w:val="21"/>
                <w:lang w:val="zh-TW"/>
              </w:rPr>
            </w:pPr>
            <w:r>
              <w:rPr>
                <w:rFonts w:hint="eastAsia" w:ascii="宋体" w:hAnsi="宋体" w:eastAsia="宋体" w:cs="Times New Roman"/>
                <w:bCs/>
                <w:color w:val="auto"/>
                <w:szCs w:val="21"/>
                <w:lang w:val="zh-TW"/>
              </w:rPr>
              <w:t>华中科技大学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line="400" w:lineRule="exact"/>
              <w:jc w:val="center"/>
              <w:rPr>
                <w:rFonts w:ascii="宋体" w:hAnsi="宋体" w:eastAsia="宋体" w:cs="Times New Roman"/>
                <w:b w:val="0"/>
                <w:bCs/>
                <w:color w:val="auto"/>
                <w:szCs w:val="21"/>
                <w:lang w:val="zh-TW"/>
              </w:rPr>
            </w:pPr>
            <w:r>
              <w:rPr>
                <w:rFonts w:hint="eastAsia" w:ascii="宋体" w:hAnsi="宋体" w:eastAsia="宋体" w:cs="Times New Roman"/>
                <w:b/>
                <w:bCs/>
                <w:color w:val="auto"/>
                <w:szCs w:val="21"/>
                <w:lang w:val="zh-TW"/>
              </w:rPr>
              <w:t>2</w:t>
            </w:r>
          </w:p>
        </w:tc>
        <w:tc>
          <w:tcPr>
            <w:tcW w:w="1134"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2017</w:t>
            </w:r>
          </w:p>
        </w:tc>
        <w:tc>
          <w:tcPr>
            <w:tcW w:w="3543" w:type="dxa"/>
          </w:tcPr>
          <w:p>
            <w:pPr>
              <w:spacing w:line="400" w:lineRule="exact"/>
              <w:rPr>
                <w:rFonts w:ascii="宋体" w:hAnsi="宋体" w:eastAsia="宋体" w:cs="Times New Roman"/>
                <w:bCs/>
                <w:color w:val="auto"/>
                <w:szCs w:val="21"/>
                <w:lang w:val="zh-TW"/>
              </w:rPr>
            </w:pPr>
            <w:r>
              <w:rPr>
                <w:rFonts w:ascii="宋体" w:hAnsi="宋体" w:eastAsia="宋体" w:cs="Times New Roman"/>
                <w:bCs/>
                <w:color w:val="auto"/>
                <w:szCs w:val="21"/>
                <w:lang w:val="zh-TW"/>
              </w:rPr>
              <w:t>企业内部控制</w:t>
            </w:r>
          </w:p>
        </w:tc>
        <w:tc>
          <w:tcPr>
            <w:tcW w:w="851"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王李</w:t>
            </w:r>
          </w:p>
        </w:tc>
        <w:tc>
          <w:tcPr>
            <w:tcW w:w="1984" w:type="dxa"/>
          </w:tcPr>
          <w:p>
            <w:pPr>
              <w:spacing w:line="400" w:lineRule="exact"/>
              <w:jc w:val="center"/>
              <w:rPr>
                <w:rFonts w:ascii="宋体" w:hAnsi="宋体" w:eastAsia="宋体" w:cs="Times New Roman"/>
                <w:bCs/>
                <w:color w:val="auto"/>
                <w:szCs w:val="21"/>
                <w:lang w:val="zh-TW"/>
              </w:rPr>
            </w:pPr>
            <w:r>
              <w:rPr>
                <w:color w:val="auto"/>
              </w:rPr>
              <w:fldChar w:fldCharType="begin"/>
            </w:r>
            <w:r>
              <w:rPr>
                <w:color w:val="auto"/>
              </w:rPr>
              <w:instrText xml:space="preserve"> HYPERLINK "http://search.dangdang.com/?key3=%B8%DF%B5%C8%BD%CC%D3%FD%B3%F6%B0%E6%C9%E7&amp;medium=01&amp;category_path=01.00.00.00.00.00" </w:instrText>
            </w:r>
            <w:r>
              <w:rPr>
                <w:color w:val="auto"/>
              </w:rPr>
              <w:fldChar w:fldCharType="separate"/>
            </w:r>
            <w:r>
              <w:rPr>
                <w:rFonts w:ascii="宋体" w:hAnsi="宋体" w:eastAsia="宋体" w:cs="Times New Roman"/>
                <w:bCs/>
                <w:color w:val="auto"/>
                <w:szCs w:val="21"/>
                <w:lang w:val="zh-TW"/>
              </w:rPr>
              <w:t>高等教育</w:t>
            </w:r>
            <w:r>
              <w:rPr>
                <w:rFonts w:ascii="宋体" w:hAnsi="宋体" w:eastAsia="宋体" w:cs="Times New Roman"/>
                <w:bCs/>
                <w:color w:val="auto"/>
                <w:szCs w:val="21"/>
                <w:lang w:val="zh-TW"/>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line="400" w:lineRule="exact"/>
              <w:jc w:val="center"/>
              <w:rPr>
                <w:rFonts w:ascii="宋体" w:hAnsi="宋体" w:eastAsia="宋体" w:cs="Times New Roman"/>
                <w:b w:val="0"/>
                <w:bCs/>
                <w:color w:val="auto"/>
                <w:szCs w:val="21"/>
                <w:lang w:val="zh-TW"/>
              </w:rPr>
            </w:pPr>
            <w:r>
              <w:rPr>
                <w:rFonts w:hint="eastAsia" w:ascii="宋体" w:hAnsi="宋体" w:eastAsia="宋体" w:cs="Times New Roman"/>
                <w:b/>
                <w:bCs/>
                <w:color w:val="auto"/>
                <w:szCs w:val="21"/>
                <w:lang w:val="zh-TW"/>
              </w:rPr>
              <w:t>3</w:t>
            </w:r>
          </w:p>
        </w:tc>
        <w:tc>
          <w:tcPr>
            <w:tcW w:w="1134"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2017</w:t>
            </w:r>
          </w:p>
        </w:tc>
        <w:tc>
          <w:tcPr>
            <w:tcW w:w="3543" w:type="dxa"/>
          </w:tcPr>
          <w:p>
            <w:pPr>
              <w:spacing w:line="400" w:lineRule="exact"/>
              <w:rPr>
                <w:rFonts w:ascii="宋体" w:hAnsi="宋体" w:eastAsia="宋体" w:cs="Times New Roman"/>
                <w:bCs/>
                <w:color w:val="auto"/>
                <w:szCs w:val="21"/>
                <w:lang w:val="zh-TW"/>
              </w:rPr>
            </w:pPr>
            <w:r>
              <w:rPr>
                <w:rFonts w:ascii="宋体" w:hAnsi="宋体" w:eastAsia="宋体" w:cs="Times New Roman"/>
                <w:bCs/>
                <w:color w:val="auto"/>
                <w:szCs w:val="21"/>
                <w:lang w:val="zh-TW"/>
              </w:rPr>
              <w:t>文本阅读案例实验导引</w:t>
            </w:r>
          </w:p>
        </w:tc>
        <w:tc>
          <w:tcPr>
            <w:tcW w:w="851"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雷世文</w:t>
            </w:r>
          </w:p>
        </w:tc>
        <w:tc>
          <w:tcPr>
            <w:tcW w:w="1984"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清华大学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line="400" w:lineRule="exact"/>
              <w:jc w:val="center"/>
              <w:rPr>
                <w:rFonts w:ascii="宋体" w:hAnsi="宋体" w:eastAsia="宋体" w:cs="Times New Roman"/>
                <w:b w:val="0"/>
                <w:bCs/>
                <w:color w:val="auto"/>
                <w:szCs w:val="21"/>
                <w:lang w:val="zh-TW"/>
              </w:rPr>
            </w:pPr>
            <w:r>
              <w:rPr>
                <w:rFonts w:hint="eastAsia" w:ascii="宋体" w:hAnsi="宋体" w:eastAsia="宋体" w:cs="Times New Roman"/>
                <w:b/>
                <w:bCs/>
                <w:color w:val="auto"/>
                <w:szCs w:val="21"/>
                <w:lang w:val="zh-TW"/>
              </w:rPr>
              <w:t>4</w:t>
            </w:r>
          </w:p>
        </w:tc>
        <w:tc>
          <w:tcPr>
            <w:tcW w:w="1134"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2017</w:t>
            </w:r>
          </w:p>
        </w:tc>
        <w:tc>
          <w:tcPr>
            <w:tcW w:w="3543" w:type="dxa"/>
          </w:tcPr>
          <w:p>
            <w:pPr>
              <w:spacing w:line="400" w:lineRule="exact"/>
              <w:rPr>
                <w:rFonts w:ascii="宋体" w:hAnsi="宋体" w:eastAsia="宋体" w:cs="Times New Roman"/>
                <w:bCs/>
                <w:color w:val="auto"/>
                <w:szCs w:val="21"/>
                <w:lang w:val="zh-TW"/>
              </w:rPr>
            </w:pPr>
            <w:r>
              <w:rPr>
                <w:rFonts w:ascii="宋体" w:hAnsi="宋体" w:eastAsia="宋体" w:cs="Times New Roman"/>
                <w:bCs/>
                <w:color w:val="auto"/>
                <w:szCs w:val="21"/>
                <w:lang w:val="zh-TW"/>
              </w:rPr>
              <w:t>财务分析理论与实务</w:t>
            </w:r>
          </w:p>
        </w:tc>
        <w:tc>
          <w:tcPr>
            <w:tcW w:w="851"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刘东生</w:t>
            </w:r>
          </w:p>
        </w:tc>
        <w:tc>
          <w:tcPr>
            <w:tcW w:w="1984"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人民邮电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line="400" w:lineRule="exact"/>
              <w:jc w:val="center"/>
              <w:rPr>
                <w:rFonts w:ascii="宋体" w:hAnsi="宋体" w:eastAsia="宋体" w:cs="Times New Roman"/>
                <w:b w:val="0"/>
                <w:bCs/>
                <w:color w:val="auto"/>
                <w:szCs w:val="21"/>
                <w:lang w:val="zh-TW"/>
              </w:rPr>
            </w:pPr>
            <w:r>
              <w:rPr>
                <w:rFonts w:hint="eastAsia" w:ascii="宋体" w:hAnsi="宋体" w:eastAsia="宋体" w:cs="Times New Roman"/>
                <w:b/>
                <w:bCs/>
                <w:color w:val="auto"/>
                <w:szCs w:val="21"/>
                <w:lang w:val="zh-TW"/>
              </w:rPr>
              <w:t>5</w:t>
            </w:r>
          </w:p>
        </w:tc>
        <w:tc>
          <w:tcPr>
            <w:tcW w:w="1134"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2017</w:t>
            </w:r>
          </w:p>
        </w:tc>
        <w:tc>
          <w:tcPr>
            <w:tcW w:w="3543" w:type="dxa"/>
          </w:tcPr>
          <w:p>
            <w:pPr>
              <w:spacing w:line="400" w:lineRule="exact"/>
              <w:rPr>
                <w:rFonts w:ascii="宋体" w:hAnsi="宋体" w:eastAsia="宋体" w:cs="Times New Roman"/>
                <w:bCs/>
                <w:color w:val="auto"/>
                <w:szCs w:val="21"/>
                <w:lang w:val="zh-TW"/>
              </w:rPr>
            </w:pPr>
            <w:r>
              <w:rPr>
                <w:rFonts w:ascii="宋体" w:hAnsi="宋体" w:eastAsia="宋体" w:cs="Times New Roman"/>
                <w:bCs/>
                <w:color w:val="auto"/>
                <w:szCs w:val="21"/>
                <w:lang w:val="zh-TW"/>
              </w:rPr>
              <w:t>税法理论与实务</w:t>
            </w:r>
          </w:p>
        </w:tc>
        <w:tc>
          <w:tcPr>
            <w:tcW w:w="851"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周珺华</w:t>
            </w:r>
          </w:p>
        </w:tc>
        <w:tc>
          <w:tcPr>
            <w:tcW w:w="1984"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人民邮电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Pr>
          <w:p>
            <w:pPr>
              <w:spacing w:line="400" w:lineRule="exact"/>
              <w:jc w:val="center"/>
              <w:rPr>
                <w:rFonts w:ascii="宋体" w:hAnsi="宋体" w:eastAsia="宋体" w:cs="Times New Roman"/>
                <w:b w:val="0"/>
                <w:bCs/>
                <w:color w:val="auto"/>
                <w:szCs w:val="21"/>
                <w:lang w:val="zh-TW"/>
              </w:rPr>
            </w:pPr>
            <w:r>
              <w:rPr>
                <w:rFonts w:hint="eastAsia" w:ascii="宋体" w:hAnsi="宋体" w:eastAsia="宋体" w:cs="Times New Roman"/>
                <w:b/>
                <w:bCs/>
                <w:color w:val="auto"/>
                <w:szCs w:val="21"/>
                <w:lang w:val="zh-TW"/>
              </w:rPr>
              <w:t>6</w:t>
            </w:r>
          </w:p>
        </w:tc>
        <w:tc>
          <w:tcPr>
            <w:tcW w:w="1134"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2017</w:t>
            </w:r>
          </w:p>
        </w:tc>
        <w:tc>
          <w:tcPr>
            <w:tcW w:w="3543" w:type="dxa"/>
          </w:tcPr>
          <w:p>
            <w:pPr>
              <w:spacing w:line="400" w:lineRule="exact"/>
              <w:rPr>
                <w:rFonts w:ascii="宋体" w:hAnsi="宋体" w:eastAsia="宋体" w:cs="Times New Roman"/>
                <w:bCs/>
                <w:color w:val="auto"/>
                <w:szCs w:val="21"/>
                <w:lang w:val="zh-TW"/>
              </w:rPr>
            </w:pPr>
            <w:r>
              <w:rPr>
                <w:rFonts w:ascii="宋体" w:hAnsi="宋体" w:eastAsia="宋体" w:cs="Times New Roman"/>
                <w:bCs/>
                <w:color w:val="auto"/>
                <w:szCs w:val="21"/>
                <w:lang w:val="zh-TW"/>
              </w:rPr>
              <w:t>财务管理理论与实务</w:t>
            </w:r>
          </w:p>
        </w:tc>
        <w:tc>
          <w:tcPr>
            <w:tcW w:w="851"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祝映兰</w:t>
            </w:r>
          </w:p>
        </w:tc>
        <w:tc>
          <w:tcPr>
            <w:tcW w:w="1984" w:type="dxa"/>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人民邮电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spacing w:line="400" w:lineRule="exact"/>
              <w:jc w:val="center"/>
              <w:rPr>
                <w:rFonts w:ascii="宋体" w:hAnsi="宋体" w:eastAsia="宋体" w:cs="Times New Roman"/>
                <w:b w:val="0"/>
                <w:bCs/>
                <w:color w:val="auto"/>
                <w:szCs w:val="21"/>
                <w:lang w:val="zh-TW"/>
              </w:rPr>
            </w:pPr>
            <w:r>
              <w:rPr>
                <w:rFonts w:hint="eastAsia" w:ascii="宋体" w:hAnsi="宋体" w:eastAsia="宋体" w:cs="Times New Roman"/>
                <w:b/>
                <w:bCs/>
                <w:color w:val="auto"/>
                <w:szCs w:val="21"/>
                <w:lang w:val="zh-TW"/>
              </w:rPr>
              <w:t>7</w:t>
            </w:r>
          </w:p>
        </w:tc>
        <w:tc>
          <w:tcPr>
            <w:tcW w:w="1134" w:type="dxa"/>
            <w:vAlign w:val="center"/>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2017</w:t>
            </w:r>
          </w:p>
        </w:tc>
        <w:tc>
          <w:tcPr>
            <w:tcW w:w="3543" w:type="dxa"/>
            <w:vAlign w:val="center"/>
          </w:tcPr>
          <w:p>
            <w:pPr>
              <w:spacing w:line="400" w:lineRule="exact"/>
              <w:rPr>
                <w:rFonts w:ascii="宋体" w:hAnsi="宋体" w:eastAsia="宋体" w:cs="Times New Roman"/>
                <w:bCs/>
                <w:color w:val="auto"/>
                <w:szCs w:val="21"/>
                <w:lang w:val="zh-TW"/>
              </w:rPr>
            </w:pPr>
            <w:r>
              <w:rPr>
                <w:rFonts w:hint="eastAsia" w:ascii="宋体" w:hAnsi="宋体" w:eastAsia="宋体" w:cs="Times New Roman"/>
                <w:bCs/>
                <w:color w:val="auto"/>
                <w:szCs w:val="21"/>
                <w:lang w:val="zh-TW"/>
              </w:rPr>
              <w:t>企业资源规划</w:t>
            </w:r>
            <w:r>
              <w:rPr>
                <w:rFonts w:ascii="宋体" w:hAnsi="宋体" w:eastAsia="宋体" w:cs="Times New Roman"/>
                <w:bCs/>
                <w:color w:val="auto"/>
                <w:szCs w:val="21"/>
                <w:lang w:val="zh-TW"/>
              </w:rPr>
              <w:t>(ERP)</w:t>
            </w:r>
            <w:r>
              <w:rPr>
                <w:rFonts w:hint="eastAsia" w:ascii="宋体" w:hAnsi="宋体" w:eastAsia="宋体" w:cs="Times New Roman"/>
                <w:bCs/>
                <w:color w:val="auto"/>
                <w:szCs w:val="21"/>
                <w:lang w:val="zh-TW"/>
              </w:rPr>
              <w:t>系统实验教程</w:t>
            </w:r>
          </w:p>
        </w:tc>
        <w:tc>
          <w:tcPr>
            <w:tcW w:w="851" w:type="dxa"/>
          </w:tcPr>
          <w:p>
            <w:pPr>
              <w:spacing w:line="400" w:lineRule="exact"/>
              <w:jc w:val="center"/>
              <w:rPr>
                <w:rFonts w:ascii="宋体" w:hAnsi="宋体" w:eastAsia="宋体" w:cs="Times New Roman"/>
                <w:bCs/>
                <w:color w:val="auto"/>
                <w:szCs w:val="21"/>
                <w:lang w:val="zh-TW"/>
              </w:rPr>
            </w:pPr>
            <w:r>
              <w:rPr>
                <w:rFonts w:hint="eastAsia" w:ascii="宋体" w:hAnsi="宋体" w:eastAsia="宋体" w:cs="Times New Roman"/>
                <w:bCs/>
                <w:color w:val="auto"/>
                <w:szCs w:val="21"/>
                <w:lang w:val="zh-TW"/>
              </w:rPr>
              <w:t>张才明</w:t>
            </w:r>
            <w:r>
              <w:rPr>
                <w:rFonts w:hint="eastAsia" w:ascii="宋体" w:hAnsi="宋体" w:eastAsia="宋体" w:cs="Times New Roman"/>
                <w:bCs/>
                <w:color w:val="auto"/>
                <w:szCs w:val="21"/>
                <w:lang w:val="zh-TW"/>
              </w:rPr>
              <w:br w:type="textWrapping"/>
            </w:r>
            <w:r>
              <w:rPr>
                <w:rFonts w:hint="eastAsia" w:ascii="宋体" w:hAnsi="宋体" w:eastAsia="宋体" w:cs="Times New Roman"/>
                <w:bCs/>
                <w:color w:val="auto"/>
                <w:szCs w:val="21"/>
                <w:lang w:val="zh-TW"/>
              </w:rPr>
              <w:t>徐军委</w:t>
            </w:r>
          </w:p>
        </w:tc>
        <w:tc>
          <w:tcPr>
            <w:tcW w:w="1984" w:type="dxa"/>
            <w:vAlign w:val="center"/>
          </w:tcPr>
          <w:p>
            <w:pPr>
              <w:spacing w:line="400" w:lineRule="exact"/>
              <w:jc w:val="center"/>
              <w:rPr>
                <w:rFonts w:ascii="宋体" w:hAnsi="宋体" w:eastAsia="宋体" w:cs="Times New Roman"/>
                <w:bCs/>
                <w:color w:val="auto"/>
                <w:szCs w:val="21"/>
                <w:lang w:val="zh-TW"/>
              </w:rPr>
            </w:pPr>
            <w:r>
              <w:rPr>
                <w:rFonts w:ascii="宋体" w:hAnsi="宋体" w:eastAsia="宋体" w:cs="Times New Roman"/>
                <w:bCs/>
                <w:color w:val="auto"/>
                <w:szCs w:val="21"/>
                <w:lang w:val="zh-TW"/>
              </w:rPr>
              <w:t>清华大学</w:t>
            </w:r>
          </w:p>
        </w:tc>
      </w:tr>
    </w:tbl>
    <w:p>
      <w:pPr>
        <w:pStyle w:val="4"/>
        <w:spacing w:before="0" w:after="0" w:line="240" w:lineRule="auto"/>
        <w:rPr>
          <w:rFonts w:ascii="黑体" w:hAnsi="黑体" w:eastAsia="黑体"/>
          <w:b w:val="0"/>
          <w:color w:val="auto"/>
          <w:sz w:val="24"/>
          <w:szCs w:val="24"/>
        </w:rPr>
      </w:pPr>
    </w:p>
    <w:p>
      <w:pPr>
        <w:pStyle w:val="4"/>
        <w:spacing w:before="0" w:after="0" w:line="240" w:lineRule="auto"/>
        <w:rPr>
          <w:rFonts w:ascii="黑体" w:hAnsi="黑体" w:eastAsia="黑体"/>
          <w:b w:val="0"/>
          <w:color w:val="auto"/>
          <w:sz w:val="24"/>
          <w:szCs w:val="24"/>
        </w:rPr>
      </w:pPr>
      <w:bookmarkStart w:id="98" w:name="_Toc4156"/>
      <w:bookmarkStart w:id="99" w:name="_Toc30925"/>
      <w:bookmarkStart w:id="100" w:name="_Toc29962"/>
      <w:bookmarkStart w:id="101" w:name="_Toc21405"/>
      <w:bookmarkStart w:id="102" w:name="_Toc3424"/>
      <w:r>
        <w:rPr>
          <w:rFonts w:hint="eastAsia" w:ascii="黑体" w:hAnsi="黑体" w:eastAsia="黑体"/>
          <w:b w:val="0"/>
          <w:color w:val="auto"/>
          <w:sz w:val="24"/>
          <w:szCs w:val="24"/>
        </w:rPr>
        <w:t>5.合作办学进一步拓展</w:t>
      </w:r>
      <w:bookmarkEnd w:id="98"/>
      <w:bookmarkEnd w:id="99"/>
      <w:bookmarkEnd w:id="100"/>
      <w:bookmarkEnd w:id="101"/>
      <w:bookmarkEnd w:id="102"/>
    </w:p>
    <w:p>
      <w:pPr>
        <w:spacing w:line="400" w:lineRule="exact"/>
        <w:ind w:firstLine="480" w:firstLineChars="200"/>
        <w:rPr>
          <w:rFonts w:hint="eastAsia"/>
          <w:color w:val="auto"/>
          <w:sz w:val="24"/>
          <w:szCs w:val="24"/>
        </w:rPr>
      </w:pPr>
      <w:r>
        <w:rPr>
          <w:rFonts w:hint="eastAsia"/>
          <w:color w:val="auto"/>
          <w:sz w:val="24"/>
          <w:szCs w:val="24"/>
        </w:rPr>
        <w:t>2017-2018学年，学校在继续开展与国（境）外10多所高校交流合作活动的同时，与美国纽约州立大学</w:t>
      </w:r>
      <w:r>
        <w:rPr>
          <w:rFonts w:hint="eastAsia"/>
          <w:color w:val="auto"/>
          <w:sz w:val="24"/>
          <w:szCs w:val="24"/>
          <w:lang w:eastAsia="zh-CN"/>
        </w:rPr>
        <w:t>宾</w:t>
      </w:r>
      <w:r>
        <w:rPr>
          <w:rFonts w:hint="eastAsia"/>
          <w:color w:val="auto"/>
          <w:sz w:val="24"/>
          <w:szCs w:val="24"/>
        </w:rPr>
        <w:t>汉姆顿大学沃森学院进行了深度交流，就开展安全工程专业“3.5+1.5”人才联合培养达成书面合作意向。在国内高校交流方面，2017年9月，我校与中国人民大学签署全面合作框架协议，制定了中国劳动关系学院—中国人民大学本科生项目交流实施方案，</w:t>
      </w:r>
      <w:r>
        <w:rPr>
          <w:rFonts w:hint="eastAsia"/>
          <w:color w:val="auto"/>
          <w:sz w:val="24"/>
          <w:szCs w:val="24"/>
          <w:lang w:val="en-US" w:eastAsia="zh-CN"/>
        </w:rPr>
        <w:t>2017-</w:t>
      </w:r>
      <w:r>
        <w:rPr>
          <w:rFonts w:hint="eastAsia"/>
          <w:color w:val="auto"/>
          <w:sz w:val="24"/>
          <w:szCs w:val="24"/>
        </w:rPr>
        <w:t>2018</w:t>
      </w:r>
      <w:r>
        <w:rPr>
          <w:rFonts w:hint="eastAsia"/>
          <w:color w:val="auto"/>
          <w:sz w:val="24"/>
          <w:szCs w:val="24"/>
          <w:lang w:eastAsia="zh-CN"/>
        </w:rPr>
        <w:t>学年春季学期有</w:t>
      </w:r>
      <w:r>
        <w:rPr>
          <w:rFonts w:hint="eastAsia"/>
          <w:color w:val="auto"/>
          <w:sz w:val="24"/>
          <w:szCs w:val="24"/>
          <w:lang w:val="en-US" w:eastAsia="zh-CN"/>
        </w:rPr>
        <w:t>26名本科生</w:t>
      </w:r>
      <w:r>
        <w:rPr>
          <w:rFonts w:hint="eastAsia"/>
          <w:color w:val="auto"/>
          <w:sz w:val="24"/>
          <w:szCs w:val="24"/>
        </w:rPr>
        <w:t>赴中国人民大学开展为期一年的</w:t>
      </w:r>
      <w:r>
        <w:rPr>
          <w:rFonts w:hint="eastAsia"/>
          <w:color w:val="auto"/>
          <w:sz w:val="24"/>
          <w:szCs w:val="24"/>
          <w:lang w:eastAsia="zh-CN"/>
        </w:rPr>
        <w:t>课程学习，</w:t>
      </w:r>
      <w:r>
        <w:rPr>
          <w:rFonts w:hint="eastAsia"/>
          <w:color w:val="auto"/>
          <w:sz w:val="24"/>
          <w:szCs w:val="24"/>
        </w:rPr>
        <w:t>15名学生修读中国人民大学</w:t>
      </w:r>
      <w:r>
        <w:rPr>
          <w:rFonts w:hint="eastAsia"/>
          <w:color w:val="auto"/>
          <w:sz w:val="24"/>
          <w:szCs w:val="24"/>
          <w:lang w:eastAsia="zh-CN"/>
        </w:rPr>
        <w:t>暑期</w:t>
      </w:r>
      <w:r>
        <w:rPr>
          <w:rFonts w:hint="eastAsia"/>
          <w:color w:val="auto"/>
          <w:sz w:val="24"/>
          <w:szCs w:val="24"/>
        </w:rPr>
        <w:t>国际小学期课程并获学分。</w:t>
      </w:r>
    </w:p>
    <w:p>
      <w:pPr>
        <w:pStyle w:val="4"/>
        <w:spacing w:before="0" w:after="0" w:line="240" w:lineRule="auto"/>
        <w:rPr>
          <w:rFonts w:ascii="黑体" w:hAnsi="黑体" w:eastAsia="黑体"/>
          <w:b w:val="0"/>
          <w:color w:val="auto"/>
          <w:sz w:val="24"/>
          <w:szCs w:val="24"/>
        </w:rPr>
      </w:pPr>
      <w:bookmarkStart w:id="103" w:name="_Toc28127"/>
      <w:bookmarkStart w:id="104" w:name="_Toc12531"/>
      <w:bookmarkStart w:id="105" w:name="_Toc14769"/>
      <w:bookmarkStart w:id="106" w:name="_Toc24447"/>
      <w:bookmarkStart w:id="107" w:name="_Toc10567"/>
      <w:r>
        <w:rPr>
          <w:rFonts w:hint="eastAsia" w:ascii="黑体" w:hAnsi="黑体" w:eastAsia="黑体"/>
          <w:b w:val="0"/>
          <w:color w:val="auto"/>
          <w:sz w:val="24"/>
          <w:szCs w:val="24"/>
        </w:rPr>
        <w:t>6.创新创业教育全面推进</w:t>
      </w:r>
      <w:bookmarkEnd w:id="103"/>
      <w:bookmarkEnd w:id="104"/>
      <w:bookmarkEnd w:id="105"/>
      <w:bookmarkEnd w:id="106"/>
      <w:bookmarkEnd w:id="107"/>
    </w:p>
    <w:p>
      <w:pPr>
        <w:spacing w:line="400" w:lineRule="exact"/>
        <w:ind w:firstLine="480" w:firstLineChars="200"/>
        <w:jc w:val="left"/>
        <w:rPr>
          <w:color w:val="auto"/>
          <w:sz w:val="24"/>
          <w:szCs w:val="24"/>
        </w:rPr>
      </w:pPr>
      <w:r>
        <w:rPr>
          <w:rFonts w:hint="eastAsia"/>
          <w:color w:val="auto"/>
          <w:sz w:val="24"/>
          <w:szCs w:val="24"/>
        </w:rPr>
        <w:t xml:space="preserve">2017-2018学年，学校印发《中国劳动关系学院创新创业导师管理办法》，修订《中国劳动关系学院大学生创业园管理实施办法》、《中国劳动关系学院毕业生就业创业工作条例》、《中国劳动关系学院本科生创新创业实践学分认定管理办法》，向北京市教委提交《创新教育理念引导创业工作实践》报告，完成了2018年度全国高校创新创业典型高校申报工作，组织召开了“创新创业研讨会”。学校聘请优秀校友、企业家、人力资源主管、创业领域专家等作为“创业导师”，开设“大学生自主创业实务指导和素质提升”系列讲座，解读创业政策、分享成功案例。举办了第九届创新创业设计大赛暨第四届中国“互联网+”创新创业大赛校内选拔赛，遴选出14支创业团队入住大学生创业园，帮助 “大创咖啡”创业团队成功入驻北京市高校大学生创业园理工园区。成功完成2017年12个国家级大学生创新项目结项，发表期刊文章12篇；成功申请2018年国家级大学生创新创业项目38项，获资助经费38万元。在2018年5月的“学创杯”全国大学生创业综合模拟大赛北京市决赛中，我校三支代表队均获得本科组二等奖。 </w:t>
      </w:r>
    </w:p>
    <w:p>
      <w:pPr>
        <w:pStyle w:val="4"/>
        <w:spacing w:before="0" w:after="0" w:line="240" w:lineRule="auto"/>
        <w:rPr>
          <w:rFonts w:ascii="黑体" w:hAnsi="黑体" w:eastAsia="黑体"/>
          <w:b w:val="0"/>
          <w:color w:val="auto"/>
          <w:sz w:val="24"/>
          <w:szCs w:val="24"/>
        </w:rPr>
      </w:pPr>
      <w:bookmarkStart w:id="108" w:name="_Toc11166"/>
      <w:bookmarkStart w:id="109" w:name="_Toc15342"/>
      <w:bookmarkStart w:id="110" w:name="_Toc32102"/>
      <w:bookmarkStart w:id="111" w:name="_Toc7369"/>
      <w:bookmarkStart w:id="112" w:name="_Toc31985"/>
      <w:r>
        <w:rPr>
          <w:rFonts w:hint="eastAsia" w:ascii="黑体" w:hAnsi="黑体" w:eastAsia="黑体"/>
          <w:b w:val="0"/>
          <w:color w:val="auto"/>
          <w:sz w:val="24"/>
          <w:szCs w:val="24"/>
        </w:rPr>
        <w:t>7.第二课堂育人成效显著</w:t>
      </w:r>
      <w:bookmarkEnd w:id="108"/>
      <w:bookmarkEnd w:id="109"/>
      <w:bookmarkEnd w:id="110"/>
      <w:bookmarkEnd w:id="111"/>
      <w:bookmarkEnd w:id="112"/>
    </w:p>
    <w:p>
      <w:pPr>
        <w:spacing w:line="400" w:lineRule="exact"/>
        <w:ind w:firstLine="480" w:firstLineChars="200"/>
        <w:jc w:val="both"/>
        <w:rPr>
          <w:color w:val="auto"/>
          <w:sz w:val="24"/>
          <w:szCs w:val="24"/>
        </w:rPr>
      </w:pPr>
      <w:r>
        <w:rPr>
          <w:rFonts w:hint="eastAsia"/>
          <w:color w:val="auto"/>
          <w:sz w:val="24"/>
          <w:szCs w:val="24"/>
        </w:rPr>
        <w:t>2017-2018学年，学校以学习宣传习近平总书记新时代中国特色社会主义理论、习近平总书记给我校劳模本科班学员回信精神为主线，不断加强理想信念教育和团的建设；以金秋文化艺术节、“挑战杯”学术科技节、五月合唱节等传统品牌为平台，积极组织各类校内外文化活动；以“青年服务国家”项目为引领，组织二十支志愿者团队深入祖国各地、村庄农户、学校社区、知名企业开展社会实践活动；以“i劳动，爱传递”第一届志愿服务项目大赛为载体，采用“志愿＋专业”、“志愿＋劳动”、“志愿＋赛会”</w:t>
      </w:r>
      <w:r>
        <w:rPr>
          <w:rFonts w:hint="eastAsia"/>
          <w:color w:val="auto"/>
          <w:sz w:val="24"/>
          <w:szCs w:val="24"/>
          <w:lang w:eastAsia="zh-CN"/>
        </w:rPr>
        <w:t>等方式</w:t>
      </w:r>
      <w:r>
        <w:rPr>
          <w:rFonts w:hint="eastAsia"/>
          <w:color w:val="auto"/>
          <w:sz w:val="24"/>
          <w:szCs w:val="24"/>
        </w:rPr>
        <w:t>，开展全方位、专业性志愿服务工作。</w:t>
      </w:r>
    </w:p>
    <w:p>
      <w:pPr>
        <w:spacing w:line="400" w:lineRule="exact"/>
        <w:ind w:firstLine="480" w:firstLineChars="200"/>
        <w:jc w:val="left"/>
        <w:rPr>
          <w:color w:val="auto"/>
          <w:sz w:val="24"/>
          <w:szCs w:val="24"/>
        </w:rPr>
      </w:pPr>
      <w:r>
        <w:rPr>
          <w:rFonts w:hint="eastAsia"/>
          <w:color w:val="auto"/>
          <w:sz w:val="24"/>
          <w:szCs w:val="24"/>
        </w:rPr>
        <w:t>校团委青年志愿者协会，劳动关系系、安全工程系和法学院青年志愿者协会荣获“首都学雷锋志愿服务示范站”称号，经济管理系、网络信息中心、工会学院青年志愿者协会荣获“首都学雷锋志愿服务岗”称号。“We心动•V行动•志青春”活动获全国青年志愿服务示范项目创建提名奖。“传承劳动情怀，弘扬志愿精神”项目被评为2017年海淀区和北京市优秀小微志愿服务项目。大学生合唱团在第二届全国电视合唱大奖赛中继续摘得金奖，在2018年北京大学生音乐节声乐类市级展演中获得银奖</w:t>
      </w:r>
      <w:r>
        <w:rPr>
          <w:rFonts w:hint="eastAsia"/>
          <w:color w:val="auto"/>
          <w:sz w:val="24"/>
          <w:szCs w:val="24"/>
          <w:lang w:eastAsia="zh-CN"/>
        </w:rPr>
        <w:t>，</w:t>
      </w:r>
      <w:r>
        <w:rPr>
          <w:rFonts w:hint="eastAsia"/>
          <w:color w:val="auto"/>
          <w:sz w:val="24"/>
          <w:szCs w:val="24"/>
        </w:rPr>
        <w:t>17个学生社团在首都高校各项比赛中获奖共计32项。</w:t>
      </w:r>
    </w:p>
    <w:p>
      <w:pPr>
        <w:pStyle w:val="2"/>
        <w:spacing w:before="0" w:after="0" w:line="240" w:lineRule="auto"/>
        <w:rPr>
          <w:rFonts w:ascii="黑体" w:hAnsi="黑体" w:eastAsia="黑体"/>
          <w:b w:val="0"/>
          <w:color w:val="auto"/>
          <w:sz w:val="30"/>
          <w:szCs w:val="30"/>
        </w:rPr>
      </w:pPr>
      <w:bookmarkStart w:id="113" w:name="_Toc15382_WPSOffice_Level1"/>
      <w:bookmarkStart w:id="114" w:name="_Toc21938_WPSOffice_Level1"/>
      <w:bookmarkStart w:id="115" w:name="_Toc24297"/>
      <w:bookmarkStart w:id="116" w:name="_Toc5531"/>
      <w:bookmarkStart w:id="117" w:name="_Toc12545"/>
      <w:r>
        <w:rPr>
          <w:rFonts w:hint="eastAsia" w:ascii="黑体" w:hAnsi="黑体" w:eastAsia="黑体"/>
          <w:b w:val="0"/>
          <w:color w:val="auto"/>
          <w:sz w:val="30"/>
          <w:szCs w:val="30"/>
        </w:rPr>
        <w:t>四、质量保障体系</w:t>
      </w:r>
      <w:bookmarkEnd w:id="113"/>
      <w:bookmarkEnd w:id="114"/>
      <w:bookmarkEnd w:id="115"/>
      <w:bookmarkEnd w:id="116"/>
      <w:bookmarkEnd w:id="117"/>
    </w:p>
    <w:p>
      <w:pPr>
        <w:pStyle w:val="3"/>
        <w:spacing w:before="0" w:after="0" w:line="240" w:lineRule="auto"/>
        <w:rPr>
          <w:rFonts w:ascii="黑体" w:hAnsi="黑体" w:eastAsia="黑体"/>
          <w:b w:val="0"/>
          <w:color w:val="auto"/>
          <w:sz w:val="28"/>
          <w:szCs w:val="28"/>
        </w:rPr>
      </w:pPr>
      <w:bookmarkStart w:id="118" w:name="_Toc8389"/>
      <w:bookmarkStart w:id="119" w:name="_Toc5005"/>
      <w:bookmarkStart w:id="120" w:name="_Toc28378_WPSOffice_Level2"/>
      <w:bookmarkStart w:id="121" w:name="_Toc31290_WPSOffice_Level2"/>
      <w:bookmarkStart w:id="122" w:name="_Toc9565"/>
      <w:r>
        <w:rPr>
          <w:rFonts w:hint="eastAsia" w:ascii="黑体" w:hAnsi="黑体" w:eastAsia="黑体"/>
          <w:b w:val="0"/>
          <w:color w:val="auto"/>
          <w:sz w:val="28"/>
          <w:szCs w:val="28"/>
        </w:rPr>
        <w:t>（一）齐抓共管，人才培养中心地位日益凸显</w:t>
      </w:r>
      <w:bookmarkEnd w:id="118"/>
      <w:bookmarkEnd w:id="119"/>
      <w:bookmarkEnd w:id="120"/>
      <w:bookmarkEnd w:id="121"/>
      <w:bookmarkEnd w:id="122"/>
    </w:p>
    <w:p>
      <w:pPr>
        <w:spacing w:line="400" w:lineRule="exact"/>
        <w:ind w:firstLine="480" w:firstLineChars="200"/>
        <w:rPr>
          <w:color w:val="auto"/>
          <w:sz w:val="24"/>
          <w:szCs w:val="24"/>
        </w:rPr>
      </w:pPr>
      <w:r>
        <w:rPr>
          <w:rFonts w:hint="eastAsia"/>
          <w:color w:val="auto"/>
          <w:sz w:val="24"/>
          <w:szCs w:val="24"/>
        </w:rPr>
        <w:t>学校领导重视人才培养工作。2018年1月，学校召开第七届本科教学工作会议，刘向兵校长、刘玉方副校长等学校领导出席会议并做重要讲话，就未来两年的教学建设与改革工作做</w:t>
      </w:r>
      <w:r>
        <w:rPr>
          <w:rFonts w:hint="eastAsia"/>
          <w:color w:val="auto"/>
          <w:sz w:val="24"/>
          <w:szCs w:val="24"/>
          <w:lang w:eastAsia="zh-CN"/>
        </w:rPr>
        <w:t>出</w:t>
      </w:r>
      <w:r>
        <w:rPr>
          <w:rFonts w:hint="eastAsia"/>
          <w:color w:val="auto"/>
          <w:sz w:val="24"/>
          <w:szCs w:val="24"/>
        </w:rPr>
        <w:t>整体部署。本学年，学校党委常委会</w:t>
      </w:r>
      <w:r>
        <w:rPr>
          <w:rFonts w:hint="eastAsia"/>
          <w:color w:val="auto"/>
          <w:sz w:val="24"/>
          <w:szCs w:val="24"/>
          <w:lang w:eastAsia="zh-CN"/>
        </w:rPr>
        <w:t>和校长办公会</w:t>
      </w:r>
      <w:r>
        <w:rPr>
          <w:rFonts w:hint="eastAsia"/>
          <w:color w:val="auto"/>
          <w:sz w:val="24"/>
          <w:szCs w:val="24"/>
        </w:rPr>
        <w:t>研究本科教学相关工作共计</w:t>
      </w:r>
      <w:r>
        <w:rPr>
          <w:rFonts w:hint="eastAsia"/>
          <w:color w:val="auto"/>
          <w:sz w:val="24"/>
          <w:szCs w:val="24"/>
          <w:lang w:val="en-US" w:eastAsia="zh-CN"/>
        </w:rPr>
        <w:t>27</w:t>
      </w:r>
      <w:r>
        <w:rPr>
          <w:rFonts w:hint="eastAsia"/>
          <w:color w:val="auto"/>
          <w:sz w:val="24"/>
          <w:szCs w:val="24"/>
        </w:rPr>
        <w:t>次</w:t>
      </w:r>
      <w:r>
        <w:rPr>
          <w:rFonts w:hint="eastAsia"/>
          <w:color w:val="auto"/>
          <w:sz w:val="24"/>
          <w:szCs w:val="24"/>
          <w:lang w:eastAsia="zh-CN"/>
        </w:rPr>
        <w:t>、</w:t>
      </w:r>
      <w:r>
        <w:rPr>
          <w:rFonts w:hint="eastAsia"/>
          <w:color w:val="auto"/>
          <w:sz w:val="24"/>
          <w:szCs w:val="24"/>
        </w:rPr>
        <w:t>议题40余项。2017年12月和2018年4月学校领导走访教学院系部和职能部门，</w:t>
      </w:r>
      <w:r>
        <w:rPr>
          <w:rFonts w:hint="eastAsia"/>
          <w:color w:val="auto"/>
          <w:sz w:val="24"/>
          <w:szCs w:val="24"/>
          <w:lang w:eastAsia="zh-CN"/>
        </w:rPr>
        <w:t>深入</w:t>
      </w:r>
      <w:r>
        <w:rPr>
          <w:rFonts w:hint="eastAsia"/>
          <w:color w:val="auto"/>
          <w:sz w:val="24"/>
          <w:szCs w:val="24"/>
        </w:rPr>
        <w:t>开展教育教学工作调研和评建工作检查。各职能部门、教学院系部认真对照审核评估项目、要素和要点，查找本部门在开展或服务人才培养工作、落实本科教学基础地位方面存在的问题与不足，撰写自评报告、拟定评建工作计划。党委组宣部、教务处、教学质量管理办公室积极做好审核评估意义与知识的宣传，引导大家端正认识，真正把迎评工作与深化本科教育教学改革结合起来，与加强本科教学基础建设结合起来。各部门保障人才培养中心地位、服务本科教育教学的意识更加明确。</w:t>
      </w:r>
    </w:p>
    <w:p>
      <w:pPr>
        <w:pStyle w:val="3"/>
        <w:spacing w:before="0" w:after="0" w:line="240" w:lineRule="auto"/>
        <w:rPr>
          <w:rFonts w:ascii="黑体" w:hAnsi="黑体" w:eastAsia="黑体"/>
          <w:b w:val="0"/>
          <w:color w:val="auto"/>
          <w:sz w:val="28"/>
          <w:szCs w:val="28"/>
        </w:rPr>
      </w:pPr>
      <w:bookmarkStart w:id="123" w:name="_Toc32146"/>
      <w:bookmarkStart w:id="124" w:name="_Toc9000"/>
      <w:bookmarkStart w:id="125" w:name="_Toc13618"/>
      <w:bookmarkStart w:id="126" w:name="_Toc11836_WPSOffice_Level2"/>
      <w:bookmarkStart w:id="127" w:name="_Toc14981_WPSOffice_Level2"/>
      <w:r>
        <w:rPr>
          <w:rFonts w:hint="eastAsia" w:ascii="黑体" w:hAnsi="黑体" w:eastAsia="黑体"/>
          <w:b w:val="0"/>
          <w:color w:val="auto"/>
          <w:sz w:val="28"/>
          <w:szCs w:val="28"/>
        </w:rPr>
        <w:t>（二）与时俱进，修订完善教学管理制度</w:t>
      </w:r>
      <w:bookmarkEnd w:id="123"/>
      <w:bookmarkEnd w:id="124"/>
      <w:bookmarkEnd w:id="125"/>
      <w:bookmarkEnd w:id="126"/>
      <w:bookmarkEnd w:id="127"/>
    </w:p>
    <w:p>
      <w:pPr>
        <w:pStyle w:val="26"/>
        <w:spacing w:line="400" w:lineRule="exact"/>
        <w:ind w:firstLine="480"/>
        <w:rPr>
          <w:rFonts w:asciiTheme="minorEastAsia" w:hAnsiTheme="minorEastAsia"/>
          <w:color w:val="auto"/>
          <w:sz w:val="24"/>
          <w:szCs w:val="24"/>
        </w:rPr>
      </w:pPr>
      <w:r>
        <w:rPr>
          <w:rFonts w:hint="eastAsia" w:asciiTheme="minorEastAsia" w:hAnsiTheme="minorEastAsia"/>
          <w:color w:val="auto"/>
          <w:sz w:val="24"/>
          <w:szCs w:val="24"/>
        </w:rPr>
        <w:t>2017</w:t>
      </w:r>
      <w:r>
        <w:rPr>
          <w:rFonts w:hint="eastAsia" w:asciiTheme="minorEastAsia" w:hAnsiTheme="minorEastAsia"/>
          <w:color w:val="auto"/>
          <w:sz w:val="24"/>
          <w:szCs w:val="24"/>
          <w:lang w:val="en-US" w:eastAsia="zh-CN"/>
        </w:rPr>
        <w:t>-2018学</w:t>
      </w:r>
      <w:r>
        <w:rPr>
          <w:rFonts w:hint="eastAsia" w:asciiTheme="minorEastAsia" w:hAnsiTheme="minorEastAsia"/>
          <w:color w:val="auto"/>
          <w:sz w:val="24"/>
          <w:szCs w:val="24"/>
        </w:rPr>
        <w:t>年，</w:t>
      </w:r>
      <w:r>
        <w:rPr>
          <w:rFonts w:hint="eastAsia" w:asciiTheme="minorEastAsia" w:hAnsiTheme="minorEastAsia"/>
          <w:color w:val="auto"/>
          <w:sz w:val="24"/>
          <w:szCs w:val="24"/>
          <w:lang w:eastAsia="zh-CN"/>
        </w:rPr>
        <w:t>根据</w:t>
      </w:r>
      <w:r>
        <w:rPr>
          <w:rFonts w:hint="eastAsia" w:asciiTheme="minorEastAsia" w:hAnsiTheme="minorEastAsia"/>
          <w:color w:val="auto"/>
          <w:sz w:val="24"/>
          <w:szCs w:val="24"/>
        </w:rPr>
        <w:t>《普通高等学校学生管理规定》（中华人民共和国教育部令第41号）</w:t>
      </w:r>
      <w:r>
        <w:rPr>
          <w:rFonts w:hint="eastAsia" w:asciiTheme="minorEastAsia" w:hAnsiTheme="minorEastAsia"/>
          <w:color w:val="auto"/>
          <w:sz w:val="24"/>
          <w:szCs w:val="24"/>
          <w:lang w:eastAsia="zh-CN"/>
        </w:rPr>
        <w:t>精神</w:t>
      </w:r>
      <w:r>
        <w:rPr>
          <w:rFonts w:hint="eastAsia" w:asciiTheme="minorEastAsia" w:hAnsiTheme="minorEastAsia"/>
          <w:color w:val="auto"/>
          <w:sz w:val="24"/>
          <w:szCs w:val="24"/>
        </w:rPr>
        <w:t>，学校系统修订了</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中国劳动关系学院普通本专科学生学籍管理规定》、《中国劳动关系学院学生违纪处分管理规定》、《中国劳动关系学院本科生转专业的规定》、《中国劳动关系学院本科课程考核管理办法》、《中国劳动关系学院辅修第二专业（学位）管理暂行办法》、《中国劳动关系学院本科生创新创业实践学分认定管理办法》等制度。</w:t>
      </w:r>
      <w:r>
        <w:rPr>
          <w:rFonts w:hint="eastAsia" w:asciiTheme="minorEastAsia" w:hAnsiTheme="minorEastAsia"/>
          <w:color w:val="auto"/>
          <w:sz w:val="24"/>
          <w:szCs w:val="24"/>
          <w:lang w:eastAsia="zh-CN"/>
        </w:rPr>
        <w:t>根据</w:t>
      </w:r>
      <w:r>
        <w:rPr>
          <w:rFonts w:hint="eastAsia" w:asciiTheme="minorEastAsia" w:hAnsiTheme="minorEastAsia"/>
          <w:color w:val="auto"/>
          <w:sz w:val="24"/>
          <w:szCs w:val="24"/>
        </w:rPr>
        <w:t>《国务院办公厅关于深化产教融合的若干意见》精神，</w:t>
      </w:r>
      <w:r>
        <w:rPr>
          <w:rFonts w:hint="eastAsia" w:asciiTheme="minorEastAsia" w:hAnsiTheme="minorEastAsia"/>
          <w:color w:val="auto"/>
          <w:sz w:val="24"/>
          <w:szCs w:val="24"/>
          <w:u w:val="none"/>
        </w:rPr>
        <w:t>制定了《中国劳动关系学院实践教学促进办法》、《中国劳动关系学院产学研合作教育管理办法》</w:t>
      </w:r>
      <w:r>
        <w:rPr>
          <w:rFonts w:hint="eastAsia" w:asciiTheme="minorEastAsia" w:hAnsiTheme="minorEastAsia"/>
          <w:color w:val="auto"/>
          <w:sz w:val="24"/>
          <w:szCs w:val="24"/>
          <w:u w:val="none"/>
          <w:lang w:eastAsia="zh-CN"/>
        </w:rPr>
        <w:t>，</w:t>
      </w:r>
      <w:r>
        <w:rPr>
          <w:rFonts w:hint="eastAsia" w:asciiTheme="minorEastAsia" w:hAnsiTheme="minorEastAsia"/>
          <w:color w:val="auto"/>
          <w:sz w:val="24"/>
          <w:szCs w:val="24"/>
        </w:rPr>
        <w:t>修订了《中国劳动关系学院本科教学质量标准实施纲要》、《中国劳动关系学院本科教学规范》、《中国劳动关系学院课堂教学管理规定》、《中国劳动关系学院本科教材选用管理办法》、《中国劳动关系学院本科教学督导工作实施办法》等制度</w:t>
      </w:r>
      <w:r>
        <w:rPr>
          <w:rFonts w:hint="eastAsia" w:asciiTheme="minorEastAsia" w:hAnsiTheme="minorEastAsia"/>
          <w:color w:val="auto"/>
          <w:sz w:val="24"/>
          <w:szCs w:val="24"/>
          <w:u w:val="none"/>
        </w:rPr>
        <w:t>。教务处、教学质量管理办公室</w:t>
      </w:r>
      <w:r>
        <w:rPr>
          <w:rFonts w:hint="eastAsia" w:asciiTheme="minorEastAsia" w:hAnsiTheme="minorEastAsia"/>
          <w:color w:val="auto"/>
          <w:sz w:val="24"/>
          <w:szCs w:val="24"/>
          <w:u w:val="none"/>
          <w:lang w:eastAsia="zh-CN"/>
        </w:rPr>
        <w:t>还对</w:t>
      </w:r>
      <w:r>
        <w:rPr>
          <w:rFonts w:hint="eastAsia" w:asciiTheme="minorEastAsia" w:hAnsiTheme="minorEastAsia"/>
          <w:color w:val="auto"/>
          <w:sz w:val="24"/>
          <w:szCs w:val="24"/>
          <w:u w:val="none"/>
        </w:rPr>
        <w:t>76个教学管理制度文件进行</w:t>
      </w:r>
      <w:r>
        <w:rPr>
          <w:rFonts w:hint="eastAsia" w:asciiTheme="minorEastAsia" w:hAnsiTheme="minorEastAsia"/>
          <w:color w:val="auto"/>
          <w:sz w:val="24"/>
          <w:szCs w:val="24"/>
          <w:u w:val="none"/>
          <w:lang w:eastAsia="zh-CN"/>
        </w:rPr>
        <w:t>系统</w:t>
      </w:r>
      <w:r>
        <w:rPr>
          <w:rFonts w:hint="eastAsia" w:asciiTheme="minorEastAsia" w:hAnsiTheme="minorEastAsia"/>
          <w:color w:val="auto"/>
          <w:sz w:val="24"/>
          <w:szCs w:val="24"/>
          <w:u w:val="none"/>
        </w:rPr>
        <w:t>梳理，</w:t>
      </w:r>
      <w:r>
        <w:rPr>
          <w:rFonts w:hint="eastAsia" w:asciiTheme="minorEastAsia" w:hAnsiTheme="minorEastAsia"/>
          <w:color w:val="auto"/>
          <w:sz w:val="24"/>
          <w:szCs w:val="24"/>
        </w:rPr>
        <w:t>完成了新的教学管理制度汇编。</w:t>
      </w:r>
    </w:p>
    <w:p>
      <w:pPr>
        <w:pStyle w:val="3"/>
        <w:spacing w:before="0" w:after="0" w:line="240" w:lineRule="auto"/>
        <w:rPr>
          <w:rFonts w:ascii="黑体" w:hAnsi="黑体" w:eastAsia="黑体"/>
          <w:b w:val="0"/>
          <w:color w:val="auto"/>
          <w:sz w:val="28"/>
          <w:szCs w:val="28"/>
        </w:rPr>
      </w:pPr>
      <w:bookmarkStart w:id="128" w:name="_Toc24646"/>
      <w:bookmarkStart w:id="129" w:name="_Toc28741"/>
      <w:bookmarkStart w:id="130" w:name="_Toc14719_WPSOffice_Level2"/>
      <w:bookmarkStart w:id="131" w:name="_Toc29316"/>
      <w:bookmarkStart w:id="132" w:name="_Toc16561_WPSOffice_Level2"/>
      <w:r>
        <w:rPr>
          <w:rFonts w:hint="eastAsia" w:ascii="黑体" w:hAnsi="黑体" w:eastAsia="黑体"/>
          <w:b w:val="0"/>
          <w:color w:val="auto"/>
          <w:sz w:val="28"/>
          <w:szCs w:val="28"/>
        </w:rPr>
        <w:t>（三）加强检查，不断加大问题整改追踪力度</w:t>
      </w:r>
      <w:bookmarkEnd w:id="128"/>
      <w:bookmarkEnd w:id="129"/>
      <w:bookmarkEnd w:id="130"/>
      <w:bookmarkEnd w:id="131"/>
      <w:bookmarkEnd w:id="132"/>
    </w:p>
    <w:p>
      <w:pPr>
        <w:spacing w:line="400" w:lineRule="exact"/>
        <w:ind w:firstLine="480" w:firstLineChars="200"/>
        <w:rPr>
          <w:rFonts w:hint="eastAsia"/>
          <w:color w:val="auto"/>
          <w:sz w:val="24"/>
          <w:szCs w:val="24"/>
        </w:rPr>
      </w:pPr>
      <w:r>
        <w:rPr>
          <w:rFonts w:hint="eastAsia"/>
          <w:color w:val="auto"/>
          <w:sz w:val="24"/>
          <w:szCs w:val="24"/>
        </w:rPr>
        <w:t>2017-2018学年</w:t>
      </w:r>
      <w:r>
        <w:rPr>
          <w:rFonts w:hint="eastAsia" w:asciiTheme="minorEastAsia" w:hAnsiTheme="minorEastAsia"/>
          <w:color w:val="auto"/>
          <w:sz w:val="24"/>
          <w:szCs w:val="24"/>
        </w:rPr>
        <w:t>，</w:t>
      </w:r>
      <w:r>
        <w:rPr>
          <w:rFonts w:hint="eastAsia"/>
          <w:color w:val="auto"/>
          <w:sz w:val="24"/>
          <w:szCs w:val="24"/>
        </w:rPr>
        <w:t>处级以上领导干部听课214人次，覆盖比例为40.30%；同行和督导专家听课312人次，覆盖比例为58.76%。在学生评教方面，为切实发挥学生评教促进教师改进教学的作用，学校坚持做好学生期初、期末两次评教工作，要求教师及时上网查阅学生评教分数和评教意见，填写《学期教学工作自评表》，总结本人根据学生评教意见改进教学的情况。2017-2018学年共有学生 63023人次参与评教工作，覆盖了本学年全部任课教师，其中，优秀率（90分及以上）为76.62%。</w:t>
      </w:r>
      <w:r>
        <w:rPr>
          <w:rFonts w:hint="eastAsia"/>
          <w:color w:val="auto"/>
          <w:sz w:val="24"/>
          <w:szCs w:val="24"/>
          <w:u w:val="none"/>
        </w:rPr>
        <w:t>任课教师</w:t>
      </w:r>
      <w:r>
        <w:rPr>
          <w:rFonts w:hint="eastAsia"/>
          <w:color w:val="auto"/>
          <w:sz w:val="24"/>
          <w:szCs w:val="24"/>
          <w:lang w:val="en-US" w:eastAsia="zh-CN"/>
        </w:rPr>
        <w:t>491</w:t>
      </w:r>
      <w:r>
        <w:rPr>
          <w:rFonts w:hint="eastAsia"/>
          <w:color w:val="auto"/>
          <w:sz w:val="24"/>
          <w:szCs w:val="24"/>
        </w:rPr>
        <w:t>人次提交《学期教学工作自评表》，占当年学校本科课程任课教师总数的</w:t>
      </w:r>
      <w:r>
        <w:rPr>
          <w:rFonts w:hint="eastAsia"/>
          <w:color w:val="auto"/>
          <w:sz w:val="24"/>
          <w:szCs w:val="24"/>
          <w:lang w:val="en-US" w:eastAsia="zh-CN"/>
        </w:rPr>
        <w:t>93.05%</w:t>
      </w:r>
      <w:r>
        <w:rPr>
          <w:rFonts w:hint="eastAsia"/>
          <w:color w:val="auto"/>
          <w:sz w:val="24"/>
          <w:szCs w:val="24"/>
        </w:rPr>
        <w:t>。</w:t>
      </w:r>
    </w:p>
    <w:p>
      <w:pPr>
        <w:spacing w:line="400" w:lineRule="exact"/>
        <w:ind w:firstLine="480" w:firstLineChars="200"/>
        <w:rPr>
          <w:color w:val="auto"/>
          <w:sz w:val="24"/>
          <w:szCs w:val="24"/>
        </w:rPr>
      </w:pPr>
      <w:r>
        <w:rPr>
          <w:rFonts w:hint="eastAsia"/>
          <w:color w:val="auto"/>
          <w:sz w:val="24"/>
          <w:szCs w:val="24"/>
        </w:rPr>
        <w:t>在做好常态监控的同时，学校进一步加大了专项检查力度。2017-2018学年，教学质量管理办公室组织了两次试卷抽查和毕业论文抽查，共抽查试卷1209份，毕业论文793份。此外，还组织了一次毕业实习检查，深入了解了各院系毕业实习组织工作情况；以随堂听课的方式，对任课教师各类教学材料准备情况及教学进度落实情况进行专门检查。每次专项检查都注意覆盖到学校所有本科专业，并及时将检查结果汇总反馈至相关院系与职能部门，督促其整改落实。</w:t>
      </w:r>
    </w:p>
    <w:p>
      <w:pPr>
        <w:pStyle w:val="3"/>
        <w:spacing w:before="0" w:after="0" w:line="240" w:lineRule="auto"/>
        <w:rPr>
          <w:rFonts w:ascii="黑体" w:hAnsi="黑体" w:eastAsia="黑体"/>
          <w:b w:val="0"/>
          <w:color w:val="auto"/>
          <w:sz w:val="28"/>
          <w:szCs w:val="28"/>
        </w:rPr>
      </w:pPr>
      <w:bookmarkStart w:id="133" w:name="_Toc978_WPSOffice_Level2"/>
      <w:bookmarkStart w:id="134" w:name="_Toc23439_WPSOffice_Level2"/>
      <w:bookmarkStart w:id="135" w:name="_Toc13712"/>
      <w:bookmarkStart w:id="136" w:name="_Toc18359"/>
      <w:bookmarkStart w:id="137" w:name="_Toc5276"/>
      <w:r>
        <w:rPr>
          <w:rFonts w:hint="eastAsia" w:ascii="黑体" w:hAnsi="黑体" w:eastAsia="黑体"/>
          <w:b w:val="0"/>
          <w:color w:val="auto"/>
          <w:sz w:val="28"/>
          <w:szCs w:val="28"/>
        </w:rPr>
        <w:t>（四）健全机制，努力落实院系督导工作责任</w:t>
      </w:r>
      <w:bookmarkEnd w:id="133"/>
      <w:bookmarkEnd w:id="134"/>
      <w:bookmarkEnd w:id="135"/>
      <w:bookmarkEnd w:id="136"/>
      <w:bookmarkEnd w:id="137"/>
    </w:p>
    <w:p>
      <w:pPr>
        <w:spacing w:line="400" w:lineRule="exact"/>
        <w:rPr>
          <w:color w:val="auto"/>
          <w:sz w:val="24"/>
          <w:szCs w:val="24"/>
        </w:rPr>
      </w:pPr>
      <w:r>
        <w:rPr>
          <w:rFonts w:hint="eastAsia"/>
          <w:color w:val="auto"/>
          <w:sz w:val="24"/>
          <w:szCs w:val="24"/>
        </w:rPr>
        <w:t xml:space="preserve">    2017-2018学年，学校修订印发《中国劳动关系学院教学督导工作实施办法》。与原办法相比，新办法明确规定了院系部教学督导小组的工作职责，</w:t>
      </w:r>
      <w:r>
        <w:rPr>
          <w:rFonts w:hint="eastAsia"/>
          <w:color w:val="auto"/>
          <w:sz w:val="24"/>
          <w:szCs w:val="24"/>
          <w:lang w:eastAsia="zh-CN"/>
        </w:rPr>
        <w:t>要求院系部教学督导小组</w:t>
      </w:r>
      <w:r>
        <w:rPr>
          <w:rFonts w:hint="eastAsia"/>
          <w:color w:val="auto"/>
          <w:sz w:val="24"/>
          <w:szCs w:val="24"/>
        </w:rPr>
        <w:t>在完成学校</w:t>
      </w:r>
      <w:r>
        <w:rPr>
          <w:rFonts w:hint="eastAsia"/>
          <w:color w:val="auto"/>
          <w:sz w:val="24"/>
          <w:szCs w:val="24"/>
          <w:lang w:eastAsia="zh-CN"/>
        </w:rPr>
        <w:t>督导工作任务</w:t>
      </w:r>
      <w:r>
        <w:rPr>
          <w:rFonts w:hint="eastAsia"/>
          <w:color w:val="auto"/>
          <w:sz w:val="24"/>
          <w:szCs w:val="24"/>
        </w:rPr>
        <w:t>的同时，制定本</w:t>
      </w:r>
      <w:r>
        <w:rPr>
          <w:rFonts w:hint="eastAsia"/>
          <w:color w:val="auto"/>
          <w:sz w:val="24"/>
          <w:szCs w:val="24"/>
          <w:lang w:eastAsia="zh-CN"/>
        </w:rPr>
        <w:t>部门</w:t>
      </w:r>
      <w:r>
        <w:rPr>
          <w:rFonts w:hint="eastAsia"/>
          <w:color w:val="auto"/>
          <w:sz w:val="24"/>
          <w:szCs w:val="24"/>
        </w:rPr>
        <w:t>学期教学督导工作计划</w:t>
      </w:r>
      <w:r>
        <w:rPr>
          <w:rFonts w:hint="eastAsia"/>
          <w:color w:val="auto"/>
          <w:sz w:val="24"/>
          <w:szCs w:val="24"/>
          <w:lang w:eastAsia="zh-CN"/>
        </w:rPr>
        <w:t>，</w:t>
      </w:r>
      <w:r>
        <w:rPr>
          <w:rFonts w:hint="eastAsia"/>
          <w:color w:val="auto"/>
          <w:sz w:val="24"/>
          <w:szCs w:val="24"/>
        </w:rPr>
        <w:t>向有关教师或教研室反馈教学督导工作信息并检查整改工作落实情况，撰写</w:t>
      </w:r>
      <w:r>
        <w:rPr>
          <w:rFonts w:hint="eastAsia"/>
          <w:color w:val="auto"/>
          <w:sz w:val="24"/>
          <w:szCs w:val="24"/>
          <w:lang w:eastAsia="zh-CN"/>
        </w:rPr>
        <w:t>本部门</w:t>
      </w:r>
      <w:r>
        <w:rPr>
          <w:rFonts w:hint="eastAsia"/>
          <w:color w:val="auto"/>
          <w:sz w:val="24"/>
          <w:szCs w:val="24"/>
        </w:rPr>
        <w:t xml:space="preserve">教学督导工作总结报告和教学质量报告。依据新办法，全校12个本科教学单位均成立由院系部主任或教学副主任担任组长的教学督导小组。       </w:t>
      </w:r>
    </w:p>
    <w:p>
      <w:pPr>
        <w:pStyle w:val="3"/>
        <w:spacing w:before="0" w:after="0" w:line="240" w:lineRule="auto"/>
        <w:rPr>
          <w:rFonts w:ascii="黑体" w:hAnsi="黑体" w:eastAsia="黑体"/>
          <w:b w:val="0"/>
          <w:color w:val="auto"/>
          <w:sz w:val="28"/>
          <w:szCs w:val="28"/>
        </w:rPr>
      </w:pPr>
      <w:bookmarkStart w:id="138" w:name="_Toc15151_WPSOffice_Level2"/>
      <w:bookmarkStart w:id="139" w:name="_Toc11606"/>
      <w:bookmarkStart w:id="140" w:name="_Toc22836"/>
      <w:bookmarkStart w:id="141" w:name="_Toc18304_WPSOffice_Level2"/>
      <w:bookmarkStart w:id="142" w:name="_Toc18165"/>
      <w:r>
        <w:rPr>
          <w:rFonts w:hint="eastAsia" w:ascii="黑体" w:hAnsi="黑体" w:eastAsia="黑体"/>
          <w:b w:val="0"/>
          <w:color w:val="auto"/>
          <w:sz w:val="28"/>
          <w:szCs w:val="28"/>
        </w:rPr>
        <w:t>（五）注重实效，积极引入外部专业评估力量</w:t>
      </w:r>
      <w:bookmarkEnd w:id="138"/>
      <w:bookmarkEnd w:id="139"/>
      <w:bookmarkEnd w:id="140"/>
      <w:bookmarkEnd w:id="141"/>
      <w:bookmarkEnd w:id="142"/>
    </w:p>
    <w:p>
      <w:pPr>
        <w:spacing w:line="400" w:lineRule="exact"/>
        <w:ind w:firstLine="480"/>
        <w:rPr>
          <w:color w:val="auto"/>
          <w:sz w:val="24"/>
          <w:szCs w:val="24"/>
        </w:rPr>
      </w:pPr>
      <w:r>
        <w:rPr>
          <w:rFonts w:hint="eastAsia"/>
          <w:color w:val="auto"/>
          <w:sz w:val="24"/>
          <w:szCs w:val="24"/>
        </w:rPr>
        <w:t>学校委托麦可思数据有限公司，对大一至大四学生的学习与成长状况进行了深入调查，发布《中国劳动关系学院学生成长评价报告（2018）》；对2017届毕业生进行追踪调查，形成《中国劳动关系学院应届毕业生培养质量报告（2018）》；对过去三年聘用我校应届毕业生的用人单位进行跟踪调查，发布《中国劳动关系学院用人单位跟踪评价报告（2018）》。</w:t>
      </w:r>
    </w:p>
    <w:p>
      <w:pPr>
        <w:spacing w:line="400" w:lineRule="exact"/>
        <w:ind w:firstLine="480" w:firstLineChars="200"/>
        <w:rPr>
          <w:color w:val="auto"/>
          <w:sz w:val="24"/>
          <w:szCs w:val="24"/>
        </w:rPr>
      </w:pPr>
      <w:r>
        <w:rPr>
          <w:rFonts w:hint="eastAsia"/>
          <w:color w:val="auto"/>
          <w:sz w:val="24"/>
          <w:szCs w:val="24"/>
        </w:rPr>
        <w:t>在校生调查报告从新生教育和适应性、学习行为、教学培养、专业认知与职业成熟度、德育能力素养增值情况</w:t>
      </w:r>
      <w:r>
        <w:rPr>
          <w:rFonts w:hint="eastAsia"/>
          <w:color w:val="auto"/>
          <w:sz w:val="24"/>
          <w:szCs w:val="24"/>
          <w:u w:val="none"/>
        </w:rPr>
        <w:t>、</w:t>
      </w:r>
      <w:r>
        <w:rPr>
          <w:rFonts w:hint="eastAsia"/>
          <w:color w:val="auto"/>
          <w:sz w:val="24"/>
          <w:szCs w:val="24"/>
          <w:u w:val="none"/>
          <w:lang w:eastAsia="zh-CN"/>
        </w:rPr>
        <w:t>就业</w:t>
      </w:r>
      <w:r>
        <w:rPr>
          <w:rFonts w:hint="eastAsia"/>
          <w:color w:val="auto"/>
          <w:sz w:val="24"/>
          <w:szCs w:val="24"/>
          <w:u w:val="none"/>
        </w:rPr>
        <w:t>落实情况、</w:t>
      </w:r>
      <w:r>
        <w:rPr>
          <w:rFonts w:hint="eastAsia"/>
          <w:color w:val="auto"/>
          <w:sz w:val="24"/>
          <w:szCs w:val="24"/>
        </w:rPr>
        <w:t>在校体验等方面，全面调查了学生的满意度及学习成长情况；毕业生调查报告聚焦于就业质量、教学培养质量、学生工作及后勤服务质量，深入调查了毕业生的满意度和相关工作质量效果；用人单位跟踪评价重点关注了用人单位对我校毕业生的聘用分析、使用评价以及能力、素质和知识水平评价。学校组织各院系部、相关职能部门认真学习研究三项调查结果，据此形成新一轮人才培养方案修订的指导性意见，</w:t>
      </w:r>
      <w:r>
        <w:rPr>
          <w:rFonts w:hint="eastAsia"/>
          <w:color w:val="auto"/>
          <w:sz w:val="24"/>
          <w:szCs w:val="24"/>
          <w:lang w:eastAsia="zh-CN"/>
        </w:rPr>
        <w:t>以及</w:t>
      </w:r>
      <w:r>
        <w:rPr>
          <w:rFonts w:hint="eastAsia"/>
          <w:color w:val="auto"/>
          <w:sz w:val="24"/>
          <w:szCs w:val="24"/>
        </w:rPr>
        <w:t>完善教务管理、学生工作、第二课堂和后勤服务等各方面工作的具体行动计划。</w:t>
      </w:r>
    </w:p>
    <w:p>
      <w:pPr>
        <w:pStyle w:val="2"/>
        <w:spacing w:before="0" w:after="0" w:line="240" w:lineRule="auto"/>
        <w:rPr>
          <w:rFonts w:ascii="黑体" w:hAnsi="黑体" w:eastAsia="黑体"/>
          <w:b w:val="0"/>
          <w:color w:val="auto"/>
          <w:sz w:val="30"/>
          <w:szCs w:val="30"/>
        </w:rPr>
      </w:pPr>
      <w:bookmarkStart w:id="143" w:name="_Toc26604_WPSOffice_Level1"/>
      <w:bookmarkStart w:id="144" w:name="_Toc25735"/>
      <w:bookmarkStart w:id="145" w:name="_Toc26310"/>
      <w:bookmarkStart w:id="146" w:name="_Toc4596_WPSOffice_Level1"/>
      <w:bookmarkStart w:id="147" w:name="_Toc21448"/>
      <w:r>
        <w:rPr>
          <w:rFonts w:hint="eastAsia" w:ascii="黑体" w:hAnsi="黑体" w:eastAsia="黑体"/>
          <w:b w:val="0"/>
          <w:color w:val="auto"/>
          <w:sz w:val="30"/>
          <w:szCs w:val="30"/>
        </w:rPr>
        <w:t>五、学生学习效果</w:t>
      </w:r>
      <w:bookmarkEnd w:id="143"/>
      <w:bookmarkEnd w:id="144"/>
      <w:bookmarkEnd w:id="145"/>
      <w:bookmarkEnd w:id="146"/>
      <w:bookmarkEnd w:id="147"/>
    </w:p>
    <w:p>
      <w:pPr>
        <w:pStyle w:val="3"/>
        <w:spacing w:before="0" w:after="0" w:line="240" w:lineRule="auto"/>
        <w:rPr>
          <w:rFonts w:ascii="黑体" w:hAnsi="黑体" w:eastAsia="黑体"/>
          <w:b w:val="0"/>
          <w:color w:val="auto"/>
          <w:sz w:val="28"/>
          <w:szCs w:val="28"/>
        </w:rPr>
      </w:pPr>
      <w:bookmarkStart w:id="148" w:name="_Toc22229_WPSOffice_Level2"/>
      <w:bookmarkStart w:id="149" w:name="_Toc27445_WPSOffice_Level2"/>
      <w:bookmarkStart w:id="150" w:name="_Toc12539"/>
      <w:bookmarkStart w:id="151" w:name="_Toc31833"/>
      <w:bookmarkStart w:id="152" w:name="_Toc19434"/>
      <w:r>
        <w:rPr>
          <w:rFonts w:hint="eastAsia" w:ascii="黑体" w:hAnsi="黑体" w:eastAsia="黑体"/>
          <w:b w:val="0"/>
          <w:color w:val="auto"/>
          <w:sz w:val="28"/>
          <w:szCs w:val="28"/>
        </w:rPr>
        <w:t>（一）毕业情况及学习成就</w:t>
      </w:r>
      <w:bookmarkEnd w:id="148"/>
      <w:bookmarkEnd w:id="149"/>
      <w:bookmarkEnd w:id="150"/>
      <w:bookmarkEnd w:id="151"/>
      <w:bookmarkEnd w:id="152"/>
    </w:p>
    <w:p>
      <w:pPr>
        <w:spacing w:line="400" w:lineRule="exact"/>
        <w:ind w:firstLine="480" w:firstLineChars="200"/>
        <w:rPr>
          <w:color w:val="auto"/>
          <w:sz w:val="24"/>
          <w:szCs w:val="24"/>
        </w:rPr>
      </w:pPr>
      <w:r>
        <w:rPr>
          <w:rFonts w:hint="eastAsia"/>
          <w:color w:val="auto"/>
          <w:sz w:val="24"/>
          <w:szCs w:val="24"/>
        </w:rPr>
        <w:t>2018年，学校应届本科毕业生为1219人，获得毕业证人数1208人，毕业率为99.1%；获得学位证人数 1196人，学位授予率为 98.1 %，四级累计通过率为74%，六级累计通过率为34.29 %。132人考取国内研究生，77人出国学习深造，毕业后继续学习深造的人数占应届毕业生总数的17.47%。</w:t>
      </w:r>
    </w:p>
    <w:p>
      <w:pPr>
        <w:pStyle w:val="3"/>
        <w:spacing w:before="0" w:after="0" w:line="240" w:lineRule="auto"/>
        <w:rPr>
          <w:color w:val="auto"/>
          <w:sz w:val="24"/>
          <w:szCs w:val="24"/>
        </w:rPr>
      </w:pPr>
      <w:bookmarkStart w:id="153" w:name="_Toc28619_WPSOffice_Level2"/>
      <w:bookmarkStart w:id="154" w:name="_Toc3711"/>
      <w:bookmarkStart w:id="155" w:name="_Toc17522"/>
      <w:bookmarkStart w:id="156" w:name="_Toc12997_WPSOffice_Level2"/>
      <w:bookmarkStart w:id="157" w:name="_Toc10533"/>
      <w:r>
        <w:rPr>
          <w:rFonts w:hint="eastAsia" w:ascii="黑体" w:hAnsi="黑体" w:eastAsia="黑体"/>
          <w:b w:val="0"/>
          <w:color w:val="auto"/>
          <w:sz w:val="28"/>
          <w:szCs w:val="28"/>
        </w:rPr>
        <w:t>（二）体质测试达标率</w:t>
      </w:r>
      <w:bookmarkEnd w:id="153"/>
      <w:bookmarkEnd w:id="154"/>
      <w:bookmarkEnd w:id="155"/>
      <w:bookmarkEnd w:id="156"/>
      <w:bookmarkEnd w:id="157"/>
    </w:p>
    <w:p>
      <w:pPr>
        <w:spacing w:line="400" w:lineRule="exact"/>
        <w:ind w:firstLine="480" w:firstLineChars="200"/>
        <w:rPr>
          <w:color w:val="auto"/>
          <w:sz w:val="24"/>
          <w:szCs w:val="24"/>
        </w:rPr>
      </w:pPr>
      <w:r>
        <w:rPr>
          <w:rFonts w:hint="eastAsia"/>
          <w:color w:val="auto"/>
          <w:sz w:val="24"/>
          <w:szCs w:val="24"/>
        </w:rPr>
        <w:t>2017年-2018学年，我校本科生总计4050人参加了学生体质健康测试，总体达标率为89.21%。其中，2018届毕业生体质测试达标率为85.75%，较2017届毕业生（85.01%）略有提升。</w:t>
      </w:r>
    </w:p>
    <w:p>
      <w:pPr>
        <w:pStyle w:val="3"/>
        <w:spacing w:before="0" w:after="0" w:line="240" w:lineRule="auto"/>
        <w:rPr>
          <w:rFonts w:ascii="黑体" w:hAnsi="黑体" w:eastAsia="黑体"/>
          <w:b w:val="0"/>
          <w:color w:val="auto"/>
          <w:sz w:val="28"/>
          <w:szCs w:val="28"/>
        </w:rPr>
      </w:pPr>
      <w:bookmarkStart w:id="158" w:name="_Toc14079_WPSOffice_Level2"/>
      <w:bookmarkStart w:id="159" w:name="_Toc8826"/>
      <w:bookmarkStart w:id="160" w:name="_Toc7960_WPSOffice_Level2"/>
      <w:bookmarkStart w:id="161" w:name="_Toc18087"/>
      <w:bookmarkStart w:id="162" w:name="_Toc7228"/>
      <w:r>
        <w:rPr>
          <w:rFonts w:hint="eastAsia" w:ascii="黑体" w:hAnsi="黑体" w:eastAsia="黑体"/>
          <w:b w:val="0"/>
          <w:color w:val="auto"/>
          <w:sz w:val="28"/>
          <w:szCs w:val="28"/>
        </w:rPr>
        <w:t>（三）学习满意度</w:t>
      </w:r>
      <w:bookmarkEnd w:id="158"/>
      <w:bookmarkEnd w:id="159"/>
      <w:bookmarkEnd w:id="160"/>
      <w:bookmarkEnd w:id="161"/>
      <w:bookmarkEnd w:id="162"/>
    </w:p>
    <w:p>
      <w:pPr>
        <w:spacing w:line="400" w:lineRule="exact"/>
        <w:ind w:firstLine="480"/>
        <w:rPr>
          <w:color w:val="auto"/>
          <w:sz w:val="24"/>
          <w:szCs w:val="24"/>
        </w:rPr>
      </w:pPr>
      <w:r>
        <w:rPr>
          <w:rFonts w:hint="eastAsia"/>
          <w:color w:val="auto"/>
          <w:sz w:val="24"/>
          <w:szCs w:val="24"/>
        </w:rPr>
        <w:t>《中国劳动关系学院学生成长报告（2018）》</w:t>
      </w:r>
      <w:r>
        <w:rPr>
          <w:rFonts w:hint="eastAsia"/>
          <w:color w:val="auto"/>
          <w:sz w:val="24"/>
          <w:szCs w:val="24"/>
          <w:lang w:eastAsia="zh-CN"/>
        </w:rPr>
        <w:t>显示</w:t>
      </w:r>
      <w:r>
        <w:rPr>
          <w:rFonts w:hint="eastAsia"/>
          <w:color w:val="auto"/>
          <w:sz w:val="24"/>
          <w:szCs w:val="24"/>
        </w:rPr>
        <w:t>，</w:t>
      </w:r>
      <w:r>
        <w:rPr>
          <w:rFonts w:hint="eastAsia"/>
          <w:color w:val="auto"/>
          <w:sz w:val="24"/>
          <w:szCs w:val="24"/>
          <w:lang w:eastAsia="zh-CN"/>
        </w:rPr>
        <w:t>我校</w:t>
      </w:r>
      <w:r>
        <w:rPr>
          <w:rFonts w:hint="eastAsia"/>
          <w:color w:val="auto"/>
          <w:sz w:val="24"/>
          <w:szCs w:val="24"/>
        </w:rPr>
        <w:t>大一至大四学生对教学工作的总体满意度分别为95.69%、94.95%、90.21%、93.58%，均高于麦可思调查的同类院校同年级水平（分别为93%、86%、84%、87%）</w:t>
      </w:r>
      <w:r>
        <w:rPr>
          <w:rFonts w:hint="eastAsia"/>
          <w:color w:val="auto"/>
          <w:sz w:val="24"/>
          <w:szCs w:val="24"/>
          <w:lang w:eastAsia="zh-CN"/>
        </w:rPr>
        <w:t>；</w:t>
      </w:r>
      <w:r>
        <w:rPr>
          <w:rFonts w:hint="eastAsia"/>
          <w:color w:val="auto"/>
          <w:sz w:val="24"/>
          <w:szCs w:val="24"/>
        </w:rPr>
        <w:t>对</w:t>
      </w:r>
      <w:r>
        <w:rPr>
          <w:rFonts w:hint="eastAsia"/>
          <w:color w:val="auto"/>
          <w:sz w:val="24"/>
          <w:szCs w:val="24"/>
          <w:lang w:eastAsia="zh-CN"/>
        </w:rPr>
        <w:t>学校</w:t>
      </w:r>
      <w:r>
        <w:rPr>
          <w:rFonts w:hint="eastAsia"/>
          <w:color w:val="auto"/>
          <w:sz w:val="24"/>
          <w:szCs w:val="24"/>
        </w:rPr>
        <w:t>学生工作的总体满意度分别为94.52%、90.59%、90.91%、94.05%，</w:t>
      </w:r>
      <w:r>
        <w:rPr>
          <w:rFonts w:hint="eastAsia"/>
          <w:color w:val="auto"/>
          <w:sz w:val="24"/>
          <w:szCs w:val="24"/>
          <w:lang w:eastAsia="zh-CN"/>
        </w:rPr>
        <w:t>也</w:t>
      </w:r>
      <w:r>
        <w:rPr>
          <w:rFonts w:hint="eastAsia"/>
          <w:color w:val="auto"/>
          <w:sz w:val="24"/>
          <w:szCs w:val="24"/>
        </w:rPr>
        <w:t>高于麦可思调查的全国同类院校同年级水平（分别为90%、87%、83%、85%）。</w:t>
      </w:r>
    </w:p>
    <w:p>
      <w:pPr>
        <w:spacing w:line="400" w:lineRule="exact"/>
        <w:ind w:firstLine="480"/>
        <w:rPr>
          <w:color w:val="auto"/>
          <w:sz w:val="24"/>
          <w:szCs w:val="24"/>
        </w:rPr>
      </w:pPr>
      <w:r>
        <w:rPr>
          <w:rFonts w:hint="eastAsia"/>
          <w:color w:val="auto"/>
          <w:sz w:val="24"/>
          <w:szCs w:val="24"/>
        </w:rPr>
        <w:t>《中国劳动关系学院应届生培养质量评价报告（2018）》</w:t>
      </w:r>
      <w:r>
        <w:rPr>
          <w:rFonts w:hint="eastAsia"/>
          <w:color w:val="auto"/>
          <w:sz w:val="24"/>
          <w:szCs w:val="24"/>
          <w:lang w:eastAsia="zh-CN"/>
        </w:rPr>
        <w:t>显示</w:t>
      </w:r>
      <w:r>
        <w:rPr>
          <w:rFonts w:hint="eastAsia"/>
          <w:color w:val="auto"/>
          <w:sz w:val="24"/>
          <w:szCs w:val="24"/>
        </w:rPr>
        <w:t>，</w:t>
      </w:r>
      <w:r>
        <w:rPr>
          <w:rFonts w:hint="eastAsia"/>
          <w:color w:val="auto"/>
          <w:sz w:val="24"/>
          <w:szCs w:val="24"/>
          <w:lang w:eastAsia="zh-CN"/>
        </w:rPr>
        <w:t>我校</w:t>
      </w:r>
      <w:r>
        <w:rPr>
          <w:rFonts w:hint="eastAsia"/>
          <w:color w:val="auto"/>
          <w:sz w:val="24"/>
          <w:szCs w:val="24"/>
        </w:rPr>
        <w:t>2017届毕业生九成以上（92%）毕业生对母校整体教学工作表示满意，高于全国新建本科院校平均水平（87%）；八成以上（85%）认为学习的核心课程对现在的工作或学习重要。此外，</w:t>
      </w:r>
      <w:r>
        <w:rPr>
          <w:rFonts w:hint="eastAsia"/>
          <w:color w:val="auto"/>
          <w:sz w:val="24"/>
          <w:szCs w:val="24"/>
          <w:lang w:eastAsia="zh-CN"/>
        </w:rPr>
        <w:t>我</w:t>
      </w:r>
      <w:r>
        <w:rPr>
          <w:rFonts w:hint="eastAsia"/>
          <w:color w:val="auto"/>
          <w:sz w:val="24"/>
          <w:szCs w:val="24"/>
        </w:rPr>
        <w:t>校2017届毕业生</w:t>
      </w:r>
      <w:r>
        <w:rPr>
          <w:rFonts w:hint="eastAsia"/>
          <w:color w:val="auto"/>
          <w:sz w:val="24"/>
          <w:szCs w:val="24"/>
          <w:lang w:eastAsia="zh-CN"/>
        </w:rPr>
        <w:t>自我评价的</w:t>
      </w:r>
      <w:r>
        <w:rPr>
          <w:rFonts w:hint="eastAsia"/>
          <w:color w:val="auto"/>
          <w:sz w:val="24"/>
          <w:szCs w:val="24"/>
        </w:rPr>
        <w:t>总体能力满足度</w:t>
      </w:r>
      <w:r>
        <w:rPr>
          <w:rFonts w:hint="eastAsia"/>
          <w:color w:val="auto"/>
          <w:sz w:val="24"/>
          <w:szCs w:val="24"/>
          <w:lang w:eastAsia="zh-CN"/>
        </w:rPr>
        <w:t>（</w:t>
      </w:r>
      <w:r>
        <w:rPr>
          <w:rFonts w:hint="eastAsia"/>
          <w:color w:val="auto"/>
          <w:sz w:val="24"/>
          <w:szCs w:val="24"/>
        </w:rPr>
        <w:t>毕业时掌握的基本工作能力水平满足社会初始岗位的工作要求水平的百分比</w:t>
      </w:r>
      <w:r>
        <w:rPr>
          <w:rFonts w:hint="eastAsia"/>
          <w:color w:val="auto"/>
          <w:sz w:val="24"/>
          <w:szCs w:val="24"/>
          <w:lang w:eastAsia="zh-CN"/>
        </w:rPr>
        <w:t>）</w:t>
      </w:r>
      <w:r>
        <w:rPr>
          <w:rFonts w:hint="eastAsia"/>
          <w:color w:val="auto"/>
          <w:sz w:val="24"/>
          <w:szCs w:val="24"/>
        </w:rPr>
        <w:t>为87%</w:t>
      </w:r>
      <w:r>
        <w:rPr>
          <w:rFonts w:hint="eastAsia"/>
          <w:color w:val="auto"/>
          <w:sz w:val="24"/>
          <w:szCs w:val="24"/>
          <w:u w:val="none"/>
        </w:rPr>
        <w:t>，</w:t>
      </w:r>
      <w:r>
        <w:rPr>
          <w:rFonts w:hint="eastAsia"/>
          <w:color w:val="auto"/>
          <w:sz w:val="24"/>
          <w:szCs w:val="24"/>
        </w:rPr>
        <w:t>比</w:t>
      </w:r>
      <w:r>
        <w:rPr>
          <w:rFonts w:hint="eastAsia"/>
          <w:color w:val="auto"/>
          <w:sz w:val="24"/>
          <w:szCs w:val="24"/>
          <w:lang w:eastAsia="zh-CN"/>
        </w:rPr>
        <w:t>麦可思调查的</w:t>
      </w:r>
      <w:r>
        <w:rPr>
          <w:rFonts w:hint="eastAsia"/>
          <w:color w:val="auto"/>
          <w:sz w:val="24"/>
          <w:szCs w:val="24"/>
        </w:rPr>
        <w:t>全国新建本科2017届</w:t>
      </w:r>
      <w:r>
        <w:rPr>
          <w:rFonts w:hint="eastAsia"/>
          <w:color w:val="auto"/>
          <w:sz w:val="24"/>
          <w:szCs w:val="24"/>
          <w:lang w:eastAsia="zh-CN"/>
        </w:rPr>
        <w:t>毕业生</w:t>
      </w:r>
      <w:r>
        <w:rPr>
          <w:rFonts w:hint="eastAsia"/>
          <w:color w:val="auto"/>
          <w:sz w:val="24"/>
          <w:szCs w:val="24"/>
        </w:rPr>
        <w:t>（84%）高3个百分点。</w:t>
      </w:r>
    </w:p>
    <w:p>
      <w:pPr>
        <w:pStyle w:val="3"/>
        <w:spacing w:before="0" w:after="0" w:line="240" w:lineRule="auto"/>
        <w:rPr>
          <w:rFonts w:ascii="黑体" w:hAnsi="黑体" w:eastAsia="黑体"/>
          <w:b w:val="0"/>
          <w:color w:val="auto"/>
          <w:sz w:val="28"/>
          <w:szCs w:val="28"/>
        </w:rPr>
      </w:pPr>
      <w:bookmarkStart w:id="163" w:name="_Toc13343_WPSOffice_Level2"/>
      <w:bookmarkStart w:id="164" w:name="_Toc21757"/>
      <w:bookmarkStart w:id="165" w:name="_Toc32295"/>
      <w:bookmarkStart w:id="166" w:name="_Toc20373"/>
      <w:bookmarkStart w:id="167" w:name="_Toc30065_WPSOffice_Level2"/>
      <w:r>
        <w:rPr>
          <w:rFonts w:hint="eastAsia" w:ascii="黑体" w:hAnsi="黑体" w:eastAsia="黑体"/>
          <w:b w:val="0"/>
          <w:color w:val="auto"/>
          <w:sz w:val="28"/>
          <w:szCs w:val="28"/>
        </w:rPr>
        <w:t>（四）就业情况</w:t>
      </w:r>
      <w:bookmarkEnd w:id="163"/>
      <w:bookmarkEnd w:id="164"/>
      <w:bookmarkEnd w:id="165"/>
      <w:bookmarkEnd w:id="166"/>
      <w:bookmarkEnd w:id="167"/>
    </w:p>
    <w:p>
      <w:pPr>
        <w:spacing w:line="400" w:lineRule="exact"/>
        <w:ind w:firstLine="480"/>
        <w:rPr>
          <w:color w:val="auto"/>
          <w:sz w:val="24"/>
          <w:szCs w:val="24"/>
        </w:rPr>
      </w:pPr>
      <w:r>
        <w:rPr>
          <w:rFonts w:hint="eastAsia"/>
          <w:color w:val="auto"/>
          <w:sz w:val="24"/>
          <w:szCs w:val="24"/>
        </w:rPr>
        <w:t>《中国劳动关系学院用人单位跟踪评价报告（2018）》和《中国劳动关系学院应届生培养质量评价报告（2018）》</w:t>
      </w:r>
      <w:r>
        <w:rPr>
          <w:rFonts w:hint="eastAsia"/>
          <w:color w:val="auto"/>
          <w:sz w:val="24"/>
          <w:szCs w:val="24"/>
          <w:lang w:eastAsia="zh-CN"/>
        </w:rPr>
        <w:t>显示</w:t>
      </w:r>
      <w:r>
        <w:rPr>
          <w:rFonts w:hint="eastAsia"/>
          <w:color w:val="auto"/>
          <w:sz w:val="24"/>
          <w:szCs w:val="24"/>
        </w:rPr>
        <w:t>：过去三年聘用过本校应届毕业生的用人单位中，国有企业的比例最高（37%），其后依次是民营企业/个体（29%）、政府机构/科研或其他事业单位（20%）等；从行业类来看，建筑业用人单位的比例（18.4%）最高。从就业领域来看，2017届毕业生有近六成（57.1%）在北京就业，主要就业于政府及公共管理（21.6%）等相关行业领域，主要从事人力资源（22.4%）、行政/后勤（15.1%）等相关</w:t>
      </w:r>
      <w:r>
        <w:rPr>
          <w:rFonts w:hint="eastAsia"/>
          <w:color w:val="auto"/>
          <w:sz w:val="24"/>
          <w:szCs w:val="24"/>
          <w:lang w:eastAsia="zh-CN"/>
        </w:rPr>
        <w:t>工作</w:t>
      </w:r>
      <w:r>
        <w:rPr>
          <w:rFonts w:hint="eastAsia"/>
          <w:color w:val="auto"/>
          <w:sz w:val="24"/>
          <w:szCs w:val="24"/>
        </w:rPr>
        <w:t>。</w:t>
      </w:r>
    </w:p>
    <w:p>
      <w:pPr>
        <w:spacing w:line="400" w:lineRule="exact"/>
        <w:ind w:firstLine="480"/>
        <w:rPr>
          <w:color w:val="auto"/>
          <w:sz w:val="24"/>
          <w:szCs w:val="24"/>
        </w:rPr>
      </w:pPr>
      <w:r>
        <w:rPr>
          <w:rFonts w:hint="eastAsia"/>
          <w:color w:val="auto"/>
          <w:sz w:val="24"/>
          <w:szCs w:val="24"/>
        </w:rPr>
        <w:t>根据我校对2018届毕业生就业情况统计，本科毕业生的初次就业率为93.</w:t>
      </w:r>
      <w:r>
        <w:rPr>
          <w:rFonts w:hint="eastAsia"/>
          <w:color w:val="auto"/>
          <w:sz w:val="24"/>
          <w:szCs w:val="24"/>
          <w:lang w:val="en-US" w:eastAsia="zh-CN"/>
        </w:rPr>
        <w:t>19</w:t>
      </w:r>
      <w:r>
        <w:rPr>
          <w:rFonts w:hint="eastAsia"/>
          <w:color w:val="auto"/>
          <w:sz w:val="24"/>
          <w:szCs w:val="24"/>
        </w:rPr>
        <w:t>%，具体就业去向见表6。</w:t>
      </w:r>
    </w:p>
    <w:p>
      <w:pPr>
        <w:spacing w:line="400" w:lineRule="exact"/>
        <w:ind w:firstLine="480"/>
        <w:jc w:val="center"/>
        <w:rPr>
          <w:rFonts w:asciiTheme="minorEastAsia" w:hAnsiTheme="minorEastAsia"/>
          <w:b/>
          <w:color w:val="auto"/>
          <w:szCs w:val="21"/>
        </w:rPr>
      </w:pPr>
      <w:r>
        <w:rPr>
          <w:rFonts w:hint="eastAsia" w:asciiTheme="minorEastAsia" w:hAnsiTheme="minorEastAsia"/>
          <w:b/>
          <w:color w:val="auto"/>
          <w:szCs w:val="21"/>
        </w:rPr>
        <w:t>表6：2018届毕业生就业情况统计</w:t>
      </w:r>
    </w:p>
    <w:tbl>
      <w:tblPr>
        <w:tblStyle w:val="19"/>
        <w:tblW w:w="53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7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jc w:val="center"/>
        </w:trPr>
        <w:tc>
          <w:tcPr>
            <w:tcW w:w="2263" w:type="dxa"/>
            <w:tcBorders>
              <w:bottom w:val="nil"/>
            </w:tcBorders>
            <w:shd w:val="clear" w:color="auto" w:fill="348DA5" w:themeFill="accent5" w:themeFillShade="CC"/>
          </w:tcPr>
          <w:p>
            <w:pPr>
              <w:widowControl/>
              <w:spacing w:line="320" w:lineRule="exact"/>
              <w:jc w:val="center"/>
              <w:rPr>
                <w:rFonts w:ascii="Calibri" w:hAnsi="Calibri" w:eastAsia="宋体" w:cs="Times New Roman"/>
                <w:b w:val="0"/>
                <w:bCs w:val="0"/>
                <w:color w:val="auto"/>
                <w:kern w:val="0"/>
                <w:szCs w:val="21"/>
              </w:rPr>
            </w:pPr>
            <w:r>
              <w:rPr>
                <w:rFonts w:hint="eastAsia" w:ascii="Calibri" w:hAnsi="Calibri" w:eastAsia="宋体" w:cs="Times New Roman"/>
                <w:b/>
                <w:bCs/>
                <w:color w:val="auto"/>
                <w:kern w:val="0"/>
                <w:szCs w:val="21"/>
              </w:rPr>
              <w:t>就业形式</w:t>
            </w:r>
          </w:p>
        </w:tc>
        <w:tc>
          <w:tcPr>
            <w:tcW w:w="1271" w:type="dxa"/>
            <w:tcBorders>
              <w:bottom w:val="nil"/>
            </w:tcBorders>
            <w:shd w:val="clear" w:color="auto" w:fill="348DA5" w:themeFill="accent5" w:themeFillShade="CC"/>
          </w:tcPr>
          <w:p>
            <w:pPr>
              <w:widowControl/>
              <w:spacing w:line="320" w:lineRule="exact"/>
              <w:jc w:val="center"/>
              <w:rPr>
                <w:rFonts w:ascii="Calibri" w:hAnsi="Calibri" w:eastAsia="宋体" w:cs="Times New Roman"/>
                <w:b w:val="0"/>
                <w:bCs w:val="0"/>
                <w:color w:val="auto"/>
                <w:kern w:val="0"/>
                <w:szCs w:val="21"/>
              </w:rPr>
            </w:pPr>
            <w:r>
              <w:rPr>
                <w:rFonts w:hint="eastAsia" w:ascii="Calibri" w:hAnsi="Calibri" w:eastAsia="宋体" w:cs="Times New Roman"/>
                <w:b/>
                <w:bCs/>
                <w:color w:val="auto"/>
                <w:kern w:val="0"/>
                <w:szCs w:val="21"/>
              </w:rPr>
              <w:t>人数</w:t>
            </w:r>
          </w:p>
        </w:tc>
        <w:tc>
          <w:tcPr>
            <w:tcW w:w="1783" w:type="dxa"/>
            <w:tcBorders>
              <w:bottom w:val="nil"/>
            </w:tcBorders>
            <w:shd w:val="clear" w:color="auto" w:fill="348DA5" w:themeFill="accent5" w:themeFillShade="CC"/>
          </w:tcPr>
          <w:p>
            <w:pPr>
              <w:widowControl/>
              <w:spacing w:line="320" w:lineRule="exact"/>
              <w:jc w:val="center"/>
              <w:rPr>
                <w:rFonts w:ascii="Calibri" w:hAnsi="Calibri" w:eastAsia="宋体" w:cs="Times New Roman"/>
                <w:b w:val="0"/>
                <w:bCs w:val="0"/>
                <w:color w:val="auto"/>
                <w:kern w:val="0"/>
                <w:szCs w:val="21"/>
              </w:rPr>
            </w:pPr>
            <w:r>
              <w:rPr>
                <w:rFonts w:hint="eastAsia" w:ascii="Calibri" w:hAnsi="Calibri" w:eastAsia="宋体" w:cs="Times New Roman"/>
                <w:b/>
                <w:bCs/>
                <w:color w:val="auto"/>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263" w:type="dxa"/>
            <w:shd w:val="clear" w:color="auto" w:fill="auto"/>
          </w:tcPr>
          <w:p>
            <w:pPr>
              <w:widowControl/>
              <w:spacing w:line="320" w:lineRule="exact"/>
              <w:jc w:val="center"/>
              <w:rPr>
                <w:rFonts w:ascii="Calibri" w:hAnsi="Calibri" w:eastAsia="宋体" w:cs="Times New Roman"/>
                <w:b/>
                <w:bCs/>
                <w:color w:val="auto"/>
                <w:kern w:val="0"/>
                <w:szCs w:val="21"/>
              </w:rPr>
            </w:pPr>
            <w:r>
              <w:rPr>
                <w:rFonts w:hint="eastAsia" w:ascii="Calibri" w:hAnsi="Calibri" w:eastAsia="宋体" w:cs="Times New Roman"/>
                <w:b/>
                <w:bCs/>
                <w:color w:val="auto"/>
                <w:kern w:val="0"/>
                <w:szCs w:val="21"/>
              </w:rPr>
              <w:t>出国</w:t>
            </w:r>
          </w:p>
        </w:tc>
        <w:tc>
          <w:tcPr>
            <w:tcW w:w="1271"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77</w:t>
            </w:r>
          </w:p>
        </w:tc>
        <w:tc>
          <w:tcPr>
            <w:tcW w:w="1783"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263" w:type="dxa"/>
            <w:shd w:val="clear" w:color="auto" w:fill="auto"/>
          </w:tcPr>
          <w:p>
            <w:pPr>
              <w:widowControl/>
              <w:spacing w:line="320" w:lineRule="exact"/>
              <w:jc w:val="center"/>
              <w:rPr>
                <w:rFonts w:ascii="Calibri" w:hAnsi="Calibri" w:eastAsia="宋体" w:cs="Times New Roman"/>
                <w:b/>
                <w:bCs/>
                <w:color w:val="auto"/>
                <w:kern w:val="0"/>
                <w:szCs w:val="21"/>
              </w:rPr>
            </w:pPr>
            <w:r>
              <w:rPr>
                <w:rFonts w:hint="eastAsia" w:ascii="Calibri" w:hAnsi="Calibri" w:eastAsia="宋体" w:cs="Times New Roman"/>
                <w:b/>
                <w:bCs/>
                <w:color w:val="auto"/>
                <w:kern w:val="0"/>
                <w:szCs w:val="21"/>
              </w:rPr>
              <w:t>升学</w:t>
            </w:r>
          </w:p>
        </w:tc>
        <w:tc>
          <w:tcPr>
            <w:tcW w:w="1271"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132</w:t>
            </w:r>
          </w:p>
        </w:tc>
        <w:tc>
          <w:tcPr>
            <w:tcW w:w="1783"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2263" w:type="dxa"/>
            <w:shd w:val="clear" w:color="auto" w:fill="auto"/>
          </w:tcPr>
          <w:p>
            <w:pPr>
              <w:widowControl/>
              <w:spacing w:line="320" w:lineRule="exact"/>
              <w:jc w:val="center"/>
              <w:rPr>
                <w:rFonts w:ascii="Calibri" w:hAnsi="Calibri" w:eastAsia="宋体" w:cs="Times New Roman"/>
                <w:b/>
                <w:bCs/>
                <w:color w:val="auto"/>
                <w:kern w:val="0"/>
                <w:szCs w:val="21"/>
              </w:rPr>
            </w:pPr>
            <w:r>
              <w:rPr>
                <w:rFonts w:hint="eastAsia" w:ascii="Calibri" w:hAnsi="Calibri" w:eastAsia="宋体" w:cs="Times New Roman"/>
                <w:b/>
                <w:bCs/>
                <w:color w:val="auto"/>
                <w:kern w:val="0"/>
                <w:szCs w:val="21"/>
              </w:rPr>
              <w:t>签就业协议</w:t>
            </w:r>
          </w:p>
        </w:tc>
        <w:tc>
          <w:tcPr>
            <w:tcW w:w="1271"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187</w:t>
            </w:r>
          </w:p>
        </w:tc>
        <w:tc>
          <w:tcPr>
            <w:tcW w:w="1783"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15.34%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2263" w:type="dxa"/>
            <w:shd w:val="clear" w:color="auto" w:fill="auto"/>
          </w:tcPr>
          <w:p>
            <w:pPr>
              <w:widowControl/>
              <w:spacing w:line="320" w:lineRule="exact"/>
              <w:jc w:val="center"/>
              <w:rPr>
                <w:rFonts w:ascii="Calibri" w:hAnsi="Calibri" w:eastAsia="宋体" w:cs="Times New Roman"/>
                <w:b/>
                <w:bCs/>
                <w:color w:val="auto"/>
                <w:kern w:val="0"/>
                <w:szCs w:val="21"/>
              </w:rPr>
            </w:pPr>
            <w:r>
              <w:rPr>
                <w:rFonts w:hint="eastAsia" w:ascii="Calibri" w:hAnsi="Calibri" w:eastAsia="宋体" w:cs="Times New Roman"/>
                <w:b/>
                <w:bCs/>
                <w:color w:val="auto"/>
                <w:kern w:val="0"/>
                <w:szCs w:val="21"/>
              </w:rPr>
              <w:t>参军</w:t>
            </w:r>
          </w:p>
        </w:tc>
        <w:tc>
          <w:tcPr>
            <w:tcW w:w="1271"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4</w:t>
            </w:r>
          </w:p>
        </w:tc>
        <w:tc>
          <w:tcPr>
            <w:tcW w:w="1783"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2263" w:type="dxa"/>
            <w:shd w:val="clear" w:color="auto" w:fill="auto"/>
          </w:tcPr>
          <w:p>
            <w:pPr>
              <w:widowControl/>
              <w:spacing w:line="320" w:lineRule="exact"/>
              <w:jc w:val="center"/>
              <w:rPr>
                <w:rFonts w:ascii="Calibri" w:hAnsi="Calibri" w:eastAsia="宋体" w:cs="Times New Roman"/>
                <w:b/>
                <w:bCs/>
                <w:color w:val="auto"/>
                <w:kern w:val="0"/>
                <w:szCs w:val="21"/>
              </w:rPr>
            </w:pPr>
            <w:r>
              <w:rPr>
                <w:rFonts w:hint="eastAsia" w:ascii="Calibri" w:hAnsi="Calibri" w:eastAsia="宋体" w:cs="Times New Roman"/>
                <w:b/>
                <w:bCs/>
                <w:color w:val="auto"/>
                <w:kern w:val="0"/>
                <w:szCs w:val="21"/>
              </w:rPr>
              <w:t>志愿服务西部</w:t>
            </w:r>
          </w:p>
        </w:tc>
        <w:tc>
          <w:tcPr>
            <w:tcW w:w="1271"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1</w:t>
            </w:r>
          </w:p>
        </w:tc>
        <w:tc>
          <w:tcPr>
            <w:tcW w:w="1783"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2263" w:type="dxa"/>
            <w:shd w:val="clear" w:color="auto" w:fill="auto"/>
          </w:tcPr>
          <w:p>
            <w:pPr>
              <w:widowControl/>
              <w:spacing w:line="320" w:lineRule="exact"/>
              <w:jc w:val="center"/>
              <w:rPr>
                <w:rFonts w:ascii="Calibri" w:hAnsi="Calibri" w:eastAsia="宋体" w:cs="Times New Roman"/>
                <w:b/>
                <w:bCs/>
                <w:color w:val="auto"/>
                <w:kern w:val="0"/>
                <w:szCs w:val="21"/>
              </w:rPr>
            </w:pPr>
            <w:r>
              <w:rPr>
                <w:rFonts w:hint="eastAsia" w:ascii="Calibri" w:hAnsi="Calibri" w:eastAsia="宋体" w:cs="Times New Roman"/>
                <w:b/>
                <w:bCs/>
                <w:color w:val="auto"/>
                <w:kern w:val="0"/>
                <w:szCs w:val="21"/>
              </w:rPr>
              <w:t>签劳动合同</w:t>
            </w:r>
          </w:p>
        </w:tc>
        <w:tc>
          <w:tcPr>
            <w:tcW w:w="1271"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330</w:t>
            </w:r>
          </w:p>
        </w:tc>
        <w:tc>
          <w:tcPr>
            <w:tcW w:w="1783"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27.07%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2263" w:type="dxa"/>
            <w:shd w:val="clear" w:color="auto" w:fill="auto"/>
          </w:tcPr>
          <w:p>
            <w:pPr>
              <w:widowControl/>
              <w:spacing w:line="320" w:lineRule="exact"/>
              <w:jc w:val="center"/>
              <w:rPr>
                <w:rFonts w:ascii="Calibri" w:hAnsi="Calibri" w:eastAsia="宋体" w:cs="Times New Roman"/>
                <w:b/>
                <w:bCs/>
                <w:color w:val="auto"/>
                <w:kern w:val="0"/>
                <w:szCs w:val="21"/>
              </w:rPr>
            </w:pPr>
            <w:r>
              <w:rPr>
                <w:rFonts w:hint="eastAsia" w:ascii="Calibri" w:hAnsi="Calibri" w:eastAsia="宋体" w:cs="Times New Roman"/>
                <w:b/>
                <w:bCs/>
                <w:color w:val="auto"/>
                <w:kern w:val="0"/>
                <w:szCs w:val="21"/>
              </w:rPr>
              <w:t>单位用人证明</w:t>
            </w:r>
          </w:p>
        </w:tc>
        <w:tc>
          <w:tcPr>
            <w:tcW w:w="1271"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416</w:t>
            </w:r>
          </w:p>
        </w:tc>
        <w:tc>
          <w:tcPr>
            <w:tcW w:w="1783"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2263" w:type="dxa"/>
            <w:shd w:val="clear" w:color="auto" w:fill="auto"/>
          </w:tcPr>
          <w:p>
            <w:pPr>
              <w:widowControl/>
              <w:spacing w:line="320" w:lineRule="exact"/>
              <w:jc w:val="center"/>
              <w:rPr>
                <w:rFonts w:ascii="Calibri" w:hAnsi="Calibri" w:eastAsia="宋体" w:cs="Times New Roman"/>
                <w:b/>
                <w:bCs/>
                <w:color w:val="auto"/>
                <w:kern w:val="0"/>
                <w:szCs w:val="21"/>
              </w:rPr>
            </w:pPr>
            <w:r>
              <w:rPr>
                <w:rFonts w:hint="eastAsia" w:ascii="Calibri" w:hAnsi="Calibri" w:eastAsia="宋体" w:cs="Times New Roman"/>
                <w:b/>
                <w:bCs/>
                <w:color w:val="auto"/>
                <w:kern w:val="0"/>
                <w:szCs w:val="21"/>
              </w:rPr>
              <w:t>自由职业</w:t>
            </w:r>
          </w:p>
        </w:tc>
        <w:tc>
          <w:tcPr>
            <w:tcW w:w="1271"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1</w:t>
            </w:r>
          </w:p>
        </w:tc>
        <w:tc>
          <w:tcPr>
            <w:tcW w:w="1783"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2263" w:type="dxa"/>
            <w:shd w:val="clear" w:color="auto" w:fill="auto"/>
          </w:tcPr>
          <w:p>
            <w:pPr>
              <w:widowControl/>
              <w:spacing w:line="320" w:lineRule="exact"/>
              <w:jc w:val="center"/>
              <w:rPr>
                <w:rFonts w:ascii="Calibri" w:hAnsi="Calibri" w:eastAsia="宋体" w:cs="Times New Roman"/>
                <w:b/>
                <w:bCs/>
                <w:color w:val="auto"/>
                <w:kern w:val="0"/>
                <w:szCs w:val="21"/>
              </w:rPr>
            </w:pPr>
            <w:r>
              <w:rPr>
                <w:rFonts w:hint="eastAsia" w:ascii="Calibri" w:hAnsi="Calibri" w:eastAsia="宋体" w:cs="Times New Roman"/>
                <w:b/>
                <w:bCs/>
                <w:color w:val="auto"/>
                <w:kern w:val="0"/>
                <w:szCs w:val="21"/>
              </w:rPr>
              <w:t>自主创业</w:t>
            </w:r>
          </w:p>
        </w:tc>
        <w:tc>
          <w:tcPr>
            <w:tcW w:w="1271"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3</w:t>
            </w:r>
          </w:p>
        </w:tc>
        <w:tc>
          <w:tcPr>
            <w:tcW w:w="1783"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2263" w:type="dxa"/>
            <w:shd w:val="clear" w:color="auto" w:fill="auto"/>
          </w:tcPr>
          <w:p>
            <w:pPr>
              <w:widowControl/>
              <w:spacing w:line="320" w:lineRule="exact"/>
              <w:jc w:val="center"/>
              <w:rPr>
                <w:rFonts w:ascii="Calibri" w:hAnsi="Calibri" w:eastAsia="宋体" w:cs="Times New Roman"/>
                <w:b/>
                <w:bCs/>
                <w:color w:val="auto"/>
                <w:kern w:val="0"/>
                <w:szCs w:val="21"/>
              </w:rPr>
            </w:pPr>
            <w:r>
              <w:rPr>
                <w:rFonts w:hint="eastAsia" w:ascii="Calibri" w:hAnsi="Calibri" w:eastAsia="宋体" w:cs="Times New Roman"/>
                <w:b/>
                <w:bCs/>
                <w:color w:val="auto"/>
                <w:kern w:val="0"/>
                <w:szCs w:val="21"/>
              </w:rPr>
              <w:t>待就业</w:t>
            </w:r>
          </w:p>
        </w:tc>
        <w:tc>
          <w:tcPr>
            <w:tcW w:w="1271"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101</w:t>
            </w:r>
          </w:p>
        </w:tc>
        <w:tc>
          <w:tcPr>
            <w:tcW w:w="1783" w:type="dxa"/>
            <w:shd w:val="clear" w:color="auto" w:fill="auto"/>
          </w:tcPr>
          <w:p>
            <w:pPr>
              <w:widowControl/>
              <w:spacing w:line="320" w:lineRule="exact"/>
              <w:jc w:val="center"/>
              <w:rPr>
                <w:rFonts w:ascii="Calibri" w:hAnsi="Calibri" w:eastAsia="宋体" w:cs="Times New Roman"/>
                <w:color w:val="auto"/>
                <w:kern w:val="0"/>
                <w:szCs w:val="21"/>
                <w:highlight w:val="yellow"/>
              </w:rPr>
            </w:pPr>
            <w:r>
              <w:rPr>
                <w:rFonts w:hint="eastAsia"/>
                <w:color w:val="auto"/>
                <w:kern w:val="0"/>
                <w:szCs w:val="21"/>
              </w:rPr>
              <w:t>5.34%</w:t>
            </w:r>
          </w:p>
        </w:tc>
      </w:tr>
    </w:tbl>
    <w:p>
      <w:pPr>
        <w:pStyle w:val="3"/>
        <w:spacing w:before="0" w:after="0" w:line="240" w:lineRule="auto"/>
        <w:rPr>
          <w:rFonts w:ascii="黑体" w:hAnsi="黑体" w:eastAsia="黑体"/>
          <w:b w:val="0"/>
          <w:color w:val="auto"/>
          <w:sz w:val="28"/>
          <w:szCs w:val="28"/>
        </w:rPr>
      </w:pPr>
      <w:bookmarkStart w:id="168" w:name="_Toc18660"/>
      <w:bookmarkStart w:id="169" w:name="_Toc15820"/>
      <w:bookmarkStart w:id="170" w:name="_Toc27016_WPSOffice_Level2"/>
      <w:bookmarkStart w:id="171" w:name="_Toc3249"/>
      <w:bookmarkStart w:id="172" w:name="_Toc13143_WPSOffice_Level2"/>
      <w:r>
        <w:rPr>
          <w:rFonts w:hint="eastAsia" w:ascii="黑体" w:hAnsi="黑体" w:eastAsia="黑体"/>
          <w:b w:val="0"/>
          <w:color w:val="auto"/>
          <w:sz w:val="28"/>
          <w:szCs w:val="28"/>
        </w:rPr>
        <w:t>（五）就业满意度</w:t>
      </w:r>
      <w:bookmarkEnd w:id="168"/>
      <w:bookmarkEnd w:id="169"/>
      <w:bookmarkEnd w:id="170"/>
      <w:bookmarkEnd w:id="171"/>
      <w:bookmarkEnd w:id="172"/>
    </w:p>
    <w:p>
      <w:pPr>
        <w:spacing w:line="400" w:lineRule="exact"/>
        <w:ind w:firstLine="480"/>
        <w:rPr>
          <w:color w:val="auto"/>
          <w:sz w:val="24"/>
          <w:szCs w:val="24"/>
        </w:rPr>
      </w:pPr>
      <w:r>
        <w:rPr>
          <w:rFonts w:hint="eastAsia"/>
          <w:color w:val="auto"/>
          <w:sz w:val="24"/>
          <w:szCs w:val="24"/>
        </w:rPr>
        <w:t>《中国劳动关系学院应届生培养质量评价报告（2018）》显示：2017届毕业生的就业现状满意度为74%，高于麦可思调查的全国新建本科院校平均水平（68%）。有半数以上（52%）毕业生认为目前的工作符合自己的职业期待。从薪资水平来看，2017届毕业生的月收入为5563元，高于全国新建本科院校平均水平（4477元）。六成以上（63%）毕业生从事的工作与专业相关，毕业生的离职率（19%）较低，就业稳定性较强。学校对2018届毕业生进行的《中国劳动关系学院毕业生就业状况及对就业工作满意度调查问卷》统计显示：94.31%的2018届毕业生对我校就业指导工作表示满意，93.72%的毕业生对目前工作单位和工作岗位满意。</w:t>
      </w:r>
    </w:p>
    <w:p>
      <w:pPr>
        <w:spacing w:line="400" w:lineRule="exact"/>
        <w:ind w:firstLine="480"/>
        <w:rPr>
          <w:color w:val="auto"/>
          <w:sz w:val="24"/>
          <w:szCs w:val="24"/>
        </w:rPr>
      </w:pPr>
      <w:r>
        <w:rPr>
          <w:rFonts w:hint="eastAsia"/>
          <w:color w:val="auto"/>
          <w:sz w:val="24"/>
          <w:szCs w:val="24"/>
        </w:rPr>
        <w:t>在用人单位满意度方面，《中国劳动关系学院用人单位跟踪评价报告（2018）》显示：过去三年聘用过我校毕业生的用人单位的总体满意度高（96%），近七成（69%）的用人单位认为我校毕业生的整体表现高于平均水平。来我校招聘过的用人单位绝大多数（98%）表示未来愿意继续招聘我校毕业生。</w:t>
      </w:r>
    </w:p>
    <w:p>
      <w:pPr>
        <w:pStyle w:val="2"/>
        <w:spacing w:before="0" w:after="0" w:line="240" w:lineRule="auto"/>
        <w:rPr>
          <w:rFonts w:ascii="黑体" w:hAnsi="黑体" w:eastAsia="黑体"/>
          <w:b w:val="0"/>
          <w:color w:val="auto"/>
          <w:sz w:val="30"/>
          <w:szCs w:val="30"/>
        </w:rPr>
      </w:pPr>
      <w:bookmarkStart w:id="173" w:name="_Toc783"/>
      <w:bookmarkStart w:id="174" w:name="_Toc20869_WPSOffice_Level1"/>
      <w:bookmarkStart w:id="175" w:name="_Toc4058"/>
      <w:bookmarkStart w:id="176" w:name="_Toc3245_WPSOffice_Level1"/>
      <w:bookmarkStart w:id="177" w:name="_Toc14167"/>
      <w:r>
        <w:rPr>
          <w:rFonts w:hint="eastAsia" w:ascii="黑体" w:hAnsi="黑体" w:eastAsia="黑体"/>
          <w:b w:val="0"/>
          <w:color w:val="auto"/>
          <w:sz w:val="30"/>
          <w:szCs w:val="30"/>
        </w:rPr>
        <w:t>六、本科人才培养特色</w:t>
      </w:r>
      <w:bookmarkEnd w:id="173"/>
      <w:bookmarkEnd w:id="174"/>
      <w:bookmarkEnd w:id="175"/>
      <w:bookmarkEnd w:id="176"/>
      <w:bookmarkEnd w:id="177"/>
    </w:p>
    <w:p>
      <w:pPr>
        <w:pStyle w:val="3"/>
        <w:spacing w:before="0" w:after="0" w:line="240" w:lineRule="auto"/>
        <w:rPr>
          <w:rFonts w:ascii="黑体" w:hAnsi="黑体" w:eastAsia="黑体"/>
          <w:b w:val="0"/>
          <w:color w:val="auto"/>
          <w:sz w:val="28"/>
          <w:szCs w:val="28"/>
        </w:rPr>
      </w:pPr>
      <w:bookmarkStart w:id="178" w:name="_Toc9311_WPSOffice_Level2"/>
      <w:bookmarkStart w:id="179" w:name="_Toc23660"/>
      <w:bookmarkStart w:id="180" w:name="_Toc11715_WPSOffice_Level2"/>
      <w:bookmarkStart w:id="181" w:name="_Toc26102"/>
      <w:bookmarkStart w:id="182" w:name="_Toc24460"/>
      <w:r>
        <w:rPr>
          <w:rFonts w:hint="eastAsia" w:ascii="黑体" w:hAnsi="黑体" w:eastAsia="黑体"/>
          <w:b w:val="0"/>
          <w:color w:val="auto"/>
          <w:sz w:val="28"/>
          <w:szCs w:val="28"/>
        </w:rPr>
        <w:t>（一）求实、求活、求新，积极开拓思想政治教育新局面</w:t>
      </w:r>
      <w:bookmarkEnd w:id="178"/>
      <w:bookmarkEnd w:id="179"/>
      <w:bookmarkEnd w:id="180"/>
      <w:bookmarkEnd w:id="181"/>
      <w:bookmarkEnd w:id="182"/>
    </w:p>
    <w:p>
      <w:pPr>
        <w:spacing w:line="400" w:lineRule="exact"/>
        <w:jc w:val="both"/>
        <w:rPr>
          <w:color w:val="auto"/>
          <w:sz w:val="24"/>
          <w:szCs w:val="24"/>
        </w:rPr>
      </w:pPr>
      <w:r>
        <w:rPr>
          <w:rFonts w:hint="eastAsia"/>
          <w:color w:val="auto"/>
          <w:sz w:val="24"/>
          <w:szCs w:val="24"/>
        </w:rPr>
        <w:t xml:space="preserve">   按照习近平总书记“做好高校思想政治工作要因事而化、因时而进、因势而新。要遵循思想政治工作教育规律，遵循教书育人规律，遵循学生成长规律，沿用好办法，改进老办法，探索新办法，不断提高工作能力和水平” 的指示，近年来，我校思政教育工作努力在体系上求实、在方法上求活、在内容上求新，不断提高思政教育的针对性与实效性。</w:t>
      </w:r>
    </w:p>
    <w:p>
      <w:pPr>
        <w:spacing w:line="400" w:lineRule="exact"/>
        <w:ind w:firstLine="480"/>
        <w:rPr>
          <w:color w:val="auto"/>
          <w:sz w:val="24"/>
          <w:szCs w:val="24"/>
        </w:rPr>
      </w:pPr>
      <w:r>
        <w:rPr>
          <w:rFonts w:hint="eastAsia"/>
          <w:b/>
          <w:color w:val="auto"/>
          <w:sz w:val="24"/>
          <w:szCs w:val="24"/>
        </w:rPr>
        <w:t>体系上求实，初步形成“四个课堂”联动、全方位思想政治教育新体系</w:t>
      </w:r>
      <w:r>
        <w:rPr>
          <w:rFonts w:hint="eastAsia"/>
          <w:color w:val="auto"/>
          <w:sz w:val="24"/>
          <w:szCs w:val="24"/>
        </w:rPr>
        <w:t>。所谓“四个课堂”，即以理论学习为主的第一课堂、以社会实践及志愿服务为主的第二课堂、以校园特色活动引领下学生自学为主的第三课堂、基于移动互联网技术的在线学习第四课堂。在充分发挥好课堂教学主渠道作用的同时，思政教学部还在大二上学期专门开设思政实践课，安排专人指导学生的实践活动，学校团委每年也会组织丰富多彩的第二课堂实践活动。2017-2018学年，安全工程系2015级学生梁梵洁等合作完成</w:t>
      </w:r>
      <w:r>
        <w:rPr>
          <w:rFonts w:hint="eastAsia"/>
          <w:color w:val="auto"/>
          <w:sz w:val="24"/>
          <w:szCs w:val="24"/>
          <w:lang w:eastAsia="zh-CN"/>
        </w:rPr>
        <w:t>的实践调查论文</w:t>
      </w:r>
      <w:r>
        <w:rPr>
          <w:rFonts w:hint="eastAsia"/>
          <w:color w:val="auto"/>
          <w:sz w:val="24"/>
          <w:szCs w:val="24"/>
        </w:rPr>
        <w:t>，荣获北京市高校思想政治理论课学生社会实践优秀论文一等奖，这是我校在此项目评选活动中连续７次获奖。学校还通过社团文化节，一月一书、一期一会，青年大学习等特色校园活动，引导学生广泛读书、自主学习。2018年6月，我校学生社团——马克思主义理论研究协会的唐书清等同学撰写的《新时代下青年社会参与影响因素探析——基于两个调研实例的思考》，在2018年首都高校学习习近平新时代中国特色社会主义思想学生理论社团交流会上获得优秀论文奖。近年来，学校还积极引入中成智慧课堂、雨课堂等新型移动互联网学习平台，创建CULR思修微平台、纲要课CULR等微信平台，加强学生的在线学习、考核与交流，实现“四个课堂”同向同行、贯通协同。</w:t>
      </w:r>
    </w:p>
    <w:p>
      <w:pPr>
        <w:spacing w:line="400" w:lineRule="exact"/>
        <w:ind w:firstLine="480"/>
        <w:rPr>
          <w:color w:val="auto"/>
          <w:sz w:val="24"/>
          <w:szCs w:val="24"/>
        </w:rPr>
      </w:pPr>
      <w:r>
        <w:rPr>
          <w:rFonts w:hint="eastAsia"/>
          <w:b/>
          <w:color w:val="auto"/>
          <w:sz w:val="24"/>
          <w:szCs w:val="24"/>
        </w:rPr>
        <w:t>方法上求活，激发学生参与思政教学的积极性</w:t>
      </w:r>
      <w:r>
        <w:rPr>
          <w:rFonts w:hint="eastAsia"/>
          <w:color w:val="auto"/>
          <w:sz w:val="24"/>
          <w:szCs w:val="24"/>
        </w:rPr>
        <w:t>。一是改革教学方式。《形势与政策》、《马列经典导读与科学思维培养》、《与大国工匠面对面》等课程，均采</w:t>
      </w:r>
      <w:r>
        <w:rPr>
          <w:rFonts w:hint="eastAsia"/>
          <w:color w:val="auto"/>
          <w:sz w:val="24"/>
          <w:szCs w:val="24"/>
          <w:lang w:eastAsia="zh-CN"/>
        </w:rPr>
        <w:t>用</w:t>
      </w:r>
      <w:r>
        <w:rPr>
          <w:rFonts w:hint="eastAsia"/>
          <w:color w:val="auto"/>
          <w:sz w:val="24"/>
          <w:szCs w:val="24"/>
        </w:rPr>
        <w:t>由专职思政教师把握课程主线、邀请其他学科知名学者或实务专家走进课堂讲授重点专题的“项链式”教学新模式</w:t>
      </w:r>
      <w:r>
        <w:rPr>
          <w:rFonts w:hint="eastAsia"/>
          <w:color w:val="auto"/>
          <w:sz w:val="24"/>
          <w:szCs w:val="24"/>
          <w:lang w:eastAsia="zh-CN"/>
        </w:rPr>
        <w:t>，</w:t>
      </w:r>
      <w:r>
        <w:rPr>
          <w:rFonts w:hint="eastAsia"/>
          <w:color w:val="auto"/>
          <w:sz w:val="24"/>
          <w:szCs w:val="24"/>
        </w:rPr>
        <w:t>既保证了思政课堂的主旋律，又通过业界精英的亲身讲授增强了教学内容的感染力，受到学生广泛好评。二是改革考试方式。在加大平时考核力度的同时，多门思政课程采取了更能体现学生参与度与思考力的开放性考试方式。如 《思想道德修养与法律基础》要求学生以 “学习《思想道德修养与法律基础》课的成长感悟”为题完成结课考试，反映自己在课程学习中的真实感悟与成长故事；《工运领袖和工会故事》则要求每位学生聚焦一位工运领袖，对其工运贡献进行分析和评价，撰写论文完成结课考试。三是运用新媒体新技术使思政教学活起来。利用中成智慧课堂、雨课堂等APP软件，实现了课前推送学习资料，课上点名签到，课中检验学习成效、学生全员线上参与、师生在线及时交流，有效提高了思政课的“到课率”、“抬头率”、“参与率”。</w:t>
      </w:r>
    </w:p>
    <w:p>
      <w:pPr>
        <w:spacing w:line="400" w:lineRule="exact"/>
        <w:ind w:firstLine="480"/>
        <w:jc w:val="both"/>
        <w:rPr>
          <w:color w:val="auto"/>
          <w:sz w:val="24"/>
          <w:szCs w:val="24"/>
        </w:rPr>
      </w:pPr>
      <w:r>
        <w:rPr>
          <w:rFonts w:hint="eastAsia"/>
          <w:b/>
          <w:color w:val="auto"/>
          <w:sz w:val="24"/>
          <w:szCs w:val="24"/>
        </w:rPr>
        <w:t>内容上求新，积极研发校本特色思政课程</w:t>
      </w:r>
      <w:r>
        <w:rPr>
          <w:rFonts w:hint="eastAsia"/>
          <w:color w:val="auto"/>
          <w:sz w:val="24"/>
          <w:szCs w:val="24"/>
        </w:rPr>
        <w:t>。思政教学部在扎实上好《马克思主义基本原理》、《中国特色社会主义概论》等六门必修课程的同时，还结合我校特色，陆续研发开出了五门校本选修课程——《思政课社会实践》、《形势与政策》、《马列经典导读与科学思维培养》、《工运领袖与工会故事》、《与大国工匠面对面》。这些课程因为内容新颖独特，教学方式亲切灵活，授课教师专业性强，成为学生争相选修的热门课程。</w:t>
      </w:r>
    </w:p>
    <w:p>
      <w:pPr>
        <w:pStyle w:val="3"/>
        <w:spacing w:before="0" w:after="0" w:line="240" w:lineRule="auto"/>
        <w:rPr>
          <w:rFonts w:ascii="黑体" w:hAnsi="黑体" w:eastAsia="黑体"/>
          <w:b w:val="0"/>
          <w:color w:val="auto"/>
          <w:sz w:val="28"/>
          <w:szCs w:val="28"/>
        </w:rPr>
      </w:pPr>
      <w:bookmarkStart w:id="183" w:name="_Toc10093"/>
      <w:bookmarkStart w:id="184" w:name="_Toc32337_WPSOffice_Level2"/>
      <w:bookmarkStart w:id="185" w:name="_Toc32086_WPSOffice_Level2"/>
      <w:bookmarkStart w:id="186" w:name="_Toc13814"/>
      <w:bookmarkStart w:id="187" w:name="_Toc17460"/>
      <w:r>
        <w:rPr>
          <w:rFonts w:hint="eastAsia" w:ascii="黑体" w:hAnsi="黑体" w:eastAsia="黑体"/>
          <w:b w:val="0"/>
          <w:color w:val="auto"/>
          <w:sz w:val="28"/>
          <w:szCs w:val="28"/>
        </w:rPr>
        <w:t>（二）推进</w:t>
      </w:r>
      <w:r>
        <w:rPr>
          <w:rFonts w:hint="eastAsia" w:ascii="黑体" w:hAnsi="黑体" w:eastAsia="黑体"/>
          <w:b w:val="0"/>
          <w:color w:val="auto"/>
          <w:sz w:val="28"/>
          <w:szCs w:val="28"/>
          <w:lang w:eastAsia="zh-CN"/>
        </w:rPr>
        <w:t>六</w:t>
      </w:r>
      <w:r>
        <w:rPr>
          <w:rFonts w:hint="eastAsia" w:ascii="黑体" w:hAnsi="黑体" w:eastAsia="黑体"/>
          <w:b w:val="0"/>
          <w:color w:val="auto"/>
          <w:sz w:val="28"/>
          <w:szCs w:val="28"/>
        </w:rPr>
        <w:t>个“一”工程，将劳模精神融入育人过程</w:t>
      </w:r>
      <w:bookmarkEnd w:id="183"/>
      <w:bookmarkEnd w:id="184"/>
      <w:bookmarkEnd w:id="185"/>
      <w:bookmarkEnd w:id="186"/>
      <w:bookmarkEnd w:id="187"/>
    </w:p>
    <w:p>
      <w:pPr>
        <w:spacing w:line="400" w:lineRule="exact"/>
        <w:ind w:firstLine="480"/>
        <w:rPr>
          <w:color w:val="auto"/>
          <w:sz w:val="24"/>
          <w:szCs w:val="24"/>
        </w:rPr>
      </w:pPr>
      <w:r>
        <w:rPr>
          <w:rFonts w:hint="eastAsia"/>
          <w:color w:val="auto"/>
          <w:sz w:val="24"/>
          <w:szCs w:val="24"/>
        </w:rPr>
        <w:t>我校是国内唯一坚持举办劳模本科教育的高校，至今已有26年劳模本科教育历史，培养了600余名劳模本科生。学员主要是全国劳动模范、全国“五一劳动奖章”获得者和全国先进工作者。近年来，学校充分发挥“劳动模范在校园、大国工匠在身边”的优势，积极推进</w:t>
      </w:r>
      <w:r>
        <w:rPr>
          <w:rFonts w:hint="eastAsia"/>
          <w:color w:val="auto"/>
          <w:sz w:val="24"/>
          <w:szCs w:val="24"/>
          <w:lang w:eastAsia="zh-CN"/>
        </w:rPr>
        <w:t>六</w:t>
      </w:r>
      <w:r>
        <w:rPr>
          <w:rFonts w:hint="eastAsia"/>
          <w:color w:val="auto"/>
          <w:sz w:val="24"/>
          <w:szCs w:val="24"/>
        </w:rPr>
        <w:t>个“一”工程，努力探索将劳模精神融入育人过程的新机制。2018年4月30日习近平总书记给我校劳模本科班学员的回信，是对我校弘扬劳模精神、崇尚劳动育英才的莫大肯定与勉励。</w:t>
      </w:r>
    </w:p>
    <w:p>
      <w:pPr>
        <w:spacing w:line="400" w:lineRule="exact"/>
        <w:ind w:firstLine="480"/>
        <w:rPr>
          <w:b/>
          <w:color w:val="auto"/>
          <w:sz w:val="24"/>
          <w:szCs w:val="24"/>
        </w:rPr>
      </w:pPr>
      <w:r>
        <w:rPr>
          <w:rFonts w:hint="eastAsia"/>
          <w:b/>
          <w:color w:val="auto"/>
          <w:sz w:val="24"/>
          <w:szCs w:val="24"/>
        </w:rPr>
        <w:t>一是开创一系列特色课程</w:t>
      </w:r>
      <w:r>
        <w:rPr>
          <w:rFonts w:hint="eastAsia"/>
          <w:color w:val="auto"/>
          <w:sz w:val="24"/>
          <w:szCs w:val="24"/>
        </w:rPr>
        <w:t>。在坚持上好“工会与劳动关系”、“工运史大讲堂”等颇具我校特色的系列讲座公选课的同时，自2018年春季学期开始，学校开设了《与大国工匠面对面》公选课，采取由“2位授课教师+1个主题+1个领域”组成的“211”授课模式，邀请全国劳模走进课堂，与思想政治理论教学部教师共同授课。课上，劳模们演示精湛技艺、讲述工匠事迹，思想政治理论教学部教师讲解理论知识、进行思想引领，用鲜活素材生动阐释新时代劳模精神的丰富内涵。</w:t>
      </w:r>
    </w:p>
    <w:p>
      <w:pPr>
        <w:spacing w:line="400" w:lineRule="exact"/>
        <w:ind w:firstLine="480"/>
        <w:rPr>
          <w:color w:val="auto"/>
          <w:sz w:val="24"/>
          <w:szCs w:val="24"/>
        </w:rPr>
      </w:pPr>
      <w:r>
        <w:rPr>
          <w:rFonts w:hint="eastAsia"/>
          <w:b/>
          <w:color w:val="auto"/>
          <w:sz w:val="24"/>
          <w:szCs w:val="24"/>
        </w:rPr>
        <w:t>二是完善一种共建机制</w:t>
      </w:r>
      <w:r>
        <w:rPr>
          <w:rFonts w:hint="eastAsia"/>
          <w:color w:val="auto"/>
          <w:sz w:val="24"/>
          <w:szCs w:val="24"/>
        </w:rPr>
        <w:t>。近年来，劳模学员所在党总支创新基层党建机制，积极开展与本科生党支部结对子、互帮互学活动，劳模党员分享先进事迹，本科生党员畅谈学习心得。通过支部共建，劳模党员和本科生党员同学习、共进步，取得了很好的效果。</w:t>
      </w:r>
      <w:r>
        <w:rPr>
          <w:rFonts w:hint="eastAsia"/>
          <w:color w:val="auto"/>
          <w:sz w:val="24"/>
          <w:szCs w:val="24"/>
          <w:lang w:eastAsia="zh-CN"/>
        </w:rPr>
        <w:t>今后</w:t>
      </w:r>
      <w:r>
        <w:rPr>
          <w:rFonts w:hint="eastAsia"/>
          <w:color w:val="auto"/>
          <w:sz w:val="24"/>
          <w:szCs w:val="24"/>
        </w:rPr>
        <w:t>，学校将为每一个学生党支部配备一名劳模党员，完善共建机制，进一步发挥劳模党员的模范带头作用。</w:t>
      </w:r>
    </w:p>
    <w:p>
      <w:pPr>
        <w:spacing w:line="400" w:lineRule="exact"/>
        <w:ind w:firstLine="480"/>
        <w:rPr>
          <w:color w:val="auto"/>
          <w:sz w:val="24"/>
          <w:szCs w:val="24"/>
        </w:rPr>
      </w:pPr>
      <w:r>
        <w:rPr>
          <w:rFonts w:hint="eastAsia"/>
          <w:b/>
          <w:color w:val="auto"/>
          <w:sz w:val="24"/>
          <w:szCs w:val="24"/>
        </w:rPr>
        <w:t>三是选聘一批劳模导师</w:t>
      </w:r>
      <w:r>
        <w:rPr>
          <w:rFonts w:hint="eastAsia"/>
          <w:color w:val="auto"/>
          <w:sz w:val="24"/>
          <w:szCs w:val="24"/>
        </w:rPr>
        <w:t>。为进一步加强和改进学校思想政治教育工作，学校积极探索建立聘请劳模学员担任大学生德育导师或兼职辅导员制度。</w:t>
      </w:r>
      <w:r>
        <w:rPr>
          <w:color w:val="auto"/>
          <w:sz w:val="24"/>
          <w:szCs w:val="24"/>
        </w:rPr>
        <w:t>劳模学员</w:t>
      </w:r>
      <w:r>
        <w:rPr>
          <w:rFonts w:hint="eastAsia"/>
          <w:color w:val="auto"/>
          <w:sz w:val="24"/>
          <w:szCs w:val="24"/>
        </w:rPr>
        <w:t>担任大学生德育导师或兼职辅导员，不仅为学校思想政治工作队伍注入了新的力量，还丰富了学生思想政治工作的手段和方式，育人效果突出。学生工作部在总结相关工作经验的基础上，积极研讨制定《中国劳动关系学院劳模辅导员聘任管理办法》，旨在实现劳模学员助力学校人才培养工作的规范化、制度化、常态化。</w:t>
      </w:r>
    </w:p>
    <w:p>
      <w:pPr>
        <w:spacing w:line="400" w:lineRule="exact"/>
        <w:ind w:firstLine="482"/>
        <w:rPr>
          <w:color w:val="auto"/>
          <w:sz w:val="24"/>
          <w:szCs w:val="24"/>
        </w:rPr>
      </w:pPr>
      <w:r>
        <w:rPr>
          <w:rFonts w:hint="eastAsia"/>
          <w:b/>
          <w:color w:val="auto"/>
          <w:sz w:val="24"/>
          <w:szCs w:val="24"/>
        </w:rPr>
        <w:t>四是拓展一片文化阵地</w:t>
      </w:r>
      <w:r>
        <w:rPr>
          <w:rFonts w:hint="eastAsia"/>
          <w:color w:val="auto"/>
          <w:sz w:val="24"/>
          <w:szCs w:val="24"/>
        </w:rPr>
        <w:t>。学校充分运用各宣传阵地展示劳模文化，弘扬劳模精神，塑造“崇尚劳动 崇尚创造”的新时代劳动价值观。在教学楼、图书馆等公共场所，以多种形式展示我国各行各业劳动模范和大国工匠的成长故事，传播劳模精神。充分运用新媒体技术，让劳模精神活起来，让思政教育活起来，在官微开设“身边劳模”专栏，在官网报道劳模故事，增强劳模精神的时代感和感染力。</w:t>
      </w:r>
    </w:p>
    <w:p>
      <w:pPr>
        <w:spacing w:line="400" w:lineRule="exact"/>
        <w:ind w:firstLine="480"/>
        <w:rPr>
          <w:rFonts w:hint="eastAsia"/>
          <w:color w:val="auto"/>
          <w:sz w:val="24"/>
          <w:szCs w:val="24"/>
        </w:rPr>
      </w:pPr>
      <w:r>
        <w:rPr>
          <w:rFonts w:hint="eastAsia"/>
          <w:b/>
          <w:color w:val="auto"/>
          <w:sz w:val="24"/>
          <w:szCs w:val="24"/>
        </w:rPr>
        <w:t>五是打造一个特色品牌</w:t>
      </w:r>
      <w:r>
        <w:rPr>
          <w:rFonts w:hint="eastAsia"/>
          <w:color w:val="auto"/>
          <w:sz w:val="24"/>
          <w:szCs w:val="24"/>
        </w:rPr>
        <w:t>。2014年5月，学校开办“劳模大讲堂”，先后邀请许振超、郭明义等全国著名劳模和20余位劳模学员与师生座谈，分享成长经历，弘扬劳模精神，示范引领青年大学生自觉践行社会主义核心价值观。2017年5月，教育部关工委和全国总工会宣教部在学校涿州校区举办“大国工匠进校园——走进中国劳动关系学院”专场活动。“劳模大讲堂”和“大国工匠进校园”等已成为我校的校园文化建设品牌，得到全国总工会、北京市教工委的充分肯定和大力支持。</w:t>
      </w:r>
    </w:p>
    <w:p>
      <w:pPr>
        <w:spacing w:line="400" w:lineRule="exact"/>
        <w:ind w:firstLine="480"/>
        <w:rPr>
          <w:rFonts w:hint="eastAsia"/>
          <w:color w:val="auto"/>
          <w:sz w:val="24"/>
          <w:szCs w:val="24"/>
        </w:rPr>
      </w:pPr>
      <w:r>
        <w:rPr>
          <w:rFonts w:hint="eastAsia"/>
          <w:b/>
          <w:bCs/>
          <w:color w:val="auto"/>
          <w:sz w:val="24"/>
          <w:szCs w:val="24"/>
          <w:lang w:eastAsia="zh-CN"/>
        </w:rPr>
        <w:t>六是</w:t>
      </w:r>
      <w:r>
        <w:rPr>
          <w:rFonts w:hint="eastAsia"/>
          <w:b/>
          <w:bCs/>
          <w:color w:val="auto"/>
          <w:sz w:val="24"/>
          <w:szCs w:val="24"/>
        </w:rPr>
        <w:t>搭建一个学术平台</w:t>
      </w:r>
      <w:r>
        <w:rPr>
          <w:rFonts w:hint="eastAsia"/>
          <w:color w:val="auto"/>
          <w:sz w:val="24"/>
          <w:szCs w:val="24"/>
          <w:lang w:eastAsia="zh-CN"/>
        </w:rPr>
        <w:t>。</w:t>
      </w:r>
      <w:r>
        <w:rPr>
          <w:rFonts w:hint="eastAsia"/>
          <w:color w:val="auto"/>
          <w:sz w:val="24"/>
          <w:szCs w:val="24"/>
        </w:rPr>
        <w:t>学校充分发挥劳动领域学科高度集聚、高度相关的优势，积极培育 “劳动+”学科群，大力加强劳动领域的科学研究，提升劳动领域的科研水平。组建了全国高校第一家以“劳动关系与工会”为主题的新型智库——“劳动关系与工会研究中心”，参与发起成立了国家一级学会——劳动经济学会，成立了大国工匠与劳动模范研究所。通过每年主办全国工会学研究会年会、中国工人历史与现状研究会年会暨全国工会理论和教学研讨会、“中国工会•劳动关系论坛”等全国性会议，提升劳动科学的社会影响力。近五年，学校资助出版《劳动的名义》、《中国职工状况研究报告》、《中国劳模口述史》、《劳动与发展》等劳动领域著作13部。这些学术平台与研究成果是我校弘扬劳模精神、培育劳动情怀的重要载体。</w:t>
      </w:r>
    </w:p>
    <w:p>
      <w:pPr>
        <w:pStyle w:val="2"/>
        <w:spacing w:before="0" w:after="0" w:line="240" w:lineRule="auto"/>
        <w:rPr>
          <w:rFonts w:hint="eastAsia" w:ascii="黑体" w:hAnsi="黑体" w:eastAsia="黑体"/>
          <w:b w:val="0"/>
          <w:color w:val="auto"/>
          <w:sz w:val="30"/>
          <w:szCs w:val="30"/>
        </w:rPr>
      </w:pPr>
      <w:bookmarkStart w:id="188" w:name="_Toc5452"/>
      <w:bookmarkStart w:id="189" w:name="_Toc13451_WPSOffice_Level1"/>
      <w:bookmarkStart w:id="190" w:name="_Toc5778"/>
      <w:bookmarkStart w:id="191" w:name="_Toc19846_WPSOffice_Level1"/>
      <w:bookmarkStart w:id="192" w:name="_Toc12276"/>
      <w:r>
        <w:rPr>
          <w:rFonts w:hint="eastAsia" w:ascii="黑体" w:hAnsi="黑体" w:eastAsia="黑体"/>
          <w:b w:val="0"/>
          <w:color w:val="auto"/>
          <w:sz w:val="30"/>
          <w:szCs w:val="30"/>
        </w:rPr>
        <w:t>七、需要解决的问题及对策</w:t>
      </w:r>
      <w:bookmarkEnd w:id="188"/>
      <w:bookmarkEnd w:id="189"/>
      <w:bookmarkEnd w:id="190"/>
      <w:bookmarkEnd w:id="191"/>
      <w:bookmarkEnd w:id="192"/>
    </w:p>
    <w:p>
      <w:pPr>
        <w:pStyle w:val="3"/>
        <w:spacing w:before="0" w:after="0" w:line="240" w:lineRule="auto"/>
        <w:rPr>
          <w:rFonts w:ascii="黑体" w:hAnsi="黑体" w:eastAsia="黑体"/>
          <w:b w:val="0"/>
          <w:color w:val="auto"/>
          <w:sz w:val="28"/>
          <w:szCs w:val="28"/>
        </w:rPr>
      </w:pPr>
      <w:bookmarkStart w:id="193" w:name="_Toc5604"/>
      <w:bookmarkStart w:id="194" w:name="_Toc19789"/>
      <w:bookmarkStart w:id="195" w:name="_Toc132_WPSOffice_Level2"/>
      <w:bookmarkStart w:id="196" w:name="_Toc30302"/>
      <w:bookmarkStart w:id="197" w:name="_Toc15880_WPSOffice_Level2"/>
      <w:r>
        <w:rPr>
          <w:rFonts w:hint="eastAsia" w:ascii="黑体" w:hAnsi="黑体" w:eastAsia="黑体"/>
          <w:b w:val="0"/>
          <w:color w:val="auto"/>
          <w:sz w:val="28"/>
          <w:szCs w:val="28"/>
        </w:rPr>
        <w:t>（一）教学研究与改革有待深入推进</w:t>
      </w:r>
      <w:bookmarkEnd w:id="193"/>
      <w:bookmarkEnd w:id="194"/>
      <w:bookmarkEnd w:id="195"/>
      <w:bookmarkEnd w:id="196"/>
      <w:bookmarkEnd w:id="197"/>
    </w:p>
    <w:p>
      <w:pPr>
        <w:spacing w:line="400" w:lineRule="exact"/>
        <w:ind w:firstLine="480" w:firstLineChars="200"/>
        <w:rPr>
          <w:color w:val="auto"/>
          <w:sz w:val="24"/>
          <w:szCs w:val="24"/>
        </w:rPr>
      </w:pPr>
      <w:r>
        <w:rPr>
          <w:rFonts w:hint="eastAsia"/>
          <w:color w:val="auto"/>
          <w:sz w:val="24"/>
          <w:szCs w:val="24"/>
        </w:rPr>
        <w:t>虽然我校教师参与教学改革的积极性较高，教改项目覆盖面较广，但也存在教育教学改革研究成果的实践转化率与推广度不高，高水平、高级别教改项目和教学成果偏少，教师应用现代教育技术与手段改进课堂教学的意识不强等问题。</w:t>
      </w:r>
    </w:p>
    <w:p>
      <w:pPr>
        <w:spacing w:line="400" w:lineRule="exact"/>
        <w:rPr>
          <w:color w:val="auto"/>
          <w:sz w:val="24"/>
          <w:szCs w:val="24"/>
        </w:rPr>
      </w:pPr>
      <w:r>
        <w:rPr>
          <w:rFonts w:hint="eastAsia"/>
          <w:color w:val="auto"/>
          <w:sz w:val="24"/>
          <w:szCs w:val="24"/>
        </w:rPr>
        <w:t xml:space="preserve">    为解决上述问题，学校拟采取如下措施：一是完善教学研究和教学改革项目管理办法，严格项目考核机制，加大优秀教改成果的宣传推广力度。二是加强高水平教学改革研究团队的培育力度</w:t>
      </w:r>
      <w:r>
        <w:rPr>
          <w:rFonts w:hint="eastAsia"/>
          <w:color w:val="auto"/>
          <w:sz w:val="24"/>
          <w:szCs w:val="24"/>
          <w:lang w:eastAsia="zh-CN"/>
        </w:rPr>
        <w:t>，</w:t>
      </w:r>
      <w:r>
        <w:rPr>
          <w:rFonts w:hint="eastAsia"/>
          <w:color w:val="auto"/>
          <w:sz w:val="24"/>
          <w:szCs w:val="24"/>
        </w:rPr>
        <w:t>引导各院（系、部）以学科专业带头人和学术骨干为核心，围绕学校“十三五”规划和人才培养专项规划确立的重要教学改革任务，确立团队攻关研究课题。三是加强教师培养培训</w:t>
      </w:r>
      <w:r>
        <w:rPr>
          <w:rFonts w:hint="eastAsia"/>
          <w:color w:val="auto"/>
          <w:sz w:val="24"/>
          <w:szCs w:val="24"/>
          <w:lang w:eastAsia="zh-CN"/>
        </w:rPr>
        <w:t>，</w:t>
      </w:r>
      <w:r>
        <w:rPr>
          <w:rFonts w:hint="eastAsia"/>
          <w:color w:val="auto"/>
          <w:sz w:val="24"/>
          <w:szCs w:val="24"/>
        </w:rPr>
        <w:t>高度重视教师的教育教学理论学习，更新教育教学观念。四是完善配套制度，将教师从事课堂教学改革的成果纳入教学评价体系中，为相关教学改革的深入推进建构良好的制度环境。</w:t>
      </w:r>
      <w:bookmarkStart w:id="198" w:name="_Toc19738"/>
      <w:bookmarkStart w:id="199" w:name="_Toc3950_WPSOffice_Level2"/>
      <w:bookmarkStart w:id="200" w:name="_Toc22010_WPSOffice_Level2"/>
      <w:bookmarkStart w:id="201" w:name="_Toc14186"/>
    </w:p>
    <w:p>
      <w:pPr>
        <w:pStyle w:val="3"/>
        <w:rPr>
          <w:rFonts w:hint="eastAsia" w:ascii="黑体" w:hAnsi="黑体" w:eastAsia="黑体" w:cs="黑体"/>
          <w:b w:val="0"/>
          <w:bCs w:val="0"/>
          <w:color w:val="auto"/>
          <w:sz w:val="28"/>
          <w:szCs w:val="28"/>
          <w:lang w:val="en-US" w:eastAsia="zh-CN"/>
        </w:rPr>
      </w:pPr>
      <w:bookmarkStart w:id="202" w:name="_Toc3677"/>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val="en-US" w:eastAsia="zh-CN"/>
        </w:rPr>
        <w:t>二）创新创业教育需进一步完善</w:t>
      </w:r>
      <w:bookmarkEnd w:id="202"/>
    </w:p>
    <w:p>
      <w:pPr>
        <w:spacing w:line="400" w:lineRule="exact"/>
        <w:ind w:firstLine="480" w:firstLineChars="200"/>
        <w:rPr>
          <w:color w:val="auto"/>
          <w:sz w:val="24"/>
          <w:szCs w:val="24"/>
        </w:rPr>
      </w:pPr>
      <w:r>
        <w:rPr>
          <w:rFonts w:hint="eastAsia"/>
          <w:color w:val="auto"/>
          <w:sz w:val="24"/>
          <w:szCs w:val="24"/>
        </w:rPr>
        <w:t>问题表现为：学校从事创新创业教育的教师、开设的创新创业教育课程数量偏少；学生创新创业项目和创业园入驻项目数量偏少、质量不高；学生创业指导教师数量较少，指导能力和水平有待提高；毕业生自主创业的人数较少等。</w:t>
      </w:r>
    </w:p>
    <w:p>
      <w:pPr>
        <w:spacing w:line="400" w:lineRule="exact"/>
        <w:ind w:firstLine="480" w:firstLineChars="200"/>
        <w:rPr>
          <w:color w:val="auto"/>
          <w:sz w:val="24"/>
          <w:szCs w:val="24"/>
        </w:rPr>
      </w:pPr>
      <w:r>
        <w:rPr>
          <w:rFonts w:hint="eastAsia"/>
          <w:color w:val="auto"/>
          <w:sz w:val="24"/>
          <w:szCs w:val="24"/>
        </w:rPr>
        <w:t>今后，学校将进一步完善创新创业教育管理体系，切实发挥好创新创业教育工作领导小组统筹规划与协调指导的作用。加强创新创业教育研究，引导教师开展相关研究与实践。加大创新创业项目相关政策解读和宣传力度，提高师生参与创新创业教育及实践的意识。遴选有能力、有意愿的专业教师、聘请校外优秀创业导师，专兼结合，建立相对稳定的创新创业指导教师队伍，给予从事创新创业教育的教师和学生更多的政策保障，健全激励机制，调动大家的积极性。在北京校区创建“大学生创业孵化园”，为学生提供更多自主创业机会和必要的场所和资源。</w:t>
      </w:r>
      <w:bookmarkEnd w:id="198"/>
      <w:bookmarkEnd w:id="199"/>
      <w:bookmarkEnd w:id="200"/>
      <w:bookmarkEnd w:id="201"/>
      <w:bookmarkStart w:id="203" w:name="_Toc13692"/>
      <w:bookmarkStart w:id="204" w:name="_Toc15817"/>
      <w:bookmarkStart w:id="205" w:name="_Toc15883_WPSOffice_Level2"/>
      <w:bookmarkStart w:id="206" w:name="_Toc23177_WPSOffice_Level2"/>
    </w:p>
    <w:p>
      <w:pPr>
        <w:pStyle w:val="3"/>
        <w:rPr>
          <w:rFonts w:hint="eastAsia" w:ascii="黑体" w:hAnsi="黑体" w:eastAsia="黑体" w:cs="黑体"/>
          <w:b w:val="0"/>
          <w:bCs w:val="0"/>
          <w:color w:val="auto"/>
          <w:sz w:val="28"/>
          <w:szCs w:val="28"/>
          <w:lang w:val="en-US" w:eastAsia="zh-CN"/>
        </w:rPr>
      </w:pPr>
      <w:bookmarkStart w:id="207" w:name="_Toc29844"/>
      <w:r>
        <w:rPr>
          <w:rFonts w:hint="eastAsia" w:ascii="黑体" w:hAnsi="黑体" w:eastAsia="黑体" w:cs="黑体"/>
          <w:b w:val="0"/>
          <w:bCs w:val="0"/>
          <w:color w:val="auto"/>
          <w:sz w:val="28"/>
          <w:szCs w:val="28"/>
          <w:lang w:val="en-US" w:eastAsia="zh-CN"/>
        </w:rPr>
        <w:t>（三）</w:t>
      </w:r>
      <w:bookmarkEnd w:id="203"/>
      <w:bookmarkEnd w:id="204"/>
      <w:bookmarkEnd w:id="205"/>
      <w:bookmarkEnd w:id="206"/>
      <w:r>
        <w:rPr>
          <w:rFonts w:hint="eastAsia" w:ascii="黑体" w:hAnsi="黑体" w:eastAsia="黑体" w:cs="黑体"/>
          <w:b w:val="0"/>
          <w:bCs w:val="0"/>
          <w:color w:val="auto"/>
          <w:sz w:val="28"/>
          <w:szCs w:val="28"/>
          <w:lang w:val="en-US" w:eastAsia="zh-CN"/>
        </w:rPr>
        <w:t>学校内部自我检查与评估工作有待优化</w:t>
      </w:r>
      <w:bookmarkEnd w:id="207"/>
    </w:p>
    <w:p>
      <w:pPr>
        <w:spacing w:line="400" w:lineRule="exact"/>
        <w:ind w:firstLine="480" w:firstLineChars="200"/>
        <w:rPr>
          <w:color w:val="auto"/>
          <w:sz w:val="24"/>
          <w:szCs w:val="24"/>
        </w:rPr>
      </w:pPr>
      <w:r>
        <w:rPr>
          <w:rFonts w:hint="eastAsia"/>
          <w:color w:val="auto"/>
          <w:sz w:val="24"/>
          <w:szCs w:val="24"/>
        </w:rPr>
        <w:t>学校重视教学工作的常规性检查与评估，但缺乏配合学校发展需要、推进教学改革的创新性检查，如青年教师导师制工作情况、教育教学改革项目</w:t>
      </w:r>
      <w:r>
        <w:rPr>
          <w:rFonts w:hint="eastAsia"/>
          <w:color w:val="auto"/>
          <w:sz w:val="24"/>
          <w:szCs w:val="24"/>
          <w:lang w:eastAsia="zh-CN"/>
        </w:rPr>
        <w:t>实际应用</w:t>
      </w:r>
      <w:r>
        <w:rPr>
          <w:rFonts w:hint="eastAsia"/>
          <w:color w:val="auto"/>
          <w:sz w:val="24"/>
          <w:szCs w:val="24"/>
        </w:rPr>
        <w:t>情况的检查与评估等；校内教学基本状态数据库尚未建立；本科专业评估、课程评估、院系部本科教学工作测评等工作未能很好地坚持和优化。</w:t>
      </w:r>
    </w:p>
    <w:p>
      <w:pPr>
        <w:spacing w:line="400" w:lineRule="exact"/>
        <w:ind w:firstLine="480" w:firstLineChars="200"/>
        <w:rPr>
          <w:color w:val="auto"/>
          <w:sz w:val="24"/>
          <w:szCs w:val="24"/>
        </w:rPr>
      </w:pPr>
      <w:r>
        <w:rPr>
          <w:rFonts w:hint="eastAsia"/>
          <w:color w:val="auto"/>
          <w:sz w:val="24"/>
          <w:szCs w:val="24"/>
        </w:rPr>
        <w:t>针对上述问题，学校拟从以下方面加以改进：一是着手研究校内教学基本状态数据库系统的开发建设工作，推进我校数据采集的信息化。二是积极引入第三方专业评估力量</w:t>
      </w:r>
      <w:r>
        <w:rPr>
          <w:rFonts w:hint="eastAsia"/>
          <w:color w:val="auto"/>
          <w:sz w:val="24"/>
          <w:szCs w:val="24"/>
          <w:lang w:eastAsia="zh-CN"/>
        </w:rPr>
        <w:t>，</w:t>
      </w:r>
      <w:r>
        <w:rPr>
          <w:rFonts w:hint="eastAsia"/>
          <w:color w:val="auto"/>
          <w:sz w:val="24"/>
          <w:szCs w:val="24"/>
        </w:rPr>
        <w:t>吸纳用人单位参与教学评估，积极开展依托第三方的认证和评估工作。三是加大开展创新性检查与评估工作的力度，</w:t>
      </w:r>
      <w:r>
        <w:rPr>
          <w:rFonts w:hint="eastAsia"/>
          <w:color w:val="auto"/>
          <w:sz w:val="24"/>
          <w:szCs w:val="24"/>
          <w:lang w:eastAsia="zh-CN"/>
        </w:rPr>
        <w:t>力争</w:t>
      </w:r>
      <w:r>
        <w:rPr>
          <w:rFonts w:hint="eastAsia"/>
          <w:color w:val="auto"/>
          <w:sz w:val="24"/>
          <w:szCs w:val="24"/>
        </w:rPr>
        <w:t>每学期或学年开展1-2</w:t>
      </w:r>
      <w:r>
        <w:rPr>
          <w:rFonts w:hint="eastAsia"/>
          <w:color w:val="auto"/>
          <w:sz w:val="24"/>
          <w:szCs w:val="24"/>
          <w:lang w:eastAsia="zh-CN"/>
        </w:rPr>
        <w:t>项</w:t>
      </w:r>
      <w:r>
        <w:rPr>
          <w:rFonts w:hint="eastAsia"/>
          <w:color w:val="auto"/>
          <w:sz w:val="24"/>
          <w:szCs w:val="24"/>
        </w:rPr>
        <w:t>创新性检查与评估项目。</w:t>
      </w:r>
      <w:bookmarkStart w:id="208" w:name="_Toc26440"/>
      <w:bookmarkStart w:id="209" w:name="_Toc6202_WPSOffice_Level2"/>
      <w:bookmarkStart w:id="210" w:name="_Toc3187_WPSOffice_Level2"/>
      <w:bookmarkStart w:id="211" w:name="_Toc31485"/>
    </w:p>
    <w:p>
      <w:pPr>
        <w:pStyle w:val="3"/>
        <w:rPr>
          <w:rFonts w:hint="eastAsia" w:ascii="黑体" w:hAnsi="黑体" w:eastAsia="黑体" w:cs="黑体"/>
          <w:b w:val="0"/>
          <w:bCs w:val="0"/>
          <w:color w:val="auto"/>
          <w:sz w:val="28"/>
          <w:szCs w:val="28"/>
          <w:lang w:val="en-US" w:eastAsia="zh-CN"/>
        </w:rPr>
      </w:pPr>
      <w:bookmarkStart w:id="212" w:name="_Toc31295"/>
      <w:r>
        <w:rPr>
          <w:rFonts w:hint="eastAsia" w:ascii="黑体" w:hAnsi="黑体" w:eastAsia="黑体" w:cs="黑体"/>
          <w:b w:val="0"/>
          <w:bCs w:val="0"/>
          <w:color w:val="auto"/>
          <w:sz w:val="28"/>
          <w:szCs w:val="28"/>
          <w:lang w:val="en-US" w:eastAsia="zh-CN"/>
        </w:rPr>
        <w:t>（四）第二课堂工作需加强统筹</w:t>
      </w:r>
      <w:bookmarkEnd w:id="208"/>
      <w:bookmarkEnd w:id="209"/>
      <w:bookmarkEnd w:id="210"/>
      <w:bookmarkEnd w:id="211"/>
      <w:bookmarkEnd w:id="212"/>
    </w:p>
    <w:p>
      <w:pPr>
        <w:spacing w:line="400" w:lineRule="exact"/>
        <w:ind w:firstLine="480" w:firstLineChars="200"/>
        <w:rPr>
          <w:color w:val="auto"/>
          <w:sz w:val="24"/>
          <w:szCs w:val="24"/>
        </w:rPr>
      </w:pPr>
      <w:r>
        <w:rPr>
          <w:rFonts w:hint="eastAsia"/>
          <w:color w:val="auto"/>
          <w:sz w:val="24"/>
          <w:szCs w:val="24"/>
        </w:rPr>
        <w:t>我校学生第二课堂活动丰富多彩，学生活动参与面较广泛，但仍存在两个课堂的衔接配合不够密切、专任教师承担第二课堂教学任务的积极性不高、部分学生轻视第二课堂活动、学生活动场地数量不足、部分设备陈旧老化等问题。</w:t>
      </w:r>
    </w:p>
    <w:p>
      <w:pPr>
        <w:spacing w:line="400" w:lineRule="exact"/>
        <w:ind w:firstLine="480" w:firstLineChars="200"/>
        <w:rPr>
          <w:color w:val="auto"/>
          <w:sz w:val="24"/>
          <w:szCs w:val="24"/>
        </w:rPr>
      </w:pPr>
      <w:r>
        <w:rPr>
          <w:rFonts w:hint="eastAsia"/>
          <w:color w:val="auto"/>
          <w:sz w:val="24"/>
          <w:szCs w:val="24"/>
        </w:rPr>
        <w:t>为改进第二课堂工作，学校拟采取的措施：一是</w:t>
      </w:r>
      <w:r>
        <w:rPr>
          <w:rFonts w:hint="eastAsia"/>
          <w:color w:val="auto"/>
          <w:sz w:val="24"/>
          <w:szCs w:val="24"/>
          <w:lang w:eastAsia="zh-CN"/>
        </w:rPr>
        <w:t>加强</w:t>
      </w:r>
      <w:r>
        <w:rPr>
          <w:rFonts w:hint="eastAsia"/>
          <w:color w:val="auto"/>
          <w:sz w:val="24"/>
          <w:szCs w:val="24"/>
        </w:rPr>
        <w:t>第二课堂统筹设计，</w:t>
      </w:r>
      <w:r>
        <w:rPr>
          <w:rFonts w:hint="eastAsia"/>
          <w:color w:val="auto"/>
          <w:sz w:val="24"/>
          <w:szCs w:val="24"/>
          <w:lang w:eastAsia="zh-CN"/>
        </w:rPr>
        <w:t>强化</w:t>
      </w:r>
      <w:r>
        <w:rPr>
          <w:rFonts w:hint="eastAsia"/>
          <w:color w:val="auto"/>
          <w:sz w:val="24"/>
          <w:szCs w:val="24"/>
        </w:rPr>
        <w:t>第二课堂与第一课堂的衔接配合，完善第二课堂管理体系。二是完善制度、健全激励机制，把教师第二课堂教学或指导工作纳入教学工作量的统计范围并作为教师教学工作考核、评优评先的重要参考。三是落实“第二课堂成绩单”制度，研发网络管理系统，让学分统计和成绩录入工作更规范高效。四是</w:t>
      </w:r>
      <w:r>
        <w:rPr>
          <w:rFonts w:hint="eastAsia"/>
          <w:color w:val="auto"/>
          <w:sz w:val="24"/>
          <w:szCs w:val="24"/>
          <w:lang w:eastAsia="zh-CN"/>
        </w:rPr>
        <w:t>根据《中国劳动关系学院“十三五”校园建设专项规划》要求，加大</w:t>
      </w:r>
      <w:r>
        <w:rPr>
          <w:rFonts w:hint="eastAsia"/>
          <w:color w:val="auto"/>
          <w:sz w:val="24"/>
          <w:szCs w:val="24"/>
        </w:rPr>
        <w:t>第二课堂场地、设施、设备的资金投入</w:t>
      </w:r>
      <w:r>
        <w:rPr>
          <w:rFonts w:hint="eastAsia"/>
          <w:color w:val="auto"/>
          <w:sz w:val="24"/>
          <w:szCs w:val="24"/>
          <w:lang w:eastAsia="zh-CN"/>
        </w:rPr>
        <w:t>和建设力度</w:t>
      </w:r>
      <w:r>
        <w:rPr>
          <w:rFonts w:hint="eastAsia"/>
          <w:color w:val="auto"/>
          <w:sz w:val="24"/>
          <w:szCs w:val="24"/>
        </w:rPr>
        <w:t>。</w:t>
      </w:r>
    </w:p>
    <w:sectPr>
      <w:footerReference r:id="rId3" w:type="default"/>
      <w:pgSz w:w="11906" w:h="16838"/>
      <w:pgMar w:top="1701" w:right="1418" w:bottom="1531"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53496142"/>
                          </w:sdtPr>
                          <w:sdtContent>
                            <w:p>
                              <w:pPr>
                                <w:pStyle w:val="7"/>
                                <w:jc w:val="center"/>
                              </w:pPr>
                              <w:r>
                                <w:fldChar w:fldCharType="begin"/>
                              </w:r>
                              <w:r>
                                <w:instrText xml:space="preserve">PAGE   \* MERGEFORMAT</w:instrText>
                              </w:r>
                              <w:r>
                                <w:fldChar w:fldCharType="separate"/>
                              </w:r>
                              <w:r>
                                <w:rPr>
                                  <w:lang w:val="zh-CN"/>
                                </w:rPr>
                                <w:t>15</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sdt>
                    <w:sdtPr>
                      <w:id w:val="-353496142"/>
                    </w:sdtPr>
                    <w:sdtContent>
                      <w:p>
                        <w:pPr>
                          <w:pStyle w:val="7"/>
                          <w:jc w:val="center"/>
                        </w:pPr>
                        <w:r>
                          <w:fldChar w:fldCharType="begin"/>
                        </w:r>
                        <w:r>
                          <w:instrText xml:space="preserve">PAGE   \* MERGEFORMAT</w:instrText>
                        </w:r>
                        <w:r>
                          <w:fldChar w:fldCharType="separate"/>
                        </w:r>
                        <w:r>
                          <w:rPr>
                            <w:lang w:val="zh-CN"/>
                          </w:rPr>
                          <w:t>15</w:t>
                        </w:r>
                        <w: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B0"/>
    <w:rsid w:val="0002109D"/>
    <w:rsid w:val="000262EF"/>
    <w:rsid w:val="00043110"/>
    <w:rsid w:val="0004770A"/>
    <w:rsid w:val="00055541"/>
    <w:rsid w:val="000662FD"/>
    <w:rsid w:val="00070166"/>
    <w:rsid w:val="0007046C"/>
    <w:rsid w:val="00070F00"/>
    <w:rsid w:val="000937B3"/>
    <w:rsid w:val="000977AA"/>
    <w:rsid w:val="000A7521"/>
    <w:rsid w:val="000B26B5"/>
    <w:rsid w:val="000C2CA0"/>
    <w:rsid w:val="00104C9C"/>
    <w:rsid w:val="00110D58"/>
    <w:rsid w:val="00137122"/>
    <w:rsid w:val="00137BAF"/>
    <w:rsid w:val="001B0007"/>
    <w:rsid w:val="002038FB"/>
    <w:rsid w:val="00206C77"/>
    <w:rsid w:val="00207BBF"/>
    <w:rsid w:val="00231831"/>
    <w:rsid w:val="0024137C"/>
    <w:rsid w:val="00250623"/>
    <w:rsid w:val="002817A4"/>
    <w:rsid w:val="002A0A62"/>
    <w:rsid w:val="002B3C6C"/>
    <w:rsid w:val="002B742F"/>
    <w:rsid w:val="002D6353"/>
    <w:rsid w:val="002E7F32"/>
    <w:rsid w:val="002F7EA0"/>
    <w:rsid w:val="003262A3"/>
    <w:rsid w:val="00350A27"/>
    <w:rsid w:val="00356892"/>
    <w:rsid w:val="00371B0B"/>
    <w:rsid w:val="003B12EF"/>
    <w:rsid w:val="003D07A3"/>
    <w:rsid w:val="003D11E2"/>
    <w:rsid w:val="003F182A"/>
    <w:rsid w:val="003F2062"/>
    <w:rsid w:val="003F7936"/>
    <w:rsid w:val="0040318D"/>
    <w:rsid w:val="00405479"/>
    <w:rsid w:val="00412B0B"/>
    <w:rsid w:val="004163B0"/>
    <w:rsid w:val="004279FB"/>
    <w:rsid w:val="00434128"/>
    <w:rsid w:val="004374CF"/>
    <w:rsid w:val="00444AEF"/>
    <w:rsid w:val="00444DDC"/>
    <w:rsid w:val="00447EC6"/>
    <w:rsid w:val="00453607"/>
    <w:rsid w:val="00467783"/>
    <w:rsid w:val="00486CC6"/>
    <w:rsid w:val="00496198"/>
    <w:rsid w:val="0049797C"/>
    <w:rsid w:val="004A0CD4"/>
    <w:rsid w:val="004C293B"/>
    <w:rsid w:val="004E647B"/>
    <w:rsid w:val="004E7395"/>
    <w:rsid w:val="00512404"/>
    <w:rsid w:val="005218F0"/>
    <w:rsid w:val="0052585C"/>
    <w:rsid w:val="00551B49"/>
    <w:rsid w:val="0057648E"/>
    <w:rsid w:val="00582069"/>
    <w:rsid w:val="005A6F03"/>
    <w:rsid w:val="005B6AB2"/>
    <w:rsid w:val="005D7252"/>
    <w:rsid w:val="005D75B2"/>
    <w:rsid w:val="005E3DF5"/>
    <w:rsid w:val="005E7F47"/>
    <w:rsid w:val="00613E4F"/>
    <w:rsid w:val="0062510B"/>
    <w:rsid w:val="00631810"/>
    <w:rsid w:val="00635EA1"/>
    <w:rsid w:val="00644026"/>
    <w:rsid w:val="006538E9"/>
    <w:rsid w:val="0065589B"/>
    <w:rsid w:val="00662A3A"/>
    <w:rsid w:val="00677825"/>
    <w:rsid w:val="006B5E05"/>
    <w:rsid w:val="007158F4"/>
    <w:rsid w:val="00720158"/>
    <w:rsid w:val="00733A64"/>
    <w:rsid w:val="00735D04"/>
    <w:rsid w:val="007408F9"/>
    <w:rsid w:val="00764130"/>
    <w:rsid w:val="00764898"/>
    <w:rsid w:val="00790352"/>
    <w:rsid w:val="007A027D"/>
    <w:rsid w:val="007A4D51"/>
    <w:rsid w:val="007C5DFA"/>
    <w:rsid w:val="00803C06"/>
    <w:rsid w:val="00812AC8"/>
    <w:rsid w:val="008149B5"/>
    <w:rsid w:val="00831861"/>
    <w:rsid w:val="00840895"/>
    <w:rsid w:val="00844B1A"/>
    <w:rsid w:val="008500DD"/>
    <w:rsid w:val="008730AA"/>
    <w:rsid w:val="00881CB0"/>
    <w:rsid w:val="00887757"/>
    <w:rsid w:val="00892DBE"/>
    <w:rsid w:val="008C58DF"/>
    <w:rsid w:val="008F0BF3"/>
    <w:rsid w:val="008F3A60"/>
    <w:rsid w:val="009014EF"/>
    <w:rsid w:val="00914CA3"/>
    <w:rsid w:val="009260C7"/>
    <w:rsid w:val="009327D8"/>
    <w:rsid w:val="009356E8"/>
    <w:rsid w:val="00941185"/>
    <w:rsid w:val="00962A50"/>
    <w:rsid w:val="0096534A"/>
    <w:rsid w:val="0096578C"/>
    <w:rsid w:val="00985136"/>
    <w:rsid w:val="009C36BD"/>
    <w:rsid w:val="009C525A"/>
    <w:rsid w:val="009C6897"/>
    <w:rsid w:val="009C7ADD"/>
    <w:rsid w:val="009D5577"/>
    <w:rsid w:val="009E1F5D"/>
    <w:rsid w:val="00A224D8"/>
    <w:rsid w:val="00A40C24"/>
    <w:rsid w:val="00A415D3"/>
    <w:rsid w:val="00A47BE8"/>
    <w:rsid w:val="00A72A8F"/>
    <w:rsid w:val="00A76FB8"/>
    <w:rsid w:val="00A82E1A"/>
    <w:rsid w:val="00A94866"/>
    <w:rsid w:val="00A96C08"/>
    <w:rsid w:val="00A97288"/>
    <w:rsid w:val="00AA36EC"/>
    <w:rsid w:val="00AC768B"/>
    <w:rsid w:val="00AE0801"/>
    <w:rsid w:val="00AE5D89"/>
    <w:rsid w:val="00B10381"/>
    <w:rsid w:val="00B14120"/>
    <w:rsid w:val="00B315B3"/>
    <w:rsid w:val="00B42B3E"/>
    <w:rsid w:val="00B44E1E"/>
    <w:rsid w:val="00B85EEA"/>
    <w:rsid w:val="00B97769"/>
    <w:rsid w:val="00BA1A89"/>
    <w:rsid w:val="00BA1BCF"/>
    <w:rsid w:val="00BB4935"/>
    <w:rsid w:val="00BD0E38"/>
    <w:rsid w:val="00BD50BD"/>
    <w:rsid w:val="00C01EB8"/>
    <w:rsid w:val="00C12796"/>
    <w:rsid w:val="00C13964"/>
    <w:rsid w:val="00C34FE8"/>
    <w:rsid w:val="00C55714"/>
    <w:rsid w:val="00C6363F"/>
    <w:rsid w:val="00C965F4"/>
    <w:rsid w:val="00CA6365"/>
    <w:rsid w:val="00CB442B"/>
    <w:rsid w:val="00CF27FB"/>
    <w:rsid w:val="00D009D1"/>
    <w:rsid w:val="00D05DF0"/>
    <w:rsid w:val="00D06B2B"/>
    <w:rsid w:val="00D110C6"/>
    <w:rsid w:val="00D6292F"/>
    <w:rsid w:val="00D66FDE"/>
    <w:rsid w:val="00D800B9"/>
    <w:rsid w:val="00D87575"/>
    <w:rsid w:val="00D9495B"/>
    <w:rsid w:val="00D97DA7"/>
    <w:rsid w:val="00DA6378"/>
    <w:rsid w:val="00DC1D25"/>
    <w:rsid w:val="00DC3C4D"/>
    <w:rsid w:val="00DD4D0A"/>
    <w:rsid w:val="00DE7609"/>
    <w:rsid w:val="00E54E1A"/>
    <w:rsid w:val="00E5690A"/>
    <w:rsid w:val="00E624EE"/>
    <w:rsid w:val="00E77232"/>
    <w:rsid w:val="00E86A58"/>
    <w:rsid w:val="00E87A2A"/>
    <w:rsid w:val="00E95B41"/>
    <w:rsid w:val="00ED209F"/>
    <w:rsid w:val="00EE3044"/>
    <w:rsid w:val="00F371D8"/>
    <w:rsid w:val="00F55885"/>
    <w:rsid w:val="00F7637A"/>
    <w:rsid w:val="00F83ABB"/>
    <w:rsid w:val="00F91F39"/>
    <w:rsid w:val="00F92192"/>
    <w:rsid w:val="00F957EF"/>
    <w:rsid w:val="00F96300"/>
    <w:rsid w:val="00F97365"/>
    <w:rsid w:val="00FD7381"/>
    <w:rsid w:val="00FD7AE4"/>
    <w:rsid w:val="00FF3D0A"/>
    <w:rsid w:val="047A0D27"/>
    <w:rsid w:val="05B737BA"/>
    <w:rsid w:val="0C6003E5"/>
    <w:rsid w:val="0E723C33"/>
    <w:rsid w:val="13170319"/>
    <w:rsid w:val="18577075"/>
    <w:rsid w:val="1A0073B3"/>
    <w:rsid w:val="1D3F5005"/>
    <w:rsid w:val="1E073F70"/>
    <w:rsid w:val="1F9833C7"/>
    <w:rsid w:val="29E109BE"/>
    <w:rsid w:val="2D6870D5"/>
    <w:rsid w:val="2E506B6E"/>
    <w:rsid w:val="32F05271"/>
    <w:rsid w:val="37DC19B6"/>
    <w:rsid w:val="42C8364A"/>
    <w:rsid w:val="43C27740"/>
    <w:rsid w:val="45016269"/>
    <w:rsid w:val="59CE1000"/>
    <w:rsid w:val="5FE37241"/>
    <w:rsid w:val="609662FE"/>
    <w:rsid w:val="66BC6D0D"/>
    <w:rsid w:val="72CF42B0"/>
    <w:rsid w:val="74CE13BA"/>
    <w:rsid w:val="78146C95"/>
    <w:rsid w:val="78F05C9C"/>
    <w:rsid w:val="7A596A59"/>
    <w:rsid w:val="7B90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4"/>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5">
    <w:name w:val="Light Shading Accent 1"/>
    <w:basedOn w:val="13"/>
    <w:qFormat/>
    <w:uiPriority w:val="60"/>
    <w:rPr>
      <w:color w:val="376092" w:themeColor="accent1" w:themeShade="BF"/>
    </w:rPr>
    <w:tblPr>
      <w:tblBorders>
        <w:top w:val="single" w:color="4F81BD" w:themeColor="accent1" w:sz="8" w:space="0"/>
        <w:bottom w:val="single" w:color="4F81BD" w:themeColor="accent1" w:sz="8" w:space="0"/>
      </w:tblBorders>
      <w:tblLayout w:type="fixed"/>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16">
    <w:name w:val="Light List Accent 5"/>
    <w:basedOn w:val="13"/>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7">
    <w:name w:val="Medium Grid 3 Accent 5"/>
    <w:basedOn w:val="13"/>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8">
    <w:name w:val="Dark List Accent 2"/>
    <w:basedOn w:val="13"/>
    <w:qFormat/>
    <w:uiPriority w:val="70"/>
    <w:rPr>
      <w:color w:val="FFFFFF" w:themeColor="background1"/>
      <w14:textFill>
        <w14:solidFill>
          <w14:schemeClr w14:val="bg1"/>
        </w14:solidFill>
      </w14:textFill>
    </w:rPr>
    <w:tblPr>
      <w:tblLayout w:type="fixed"/>
    </w:tblPr>
    <w:tcPr>
      <w:shd w:val="clear" w:color="auto" w:fill="C0504D"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blLayout w:type="fixed"/>
      </w:tblPr>
      <w:tcPr>
        <w:tcBorders>
          <w:top w:val="nil"/>
          <w:left w:val="nil"/>
          <w:bottom w:val="nil"/>
          <w:right w:val="nil"/>
          <w:insideH w:val="nil"/>
          <w:insideV w:val="nil"/>
        </w:tcBorders>
        <w:shd w:val="clear" w:color="auto" w:fill="943734" w:themeFill="accent2" w:themeFillShade="BF"/>
      </w:tcPr>
    </w:tblStylePr>
    <w:tblStylePr w:type="band1Horz">
      <w:tblPr>
        <w:tblLayout w:type="fixed"/>
      </w:tblPr>
      <w:tcPr>
        <w:tcBorders>
          <w:top w:val="nil"/>
          <w:left w:val="nil"/>
          <w:bottom w:val="nil"/>
          <w:right w:val="nil"/>
          <w:insideH w:val="nil"/>
          <w:insideV w:val="nil"/>
        </w:tcBorders>
        <w:shd w:val="clear" w:color="auto" w:fill="943734" w:themeFill="accent2" w:themeFillShade="BF"/>
      </w:tcPr>
    </w:tblStylePr>
  </w:style>
  <w:style w:type="table" w:styleId="19">
    <w:name w:val="Colorful List Accent 6"/>
    <w:basedOn w:val="13"/>
    <w:qFormat/>
    <w:uiPriority w:val="72"/>
    <w:rPr>
      <w:color w:val="000000" w:themeColor="text1"/>
      <w14:textFill>
        <w14:solidFill>
          <w14:schemeClr w14:val="tx1"/>
        </w14:solidFill>
      </w14:textFill>
    </w:rPr>
    <w:tblPr>
      <w:tblLayout w:type="fixed"/>
    </w:tblPr>
    <w:tcPr>
      <w:shd w:val="clear" w:color="auto" w:fill="FEF4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character" w:customStyle="1" w:styleId="20">
    <w:name w:val="页眉 Char"/>
    <w:basedOn w:val="11"/>
    <w:link w:val="8"/>
    <w:qFormat/>
    <w:uiPriority w:val="99"/>
    <w:rPr>
      <w:sz w:val="18"/>
      <w:szCs w:val="18"/>
    </w:rPr>
  </w:style>
  <w:style w:type="character" w:customStyle="1" w:styleId="21">
    <w:name w:val="页脚 Char"/>
    <w:basedOn w:val="11"/>
    <w:link w:val="7"/>
    <w:qFormat/>
    <w:uiPriority w:val="99"/>
    <w:rPr>
      <w:sz w:val="18"/>
      <w:szCs w:val="18"/>
    </w:rPr>
  </w:style>
  <w:style w:type="character" w:customStyle="1" w:styleId="22">
    <w:name w:val="标题 1 Char"/>
    <w:basedOn w:val="11"/>
    <w:link w:val="2"/>
    <w:qFormat/>
    <w:uiPriority w:val="9"/>
    <w:rPr>
      <w:b/>
      <w:bCs/>
      <w:kern w:val="44"/>
      <w:sz w:val="44"/>
      <w:szCs w:val="44"/>
    </w:rPr>
  </w:style>
  <w:style w:type="character" w:customStyle="1" w:styleId="23">
    <w:name w:val="标题 2 Char"/>
    <w:basedOn w:val="11"/>
    <w:link w:val="3"/>
    <w:qFormat/>
    <w:uiPriority w:val="9"/>
    <w:rPr>
      <w:rFonts w:asciiTheme="majorHAnsi" w:hAnsiTheme="majorHAnsi" w:eastAsiaTheme="majorEastAsia" w:cstheme="majorBidi"/>
      <w:b/>
      <w:bCs/>
      <w:sz w:val="32"/>
      <w:szCs w:val="32"/>
    </w:rPr>
  </w:style>
  <w:style w:type="character" w:customStyle="1" w:styleId="24">
    <w:name w:val="批注框文本 Char"/>
    <w:basedOn w:val="11"/>
    <w:link w:val="6"/>
    <w:semiHidden/>
    <w:qFormat/>
    <w:uiPriority w:val="99"/>
    <w:rPr>
      <w:sz w:val="18"/>
      <w:szCs w:val="18"/>
    </w:rPr>
  </w:style>
  <w:style w:type="character" w:customStyle="1" w:styleId="25">
    <w:name w:val="标题 3 Char"/>
    <w:basedOn w:val="11"/>
    <w:link w:val="4"/>
    <w:qFormat/>
    <w:uiPriority w:val="9"/>
    <w:rPr>
      <w:b/>
      <w:bCs/>
      <w:sz w:val="32"/>
      <w:szCs w:val="32"/>
    </w:rPr>
  </w:style>
  <w:style w:type="paragraph" w:styleId="26">
    <w:name w:val="List Paragraph"/>
    <w:basedOn w:val="1"/>
    <w:qFormat/>
    <w:uiPriority w:val="34"/>
    <w:pPr>
      <w:ind w:firstLine="420" w:firstLineChars="200"/>
    </w:pPr>
  </w:style>
  <w:style w:type="paragraph" w:customStyle="1" w:styleId="2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FCCBC-0EA6-470F-8852-D65FB8CE013F}">
  <ds:schemaRefs/>
</ds:datastoreItem>
</file>

<file path=docProps/app.xml><?xml version="1.0" encoding="utf-8"?>
<Properties xmlns="http://schemas.openxmlformats.org/officeDocument/2006/extended-properties" xmlns:vt="http://schemas.openxmlformats.org/officeDocument/2006/docPropsVTypes">
  <Template>Normal.dotm</Template>
  <Company>系统天地官网</Company>
  <Pages>18</Pages>
  <Words>8994</Words>
  <Characters>9895</Characters>
  <Lines>471</Lines>
  <Paragraphs>439</Paragraphs>
  <TotalTime>10</TotalTime>
  <ScaleCrop>false</ScaleCrop>
  <LinksUpToDate>false</LinksUpToDate>
  <CharactersWithSpaces>18450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2018-09-17T05:24:00Z</dcterms:created>
  <dc:creator>Administrator</dc:creator>
  <cp:lastModifiedBy>曲霞</cp:lastModifiedBy>
  <dcterms:modified xsi:type="dcterms:W3CDTF">2018-12-18T06:27:10Z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