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BB7" w:rsidRPr="00C24571" w:rsidRDefault="003C1BB7" w:rsidP="003C1BB7">
      <w:pPr>
        <w:widowControl/>
        <w:spacing w:before="100" w:beforeAutospacing="1" w:after="100" w:afterAutospacing="1"/>
        <w:jc w:val="center"/>
        <w:rPr>
          <w:rFonts w:ascii="仿宋" w:eastAsia="仿宋" w:hAnsi="仿宋" w:cs="宋体"/>
          <w:kern w:val="0"/>
          <w:sz w:val="28"/>
          <w:szCs w:val="28"/>
        </w:rPr>
      </w:pPr>
      <w:bookmarkStart w:id="0" w:name="_GoBack"/>
      <w:r w:rsidRPr="00C24571">
        <w:rPr>
          <w:rFonts w:ascii="仿宋" w:eastAsia="仿宋" w:hAnsi="仿宋" w:cs="宋体"/>
          <w:b/>
          <w:bCs/>
          <w:kern w:val="0"/>
          <w:sz w:val="28"/>
          <w:szCs w:val="28"/>
        </w:rPr>
        <w:t>“双万计划”国家级一流本科课程推荐认定办法</w:t>
      </w:r>
    </w:p>
    <w:bookmarkEnd w:id="0"/>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w:t>
      </w:r>
      <w:r w:rsidRPr="00C24571">
        <w:rPr>
          <w:rFonts w:ascii="仿宋" w:eastAsia="仿宋" w:hAnsi="仿宋" w:cs="宋体"/>
          <w:b/>
          <w:bCs/>
          <w:kern w:val="0"/>
          <w:sz w:val="28"/>
          <w:szCs w:val="28"/>
        </w:rPr>
        <w:t>一、推荐范围</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普通本科高校纳入人才培养方案且设置学分的本科课程均可推荐，包括思想政治理论课、公共基础课、专业基础课、专业课以及</w:t>
      </w:r>
      <w:proofErr w:type="gramStart"/>
      <w:r w:rsidRPr="00C24571">
        <w:rPr>
          <w:rFonts w:ascii="仿宋" w:eastAsia="仿宋" w:hAnsi="仿宋" w:cs="宋体"/>
          <w:kern w:val="0"/>
          <w:sz w:val="28"/>
          <w:szCs w:val="28"/>
        </w:rPr>
        <w:t>通识课等</w:t>
      </w:r>
      <w:proofErr w:type="gramEnd"/>
      <w:r w:rsidRPr="00C24571">
        <w:rPr>
          <w:rFonts w:ascii="仿宋" w:eastAsia="仿宋" w:hAnsi="仿宋" w:cs="宋体"/>
          <w:kern w:val="0"/>
          <w:sz w:val="28"/>
          <w:szCs w:val="28"/>
        </w:rPr>
        <w:t>独立设置的本科理论课程、实验课程和社会实践课程等。</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w:t>
      </w:r>
      <w:r w:rsidRPr="00C24571">
        <w:rPr>
          <w:rFonts w:ascii="仿宋" w:eastAsia="仿宋" w:hAnsi="仿宋" w:cs="宋体"/>
          <w:b/>
          <w:bCs/>
          <w:kern w:val="0"/>
          <w:sz w:val="28"/>
          <w:szCs w:val="28"/>
        </w:rPr>
        <w:t>二、推荐类型与计划</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（一）线上一流课程。即国家精品在线开放课程，突出优质、开放、共享，打造</w:t>
      </w:r>
      <w:proofErr w:type="gramStart"/>
      <w:r w:rsidRPr="00C24571">
        <w:rPr>
          <w:rFonts w:ascii="仿宋" w:eastAsia="仿宋" w:hAnsi="仿宋" w:cs="宋体"/>
          <w:kern w:val="0"/>
          <w:sz w:val="28"/>
          <w:szCs w:val="28"/>
        </w:rPr>
        <w:t>中国慕课品牌</w:t>
      </w:r>
      <w:proofErr w:type="gramEnd"/>
      <w:r w:rsidRPr="00C24571">
        <w:rPr>
          <w:rFonts w:ascii="仿宋" w:eastAsia="仿宋" w:hAnsi="仿宋" w:cs="宋体"/>
          <w:kern w:val="0"/>
          <w:sz w:val="28"/>
          <w:szCs w:val="28"/>
        </w:rPr>
        <w:t>。完成4000门左右国家精品在线开放课程认定，构建内容更加丰富、结构更加合理、类别更加全面的国家级</w:t>
      </w:r>
      <w:proofErr w:type="gramStart"/>
      <w:r w:rsidRPr="00C24571">
        <w:rPr>
          <w:rFonts w:ascii="仿宋" w:eastAsia="仿宋" w:hAnsi="仿宋" w:cs="宋体"/>
          <w:kern w:val="0"/>
          <w:sz w:val="28"/>
          <w:szCs w:val="28"/>
        </w:rPr>
        <w:t>精品慕课体系</w:t>
      </w:r>
      <w:proofErr w:type="gramEnd"/>
      <w:r w:rsidRPr="00C24571">
        <w:rPr>
          <w:rFonts w:ascii="仿宋" w:eastAsia="仿宋" w:hAnsi="仿宋" w:cs="宋体"/>
          <w:kern w:val="0"/>
          <w:sz w:val="28"/>
          <w:szCs w:val="28"/>
        </w:rPr>
        <w:t>。</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w:t>
      </w:r>
      <w:r w:rsidRPr="00C24571">
        <w:rPr>
          <w:rFonts w:ascii="仿宋" w:eastAsia="仿宋" w:hAnsi="仿宋" w:cs="宋体"/>
          <w:kern w:val="0"/>
          <w:sz w:val="28"/>
          <w:szCs w:val="28"/>
        </w:rPr>
        <w:lastRenderedPageBreak/>
        <w:t>基于国家精品在线开放课程应用的线上线下混合式优质课程申报。认定6000门左右国家级线上线下混合式一流课程。</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w:t>
      </w:r>
      <w:r w:rsidRPr="00C24571">
        <w:rPr>
          <w:rFonts w:ascii="仿宋" w:eastAsia="仿宋" w:hAnsi="仿宋" w:cs="宋体"/>
          <w:b/>
          <w:bCs/>
          <w:kern w:val="0"/>
          <w:sz w:val="28"/>
          <w:szCs w:val="28"/>
        </w:rPr>
        <w:t>三、推荐条件</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推荐课程须至少经过两个学期或两个教学周期的建设和完善，取得实质性改革成效，在同类课程中具有鲜明特色、良好的教学效果，并承诺入选后将持续改进。符合相关类型课程基本形态和特殊</w:t>
      </w:r>
      <w:r w:rsidRPr="00C24571">
        <w:rPr>
          <w:rFonts w:ascii="仿宋" w:eastAsia="仿宋" w:hAnsi="仿宋" w:cs="宋体"/>
          <w:kern w:val="0"/>
          <w:sz w:val="28"/>
          <w:szCs w:val="28"/>
        </w:rPr>
        <w:lastRenderedPageBreak/>
        <w:t>要求的同时，在以下多个方面具备实质性创新，有较大的借鉴和推广价值。</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（一）教学理念先进。坚持立德树人，体现以学生发展为中心，致力于开启学生内在潜力和学习动力，注重学生德智体美劳全面发展。</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（三）课程目标有效支撑培养目标达成。课程目标符合学校办学定位和人才培养目标，注重知识、能力、素质培养。</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（四）课程教学设计科学合理。围绕目标达成、教学内容、组织实施和多元评价需求进行整体规划，教学策略、教学方法、教学过程、教学评价等设计合理。</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lastRenderedPageBreak/>
        <w:t xml:space="preserve">　　（六）教学组织与实施突出学生中心地位。根据学生认知规律和接受特点，创新教与学模式，因材施教，促进师生之间、学生之间的交流互动、资源共享、知识生成，教学反馈及时，教学效果显著。</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（七）课程管理与评价科学且可测量。教师备课要求明确，学生学习管理严格。针对教学目标、教学内容、教学组织等采用多元化考核评价，过程可回溯，诊断改进积极有效。教学过程材料完整，可借鉴可监督。</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w:t>
      </w:r>
      <w:r w:rsidRPr="00C24571">
        <w:rPr>
          <w:rFonts w:ascii="仿宋" w:eastAsia="仿宋" w:hAnsi="仿宋" w:cs="宋体"/>
          <w:b/>
          <w:bCs/>
          <w:kern w:val="0"/>
          <w:sz w:val="28"/>
          <w:szCs w:val="28"/>
        </w:rPr>
        <w:t>四、推荐方式</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w:t>
      </w:r>
      <w:proofErr w:type="gramStart"/>
      <w:r w:rsidRPr="00C24571">
        <w:rPr>
          <w:rFonts w:ascii="仿宋" w:eastAsia="仿宋" w:hAnsi="仿宋" w:cs="宋体"/>
          <w:kern w:val="0"/>
          <w:sz w:val="28"/>
          <w:szCs w:val="28"/>
        </w:rPr>
        <w:t>除线上</w:t>
      </w:r>
      <w:proofErr w:type="gramEnd"/>
      <w:r w:rsidRPr="00C24571">
        <w:rPr>
          <w:rFonts w:ascii="仿宋" w:eastAsia="仿宋" w:hAnsi="仿宋" w:cs="宋体"/>
          <w:kern w:val="0"/>
          <w:sz w:val="28"/>
          <w:szCs w:val="28"/>
        </w:rPr>
        <w:t>一流课程、虚拟仿真实验教学一流课程继续按有关文件实施外，线下一流课程、线上线下混合式一流课程和社会实践一流课程采用以下推荐方式。</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（一）推荐总额</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教育部按照国家级线下一流课程、线上线下混合式一流课程和社会实践一流课程三年计划总数确定推荐总额，分别下达至中央部门所属高校和各省级教育行政部门。</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（二）分赛道推荐</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lastRenderedPageBreak/>
        <w:t xml:space="preserve">　　按照中央部门所属高校、地方高校的办学定位和培养目标特点分赛道推荐，名额分列。部省合建高校推荐课程纳入中央部门所属高校赛道。</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（三）推荐方式</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（四）推荐材料要求</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课程团队须提交申报书、时长10分钟内的说课视频（包括教学理念、课程设计、课程实施、改革成效等）和其他佐证材料。</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w:t>
      </w:r>
      <w:r w:rsidRPr="00C24571">
        <w:rPr>
          <w:rFonts w:ascii="仿宋" w:eastAsia="仿宋" w:hAnsi="仿宋" w:cs="宋体"/>
          <w:b/>
          <w:bCs/>
          <w:kern w:val="0"/>
          <w:sz w:val="28"/>
          <w:szCs w:val="28"/>
        </w:rPr>
        <w:t>五、认定方式</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教育部分年度组织专家对推荐课程进行认定，经公示后向社会发布。对课程团队成员存在师德师风问题、学术不端问题、五年内出现过重大教学事故，课程内容存在思想性科学性问题的，实行一票否决。</w:t>
      </w:r>
    </w:p>
    <w:p w:rsidR="003C1BB7" w:rsidRPr="00C24571" w:rsidRDefault="003C1BB7" w:rsidP="003C1BB7">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w:t>
      </w:r>
      <w:r w:rsidRPr="00C24571">
        <w:rPr>
          <w:rFonts w:ascii="仿宋" w:eastAsia="仿宋" w:hAnsi="仿宋" w:cs="宋体"/>
          <w:b/>
          <w:bCs/>
          <w:kern w:val="0"/>
          <w:sz w:val="28"/>
          <w:szCs w:val="28"/>
        </w:rPr>
        <w:t>六、认定课程管理</w:t>
      </w:r>
    </w:p>
    <w:p w:rsidR="003C1BB7" w:rsidRPr="00C24571" w:rsidRDefault="003C1BB7" w:rsidP="003C1BB7">
      <w:pPr>
        <w:widowControl/>
        <w:spacing w:before="100" w:beforeAutospacing="1" w:after="100" w:afterAutospacing="1"/>
        <w:jc w:val="left"/>
        <w:rPr>
          <w:rFonts w:ascii="仿宋" w:eastAsia="仿宋" w:hAnsi="仿宋" w:cs="宋体" w:hint="eastAsia"/>
          <w:kern w:val="0"/>
          <w:sz w:val="28"/>
          <w:szCs w:val="28"/>
        </w:rPr>
      </w:pPr>
      <w:r w:rsidRPr="00C24571">
        <w:rPr>
          <w:rFonts w:ascii="仿宋" w:eastAsia="仿宋" w:hAnsi="仿宋" w:cs="宋体"/>
          <w:kern w:val="0"/>
          <w:sz w:val="28"/>
          <w:szCs w:val="28"/>
        </w:rPr>
        <w:lastRenderedPageBreak/>
        <w:t xml:space="preserve">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E25E59" w:rsidRPr="00C24571" w:rsidRDefault="00E25E59" w:rsidP="003C1BB7">
      <w:pPr>
        <w:widowControl/>
        <w:spacing w:before="100" w:beforeAutospacing="1" w:after="100" w:afterAutospacing="1"/>
        <w:ind w:right="420"/>
        <w:jc w:val="right"/>
        <w:rPr>
          <w:rFonts w:ascii="仿宋" w:eastAsia="仿宋" w:hAnsi="仿宋" w:cs="宋体" w:hint="eastAsia"/>
          <w:kern w:val="0"/>
          <w:sz w:val="28"/>
          <w:szCs w:val="28"/>
        </w:rPr>
      </w:pPr>
    </w:p>
    <w:sectPr w:rsidR="00E25E59" w:rsidRPr="00C24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71"/>
    <w:rsid w:val="003C1BB7"/>
    <w:rsid w:val="00A62009"/>
    <w:rsid w:val="00C24571"/>
    <w:rsid w:val="00E2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2B16"/>
  <w15:chartTrackingRefBased/>
  <w15:docId w15:val="{1BF5004A-8682-41E3-A286-A5AF1AF9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245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571"/>
    <w:rPr>
      <w:rFonts w:ascii="宋体" w:eastAsia="宋体" w:hAnsi="宋体" w:cs="宋体"/>
      <w:b/>
      <w:bCs/>
      <w:kern w:val="36"/>
      <w:sz w:val="48"/>
      <w:szCs w:val="48"/>
    </w:rPr>
  </w:style>
  <w:style w:type="paragraph" w:styleId="a3">
    <w:name w:val="Normal (Web)"/>
    <w:basedOn w:val="a"/>
    <w:uiPriority w:val="99"/>
    <w:semiHidden/>
    <w:unhideWhenUsed/>
    <w:rsid w:val="00C245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99599">
      <w:bodyDiv w:val="1"/>
      <w:marLeft w:val="0"/>
      <w:marRight w:val="0"/>
      <w:marTop w:val="0"/>
      <w:marBottom w:val="0"/>
      <w:divBdr>
        <w:top w:val="none" w:sz="0" w:space="0" w:color="auto"/>
        <w:left w:val="none" w:sz="0" w:space="0" w:color="auto"/>
        <w:bottom w:val="none" w:sz="0" w:space="0" w:color="auto"/>
        <w:right w:val="none" w:sz="0" w:space="0" w:color="auto"/>
      </w:divBdr>
      <w:divsChild>
        <w:div w:id="112788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林晓玲</dc:creator>
  <cp:keywords/>
  <dc:description/>
  <cp:lastModifiedBy>林晓玲</cp:lastModifiedBy>
  <cp:revision>2</cp:revision>
  <dcterms:created xsi:type="dcterms:W3CDTF">2019-12-04T03:11:00Z</dcterms:created>
  <dcterms:modified xsi:type="dcterms:W3CDTF">2019-12-04T03:11:00Z</dcterms:modified>
</cp:coreProperties>
</file>