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附件3：</w:t>
      </w: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年延期及</w:t>
      </w: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</w:rPr>
        <w:t>立项的大学生创新创业训练项目终止名单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4370"/>
        <w:gridCol w:w="103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官媒对劳模形象的塑造与大众需求的劳模形象对比——基于对全国100所高校及10余个全国劳动模范的调研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黄政栋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x202312453026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为什么我们会被电信诈骗？——以重庆市南川区实际调查为例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x202312453029X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太虚——影视教育游戏领航者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苏铭燃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以劳模精神为导向的大学生劳动教育实施路径探索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x202312453037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大学生锻炼态度、行为与体质健康测试成绩的关系研究——以中国劳动关系学院为例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姜瑞尧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新就业形态劳动者权益保护新模式——FlexiCare智能手环的推介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202212453002x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“互联网+”年轻态袜业销售桥梁——“吉袜袜”袜业销售实创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202212453004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“互联网+”背景下专送外卖骑手工时制度的困境与解决思路——以北京市为例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s202212453009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“拥抱孤岛”失独父母帮扶创新研究——以web2.0时代的哀伤干预本土化应用为视角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钟嘉慧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s202212453011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人工智能替代高危工种状况调查研究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s202212453020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基于图像识别技术与传感器技术新型智能花洒的研究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x202212453022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高校大学生“空心病”的画像、成因及对策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x202212453024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婚姻匹配对代际流动性的影响研究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x202212453029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生产安全事故风险特征分析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x202212453036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疫情防控常态化背景下北京中小型企业弹性办公可行性研究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徐嘉睿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67F54C5B"/>
    <w:rsid w:val="1F7E0B8E"/>
    <w:rsid w:val="67F54C5B"/>
    <w:rsid w:val="7CD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745</Characters>
  <Lines>0</Lines>
  <Paragraphs>0</Paragraphs>
  <TotalTime>0</TotalTime>
  <ScaleCrop>false</ScaleCrop>
  <LinksUpToDate>false</LinksUpToDate>
  <CharactersWithSpaces>747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2024-06-11T10:08:00Z</dcterms:created>
  <dc:creator>赵大磊</dc:creator>
  <cp:lastModifiedBy>赵大磊</cp:lastModifiedBy>
  <dcterms:modified xsi:type="dcterms:W3CDTF">2024-06-12T02:41:13Z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B5FBAEBBFF2D45239534A1C2CC44ADA2_11</vt:lpwstr>
  </property>
</Properties>
</file>