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7578C1">
      <w:pPr>
        <w:spacing w:beforeLines="0" w:afterLines="0" w:line="560" w:lineRule="exact"/>
        <w:jc w:val="both"/>
        <w:outlineLvl w:val="0"/>
        <w:rPr>
          <w:rFonts w:hint="eastAsia" w:ascii="黑体" w:hAnsi="黑体" w:eastAsia="黑体" w:cs="黑体"/>
          <w:b w:val="0"/>
          <w:bCs w:val="0"/>
          <w:color w:val="auto"/>
          <w:kern w:val="44"/>
          <w:sz w:val="32"/>
          <w:szCs w:val="32"/>
          <w:lang w:val="en-US" w:eastAsia="zh-CN" w:bidi="ar-SA"/>
        </w:rPr>
      </w:pPr>
      <w:bookmarkStart w:id="0" w:name="_GoBack"/>
      <w:bookmarkEnd w:id="0"/>
      <w:r>
        <w:rPr>
          <w:rFonts w:hint="eastAsia" w:ascii="黑体" w:hAnsi="黑体" w:eastAsia="黑体" w:cs="黑体"/>
          <w:b w:val="0"/>
          <w:bCs w:val="0"/>
          <w:color w:val="auto"/>
          <w:kern w:val="44"/>
          <w:sz w:val="32"/>
          <w:szCs w:val="32"/>
          <w:lang w:val="en-US" w:eastAsia="zh-CN" w:bidi="ar-SA"/>
        </w:rPr>
        <w:t>附件</w:t>
      </w:r>
      <w:r>
        <w:rPr>
          <w:rFonts w:hint="default" w:ascii="黑体" w:hAnsi="黑体" w:eastAsia="黑体" w:cs="黑体"/>
          <w:b w:val="0"/>
          <w:bCs w:val="0"/>
          <w:color w:val="auto"/>
          <w:kern w:val="44"/>
          <w:sz w:val="32"/>
          <w:szCs w:val="32"/>
          <w:lang w:val="en-US" w:eastAsia="zh-CN" w:bidi="ar-SA"/>
        </w:rPr>
        <w:t>4</w:t>
      </w:r>
    </w:p>
    <w:p w14:paraId="4BA980DE">
      <w:pPr>
        <w:spacing w:beforeLines="0" w:afterLines="0" w:line="560" w:lineRule="exact"/>
        <w:jc w:val="both"/>
        <w:outlineLvl w:val="0"/>
        <w:rPr>
          <w:rFonts w:hint="eastAsia" w:ascii="创艺简标宋" w:hAnsi="创艺简标宋" w:eastAsia="创艺简标宋" w:cs="创艺简标宋"/>
          <w:b w:val="0"/>
          <w:bCs w:val="0"/>
          <w:color w:val="auto"/>
          <w:kern w:val="44"/>
          <w:sz w:val="44"/>
          <w:szCs w:val="44"/>
          <w:lang w:val="en-US" w:eastAsia="zh-CN" w:bidi="ar-SA"/>
        </w:rPr>
      </w:pPr>
    </w:p>
    <w:p w14:paraId="4EC03BB7">
      <w:pPr>
        <w:spacing w:beforeLines="0" w:afterLines="0" w:line="560" w:lineRule="exact"/>
        <w:jc w:val="center"/>
        <w:outlineLvl w:val="0"/>
        <w:rPr>
          <w:rFonts w:hint="eastAsia" w:ascii="楷体_GB2312" w:hAnsi="楷体_GB2312" w:eastAsia="楷体_GB2312" w:cs="楷体_GB2312"/>
          <w:color w:val="auto"/>
          <w:szCs w:val="32"/>
        </w:rPr>
      </w:pPr>
      <w:r>
        <w:rPr>
          <w:rFonts w:hint="eastAsia" w:ascii="创艺简标宋" w:hAnsi="创艺简标宋" w:eastAsia="创艺简标宋" w:cs="创艺简标宋"/>
          <w:b w:val="0"/>
          <w:bCs w:val="0"/>
          <w:color w:val="auto"/>
          <w:kern w:val="44"/>
          <w:sz w:val="44"/>
          <w:szCs w:val="44"/>
          <w:lang w:val="en-US" w:eastAsia="zh-CN" w:bidi="ar-SA"/>
        </w:rPr>
        <w:t>光明区企业职业技能等级认定补贴</w:t>
      </w:r>
      <w:r>
        <w:rPr>
          <w:rFonts w:hint="eastAsia" w:ascii="方正小标宋简体" w:hAnsi="方正小标宋简体" w:eastAsia="方正小标宋简体" w:cs="方正小标宋简体"/>
          <w:b w:val="0"/>
          <w:bCs w:val="0"/>
          <w:color w:val="auto"/>
          <w:kern w:val="44"/>
          <w:sz w:val="44"/>
          <w:szCs w:val="44"/>
          <w:lang w:val="en-US" w:eastAsia="zh-CN" w:bidi="ar-SA"/>
        </w:rPr>
        <w:t>办事指南</w:t>
      </w:r>
    </w:p>
    <w:p w14:paraId="688708D0">
      <w:pPr>
        <w:keepNext/>
        <w:keepLines/>
        <w:pageBreakBefore w:val="0"/>
        <w:widowControl w:val="0"/>
        <w:kinsoku/>
        <w:wordWrap/>
        <w:overflowPunct/>
        <w:topLinePunct w:val="0"/>
        <w:autoSpaceDE/>
        <w:autoSpaceDN/>
        <w:bidi w:val="0"/>
        <w:adjustRightInd/>
        <w:snapToGrid/>
        <w:spacing w:beforeLines="0" w:beforeAutospacing="0" w:afterLines="0" w:afterAutospacing="0" w:line="560" w:lineRule="exact"/>
        <w:jc w:val="both"/>
        <w:textAlignment w:val="auto"/>
        <w:outlineLvl w:val="9"/>
        <w:rPr>
          <w:rFonts w:hint="eastAsia" w:ascii="黑体" w:hAnsi="黑体" w:eastAsia="黑体" w:cs="黑体"/>
          <w:bCs/>
          <w:color w:val="auto"/>
          <w:kern w:val="2"/>
          <w:sz w:val="32"/>
          <w:szCs w:val="24"/>
          <w:highlight w:val="yellow"/>
          <w:lang w:val="en-US" w:eastAsia="zh-CN" w:bidi="ar-SA"/>
        </w:rPr>
      </w:pPr>
    </w:p>
    <w:p w14:paraId="5AEBC5B7">
      <w:pPr>
        <w:keepNext w:val="0"/>
        <w:keepLines w:val="0"/>
        <w:pageBreakBefore w:val="0"/>
        <w:widowControl w:val="0"/>
        <w:kinsoku/>
        <w:wordWrap/>
        <w:overflowPunct/>
        <w:topLinePunct w:val="0"/>
        <w:autoSpaceDE/>
        <w:autoSpaceDN/>
        <w:bidi w:val="0"/>
        <w:adjustRightInd/>
        <w:snapToGrid/>
        <w:spacing w:before="0" w:beforeLines="0" w:afterLines="0" w:line="560" w:lineRule="exact"/>
        <w:ind w:firstLine="629"/>
        <w:jc w:val="both"/>
        <w:textAlignment w:val="auto"/>
        <w:outlineLvl w:val="9"/>
        <w:rPr>
          <w:rFonts w:hint="eastAsia" w:ascii="黑体" w:hAnsi="黑体" w:eastAsia="黑体" w:cs="黑体"/>
          <w:bCs/>
          <w:color w:val="auto"/>
          <w:kern w:val="2"/>
          <w:sz w:val="32"/>
          <w:szCs w:val="24"/>
          <w:lang w:val="en-US" w:eastAsia="zh-CN" w:bidi="ar-SA"/>
        </w:rPr>
      </w:pPr>
      <w:r>
        <w:rPr>
          <w:rFonts w:hint="eastAsia" w:ascii="黑体" w:hAnsi="黑体" w:eastAsia="黑体" w:cs="黑体"/>
          <w:bCs/>
          <w:color w:val="auto"/>
          <w:kern w:val="2"/>
          <w:sz w:val="32"/>
          <w:szCs w:val="24"/>
          <w:lang w:val="en-US" w:eastAsia="zh-CN" w:bidi="ar-SA"/>
        </w:rPr>
        <w:t>一、政策</w:t>
      </w:r>
      <w:r>
        <w:rPr>
          <w:rFonts w:hint="eastAsia" w:ascii="黑体" w:hAnsi="黑体" w:eastAsia="黑体" w:cs="黑体"/>
          <w:bCs/>
          <w:color w:val="auto"/>
          <w:sz w:val="32"/>
          <w:lang w:val="en-US" w:eastAsia="zh-CN"/>
        </w:rPr>
        <w:t>内容</w:t>
      </w:r>
    </w:p>
    <w:p w14:paraId="48F4990D">
      <w:pPr>
        <w:keepNext/>
        <w:keepLines/>
        <w:pageBreakBefore w:val="0"/>
        <w:widowControl w:val="0"/>
        <w:kinsoku/>
        <w:wordWrap/>
        <w:overflowPunct/>
        <w:topLinePunct w:val="0"/>
        <w:autoSpaceDE/>
        <w:autoSpaceDN/>
        <w:bidi w:val="0"/>
        <w:adjustRightInd/>
        <w:snapToGrid/>
        <w:spacing w:before="0" w:beforeLines="0" w:beforeAutospacing="0" w:afterLines="0" w:afterAutospacing="0" w:line="560" w:lineRule="exact"/>
        <w:ind w:left="0" w:leftChars="0" w:firstLine="640" w:firstLineChars="200"/>
        <w:jc w:val="both"/>
        <w:textAlignment w:val="auto"/>
        <w:outlineLvl w:val="9"/>
        <w:rPr>
          <w:rFonts w:hint="eastAsia" w:ascii="黑体" w:hAnsi="黑体" w:eastAsia="黑体" w:cs="黑体"/>
          <w:bCs/>
          <w:color w:val="auto"/>
          <w:kern w:val="2"/>
          <w:sz w:val="32"/>
          <w:szCs w:val="24"/>
          <w:lang w:val="en-US" w:eastAsia="zh-CN" w:bidi="ar-SA"/>
        </w:rPr>
      </w:pPr>
      <w:r>
        <w:rPr>
          <w:rFonts w:hint="eastAsia" w:ascii="仿宋_GB2312" w:hAnsi="仿宋_GB2312" w:eastAsia="仿宋_GB2312" w:cs="仿宋_GB2312"/>
          <w:color w:val="auto"/>
          <w:sz w:val="32"/>
          <w:szCs w:val="32"/>
          <w:highlight w:val="none"/>
        </w:rPr>
        <w:t>鼓励企业自主开展技能人才评价工作，给予每年最高5万元的人才评价奖励。</w:t>
      </w:r>
    </w:p>
    <w:p w14:paraId="68CBD6D3">
      <w:pPr>
        <w:keepNext/>
        <w:keepLines/>
        <w:pageBreakBefore w:val="0"/>
        <w:widowControl w:val="0"/>
        <w:kinsoku/>
        <w:wordWrap/>
        <w:overflowPunct/>
        <w:topLinePunct w:val="0"/>
        <w:autoSpaceDE/>
        <w:autoSpaceDN/>
        <w:bidi w:val="0"/>
        <w:adjustRightInd/>
        <w:snapToGrid/>
        <w:spacing w:before="0" w:beforeLines="0" w:beforeAutospacing="0" w:afterLines="0" w:afterAutospacing="0" w:line="560" w:lineRule="exact"/>
        <w:ind w:left="0" w:leftChars="0" w:firstLine="640" w:firstLineChars="200"/>
        <w:jc w:val="both"/>
        <w:textAlignment w:val="auto"/>
        <w:outlineLvl w:val="9"/>
        <w:rPr>
          <w:rFonts w:hint="eastAsia" w:ascii="黑体" w:hAnsi="黑体" w:eastAsia="黑体" w:cs="黑体"/>
          <w:bCs/>
          <w:color w:val="auto"/>
          <w:kern w:val="2"/>
          <w:sz w:val="32"/>
          <w:szCs w:val="24"/>
          <w:lang w:val="en-US" w:eastAsia="zh-CN" w:bidi="ar-SA"/>
        </w:rPr>
      </w:pPr>
      <w:r>
        <w:rPr>
          <w:rFonts w:hint="eastAsia" w:ascii="黑体" w:hAnsi="黑体" w:eastAsia="黑体" w:cs="黑体"/>
          <w:bCs/>
          <w:color w:val="auto"/>
          <w:kern w:val="2"/>
          <w:sz w:val="32"/>
          <w:szCs w:val="24"/>
          <w:lang w:val="en-US" w:eastAsia="zh-CN" w:bidi="ar-SA"/>
        </w:rPr>
        <w:t>二、补贴对象</w:t>
      </w:r>
    </w:p>
    <w:p w14:paraId="5850A908">
      <w:pPr>
        <w:pStyle w:val="7"/>
        <w:pageBreakBefore w:val="0"/>
        <w:widowControl/>
        <w:kinsoku/>
        <w:wordWrap/>
        <w:overflowPunct/>
        <w:topLinePunct w:val="0"/>
        <w:autoSpaceDE/>
        <w:autoSpaceDN/>
        <w:bidi w:val="0"/>
        <w:snapToGrid/>
        <w:spacing w:beforeLines="0" w:after="0" w:afterLines="-2147483648" w:line="560" w:lineRule="exact"/>
        <w:ind w:firstLine="640" w:firstLineChars="200"/>
        <w:textAlignment w:val="auto"/>
        <w:rPr>
          <w:rFonts w:hint="default" w:ascii="仿宋_GB2312" w:hAnsi="仿宋_GB2312" w:eastAsia="仿宋_GB2312" w:cs="仿宋_GB2312"/>
          <w:color w:val="auto"/>
          <w:kern w:val="2"/>
          <w:sz w:val="32"/>
          <w:szCs w:val="32"/>
          <w:highlight w:val="none"/>
          <w:lang w:eastAsia="zh-CN" w:bidi="ar-SA"/>
        </w:rPr>
      </w:pPr>
      <w:r>
        <w:rPr>
          <w:rFonts w:hint="default" w:ascii="仿宋_GB2312" w:hAnsi="仿宋_GB2312" w:eastAsia="仿宋_GB2312" w:cs="仿宋_GB2312"/>
          <w:color w:val="auto"/>
          <w:kern w:val="2"/>
          <w:sz w:val="32"/>
          <w:szCs w:val="32"/>
          <w:highlight w:val="none"/>
          <w:lang w:val="en-US" w:eastAsia="zh-CN" w:bidi="ar-SA"/>
        </w:rPr>
        <w:t>经市、区人力资源部门备案，具备开展企业职业技能等级认定条件和资质</w:t>
      </w:r>
      <w:r>
        <w:rPr>
          <w:rFonts w:hint="eastAsia" w:ascii="仿宋_GB2312" w:hAnsi="仿宋_GB2312" w:eastAsia="仿宋_GB2312" w:cs="仿宋_GB2312"/>
          <w:color w:val="auto"/>
          <w:kern w:val="2"/>
          <w:sz w:val="32"/>
          <w:szCs w:val="32"/>
          <w:highlight w:val="none"/>
          <w:lang w:val="en-US" w:eastAsia="zh-CN" w:bidi="ar-SA"/>
        </w:rPr>
        <w:t>的</w:t>
      </w:r>
      <w:r>
        <w:rPr>
          <w:rFonts w:hint="eastAsia" w:ascii="仿宋_GB2312" w:hAnsi="仿宋_GB2312" w:eastAsia="仿宋_GB2312" w:cs="仿宋_GB2312"/>
          <w:color w:val="auto"/>
          <w:kern w:val="2"/>
          <w:sz w:val="32"/>
          <w:szCs w:val="32"/>
          <w:highlight w:val="none"/>
          <w:lang w:eastAsia="zh-CN" w:bidi="ar-SA"/>
        </w:rPr>
        <w:t>企业。</w:t>
      </w:r>
    </w:p>
    <w:p w14:paraId="146EC5C9">
      <w:pPr>
        <w:pStyle w:val="7"/>
        <w:pageBreakBefore w:val="0"/>
        <w:widowControl w:val="0"/>
        <w:kinsoku/>
        <w:wordWrap/>
        <w:overflowPunct/>
        <w:topLinePunct w:val="0"/>
        <w:autoSpaceDE/>
        <w:autoSpaceDN/>
        <w:bidi w:val="0"/>
        <w:snapToGrid/>
        <w:spacing w:beforeLines="0" w:after="0" w:afterLines="0" w:line="560" w:lineRule="exact"/>
        <w:ind w:firstLine="640" w:firstLineChars="200"/>
        <w:textAlignment w:val="auto"/>
        <w:rPr>
          <w:rFonts w:hint="eastAsia" w:ascii="黑体" w:hAnsi="黑体" w:eastAsia="黑体" w:cs="黑体"/>
          <w:bCs/>
          <w:color w:val="auto"/>
          <w:kern w:val="2"/>
          <w:sz w:val="32"/>
          <w:szCs w:val="24"/>
          <w:lang w:val="en-US" w:eastAsia="zh-CN" w:bidi="ar-SA"/>
        </w:rPr>
      </w:pPr>
      <w:r>
        <w:rPr>
          <w:rFonts w:hint="eastAsia" w:ascii="黑体" w:hAnsi="黑体" w:eastAsia="黑体" w:cs="黑体"/>
          <w:bCs/>
          <w:color w:val="auto"/>
          <w:kern w:val="2"/>
          <w:sz w:val="32"/>
          <w:szCs w:val="24"/>
          <w:lang w:val="en-US" w:eastAsia="zh-CN" w:bidi="ar-SA"/>
        </w:rPr>
        <w:t>三、补贴标准</w:t>
      </w:r>
    </w:p>
    <w:p w14:paraId="04E0CCD7">
      <w:pPr>
        <w:pStyle w:val="7"/>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9"/>
        <w:rPr>
          <w:rFonts w:hint="default" w:ascii="仿宋_GB2312" w:hAnsi="仿宋_GB2312" w:eastAsia="仿宋_GB2312" w:cs="仿宋_GB2312"/>
          <w:bCs w:val="0"/>
          <w:color w:val="auto"/>
          <w:kern w:val="2"/>
          <w:sz w:val="32"/>
          <w:szCs w:val="32"/>
          <w:highlight w:val="none"/>
          <w:lang w:val="en-US" w:eastAsia="zh-CN" w:bidi="ar-SA"/>
        </w:rPr>
      </w:pPr>
      <w:r>
        <w:rPr>
          <w:rFonts w:hint="eastAsia" w:ascii="仿宋_GB2312" w:hAnsi="仿宋_GB2312" w:eastAsia="仿宋_GB2312" w:cs="仿宋_GB2312"/>
          <w:color w:val="auto"/>
          <w:sz w:val="32"/>
          <w:szCs w:val="32"/>
          <w:highlight w:val="none"/>
        </w:rPr>
        <w:t>2026年1月1日至2028年12月31日期间</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bCs w:val="0"/>
          <w:color w:val="auto"/>
          <w:kern w:val="2"/>
          <w:sz w:val="32"/>
          <w:szCs w:val="32"/>
          <w:highlight w:val="none"/>
          <w:lang w:val="en-US" w:eastAsia="zh-CN" w:bidi="ar-SA"/>
        </w:rPr>
        <w:t>企业每年</w:t>
      </w:r>
      <w:r>
        <w:rPr>
          <w:rFonts w:hint="default" w:ascii="仿宋_GB2312" w:hAnsi="仿宋_GB2312" w:eastAsia="仿宋_GB2312" w:cs="仿宋_GB2312"/>
          <w:bCs w:val="0"/>
          <w:color w:val="auto"/>
          <w:kern w:val="2"/>
          <w:sz w:val="32"/>
          <w:szCs w:val="32"/>
          <w:highlight w:val="none"/>
          <w:lang w:val="en-US" w:eastAsia="zh-CN" w:bidi="ar-SA"/>
        </w:rPr>
        <w:t>认定高技能人才10人</w:t>
      </w:r>
      <w:r>
        <w:rPr>
          <w:rFonts w:hint="eastAsia" w:ascii="仿宋_GB2312" w:hAnsi="仿宋_GB2312" w:eastAsia="仿宋_GB2312" w:cs="仿宋_GB2312"/>
          <w:bCs w:val="0"/>
          <w:color w:val="auto"/>
          <w:kern w:val="2"/>
          <w:sz w:val="32"/>
          <w:szCs w:val="32"/>
          <w:highlight w:val="none"/>
          <w:lang w:val="en-US" w:eastAsia="zh-CN" w:bidi="ar-SA"/>
        </w:rPr>
        <w:t>及</w:t>
      </w:r>
      <w:r>
        <w:rPr>
          <w:rFonts w:hint="default" w:ascii="仿宋_GB2312" w:hAnsi="仿宋_GB2312" w:eastAsia="仿宋_GB2312" w:cs="仿宋_GB2312"/>
          <w:bCs w:val="0"/>
          <w:color w:val="auto"/>
          <w:kern w:val="2"/>
          <w:sz w:val="32"/>
          <w:szCs w:val="32"/>
          <w:highlight w:val="none"/>
          <w:lang w:val="en-US" w:eastAsia="zh-CN" w:bidi="ar-SA"/>
        </w:rPr>
        <w:t>以上</w:t>
      </w:r>
      <w:r>
        <w:rPr>
          <w:rFonts w:hint="eastAsia" w:ascii="仿宋_GB2312" w:hAnsi="仿宋_GB2312" w:eastAsia="仿宋_GB2312" w:cs="仿宋_GB2312"/>
          <w:bCs w:val="0"/>
          <w:color w:val="auto"/>
          <w:kern w:val="2"/>
          <w:sz w:val="32"/>
          <w:szCs w:val="32"/>
          <w:highlight w:val="none"/>
          <w:lang w:val="en-US" w:eastAsia="zh-CN" w:bidi="ar-SA"/>
        </w:rPr>
        <w:t>的，按每人1000元的标准给予企业补贴。每家企业每年补贴不超过5万元。</w:t>
      </w:r>
    </w:p>
    <w:p w14:paraId="4888CF2D">
      <w:pPr>
        <w:pStyle w:val="7"/>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9"/>
        <w:rPr>
          <w:rFonts w:hint="eastAsia" w:ascii="黑体" w:hAnsi="黑体" w:eastAsia="黑体" w:cs="黑体"/>
          <w:bCs/>
          <w:color w:val="auto"/>
          <w:kern w:val="2"/>
          <w:sz w:val="32"/>
          <w:szCs w:val="24"/>
          <w:lang w:val="en-US" w:eastAsia="zh-CN" w:bidi="ar-SA"/>
        </w:rPr>
      </w:pPr>
      <w:r>
        <w:rPr>
          <w:rFonts w:hint="eastAsia" w:ascii="黑体" w:hAnsi="黑体" w:eastAsia="黑体" w:cs="黑体"/>
          <w:bCs/>
          <w:color w:val="auto"/>
          <w:kern w:val="2"/>
          <w:sz w:val="32"/>
          <w:szCs w:val="24"/>
          <w:lang w:val="en-US" w:eastAsia="zh-CN" w:bidi="ar-SA"/>
        </w:rPr>
        <w:t>四、申请条件</w:t>
      </w:r>
    </w:p>
    <w:p w14:paraId="26E51994">
      <w:pPr>
        <w:pStyle w:val="7"/>
        <w:spacing w:beforeLines="0" w:after="0" w:line="560" w:lineRule="exact"/>
        <w:ind w:firstLine="640" w:firstLineChars="200"/>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（一）</w:t>
      </w:r>
      <w:r>
        <w:rPr>
          <w:rFonts w:hint="default" w:ascii="仿宋_GB2312" w:hAnsi="仿宋_GB2312" w:eastAsia="仿宋_GB2312" w:cs="仿宋_GB2312"/>
          <w:color w:val="auto"/>
          <w:kern w:val="2"/>
          <w:sz w:val="32"/>
          <w:szCs w:val="32"/>
          <w:highlight w:val="none"/>
          <w:lang w:val="en-US" w:eastAsia="zh-CN" w:bidi="ar-SA"/>
        </w:rPr>
        <w:t>在光明区实际从事经营活动（不含人力资源服务和劳务派遣企业）；</w:t>
      </w:r>
    </w:p>
    <w:p w14:paraId="4A2FE287">
      <w:pPr>
        <w:pStyle w:val="7"/>
        <w:spacing w:beforeLines="0" w:after="0" w:line="560" w:lineRule="exact"/>
        <w:ind w:firstLine="640" w:firstLineChars="200"/>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sz w:val="32"/>
          <w:szCs w:val="32"/>
        </w:rPr>
        <w:t>（二）正常经营且未被纳入失信企业名单</w:t>
      </w:r>
      <w:r>
        <w:rPr>
          <w:rFonts w:hint="default" w:ascii="仿宋_GB2312" w:hAnsi="仿宋_GB2312" w:eastAsia="仿宋_GB2312" w:cs="仿宋_GB2312"/>
          <w:color w:val="auto"/>
          <w:kern w:val="2"/>
          <w:sz w:val="32"/>
          <w:szCs w:val="32"/>
          <w:highlight w:val="none"/>
          <w:lang w:val="en-US" w:eastAsia="zh-CN" w:bidi="ar-SA"/>
        </w:rPr>
        <w:t>；</w:t>
      </w:r>
    </w:p>
    <w:p w14:paraId="1113B3DF">
      <w:pPr>
        <w:pStyle w:val="7"/>
        <w:spacing w:beforeLines="0" w:after="0" w:line="560" w:lineRule="exact"/>
        <w:ind w:firstLine="640" w:firstLineChars="200"/>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（三）</w:t>
      </w:r>
      <w:r>
        <w:rPr>
          <w:rFonts w:hint="default" w:ascii="仿宋_GB2312" w:hAnsi="仿宋_GB2312" w:eastAsia="仿宋_GB2312" w:cs="仿宋_GB2312"/>
          <w:color w:val="auto"/>
          <w:kern w:val="2"/>
          <w:sz w:val="32"/>
          <w:szCs w:val="32"/>
          <w:highlight w:val="none"/>
          <w:lang w:val="en-US" w:eastAsia="zh-CN" w:bidi="ar-SA"/>
        </w:rPr>
        <w:t>经市、区人力资源部门备案，具备开展企业职业技能等级认定条件和资质；</w:t>
      </w:r>
    </w:p>
    <w:p w14:paraId="49EEDDB8">
      <w:pPr>
        <w:pStyle w:val="7"/>
        <w:spacing w:beforeLines="0" w:after="0" w:line="560" w:lineRule="exact"/>
        <w:ind w:firstLine="640" w:firstLineChars="200"/>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（四）</w:t>
      </w:r>
      <w:r>
        <w:rPr>
          <w:rFonts w:hint="default" w:ascii="仿宋_GB2312" w:hAnsi="仿宋_GB2312" w:eastAsia="仿宋_GB2312" w:cs="仿宋_GB2312"/>
          <w:color w:val="auto"/>
          <w:kern w:val="2"/>
          <w:sz w:val="32"/>
          <w:szCs w:val="32"/>
          <w:highlight w:val="none"/>
          <w:lang w:val="en-US" w:eastAsia="zh-CN" w:bidi="ar-SA"/>
        </w:rPr>
        <w:t>企业</w:t>
      </w:r>
      <w:r>
        <w:rPr>
          <w:rFonts w:hint="eastAsia" w:ascii="仿宋_GB2312" w:hAnsi="仿宋_GB2312" w:eastAsia="仿宋_GB2312" w:cs="仿宋_GB2312"/>
          <w:color w:val="auto"/>
          <w:kern w:val="2"/>
          <w:sz w:val="32"/>
          <w:szCs w:val="32"/>
          <w:highlight w:val="none"/>
          <w:lang w:val="en-US" w:eastAsia="zh-CN" w:bidi="ar-SA"/>
        </w:rPr>
        <w:t>按相关规定为本企业及其在光明区子公司、分公司、分支机构</w:t>
      </w:r>
      <w:r>
        <w:rPr>
          <w:rFonts w:hint="default" w:ascii="仿宋_GB2312" w:hAnsi="仿宋_GB2312" w:eastAsia="仿宋_GB2312" w:cs="仿宋_GB2312"/>
          <w:color w:val="auto"/>
          <w:kern w:val="2"/>
          <w:sz w:val="32"/>
          <w:szCs w:val="32"/>
          <w:highlight w:val="none"/>
          <w:lang w:val="en-US" w:eastAsia="zh-CN" w:bidi="ar-SA"/>
        </w:rPr>
        <w:t>参保自有员工开展职业技能等级认定</w:t>
      </w:r>
      <w:r>
        <w:rPr>
          <w:rFonts w:hint="eastAsia" w:ascii="仿宋_GB2312" w:hAnsi="仿宋_GB2312" w:eastAsia="仿宋_GB2312" w:cs="仿宋_GB2312"/>
          <w:color w:val="auto"/>
          <w:kern w:val="2"/>
          <w:sz w:val="32"/>
          <w:szCs w:val="32"/>
          <w:highlight w:val="none"/>
          <w:lang w:val="en-US" w:eastAsia="zh-CN" w:bidi="ar-SA"/>
        </w:rPr>
        <w:t>，或产教评技能生态链链主企业为本企业及其在光明区链员企业参保自有员工开展</w:t>
      </w:r>
      <w:r>
        <w:rPr>
          <w:rFonts w:hint="default" w:ascii="仿宋_GB2312" w:hAnsi="仿宋_GB2312" w:eastAsia="仿宋_GB2312" w:cs="仿宋_GB2312"/>
          <w:color w:val="auto"/>
          <w:kern w:val="2"/>
          <w:sz w:val="32"/>
          <w:szCs w:val="32"/>
          <w:highlight w:val="none"/>
          <w:lang w:val="en-US" w:eastAsia="zh-CN" w:bidi="ar-SA"/>
        </w:rPr>
        <w:t>职业技能等级认定</w:t>
      </w:r>
      <w:r>
        <w:rPr>
          <w:rFonts w:hint="eastAsia" w:ascii="仿宋_GB2312" w:hAnsi="仿宋_GB2312" w:eastAsia="仿宋_GB2312" w:cs="仿宋_GB2312"/>
          <w:color w:val="auto"/>
          <w:kern w:val="2"/>
          <w:sz w:val="32"/>
          <w:szCs w:val="32"/>
          <w:highlight w:val="none"/>
          <w:lang w:val="en-US" w:eastAsia="zh-CN" w:bidi="ar-SA"/>
        </w:rPr>
        <w:t>。</w:t>
      </w:r>
    </w:p>
    <w:p w14:paraId="16B4E319">
      <w:pPr>
        <w:pStyle w:val="7"/>
        <w:spacing w:beforeLines="0" w:after="0" w:line="560" w:lineRule="exact"/>
        <w:ind w:firstLine="640" w:firstLineChars="200"/>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（五）2026年1月1日至2028年12月31日期间，企业每年开展职业技能等级认定累计</w:t>
      </w:r>
      <w:r>
        <w:rPr>
          <w:rFonts w:hint="default" w:ascii="仿宋_GB2312" w:hAnsi="仿宋_GB2312" w:eastAsia="仿宋_GB2312" w:cs="仿宋_GB2312"/>
          <w:color w:val="auto"/>
          <w:kern w:val="2"/>
          <w:sz w:val="32"/>
          <w:szCs w:val="32"/>
          <w:highlight w:val="none"/>
          <w:lang w:val="en-US" w:eastAsia="zh-CN" w:bidi="ar-SA"/>
        </w:rPr>
        <w:t>完成高技能人才认定</w:t>
      </w:r>
      <w:r>
        <w:rPr>
          <w:rFonts w:hint="eastAsia" w:ascii="仿宋_GB2312" w:hAnsi="仿宋_GB2312" w:eastAsia="仿宋_GB2312" w:cs="仿宋_GB2312"/>
          <w:color w:val="auto"/>
          <w:kern w:val="2"/>
          <w:sz w:val="32"/>
          <w:szCs w:val="32"/>
          <w:highlight w:val="none"/>
          <w:lang w:val="en-US" w:eastAsia="zh-CN" w:bidi="ar-SA"/>
        </w:rPr>
        <w:t>10</w:t>
      </w:r>
      <w:r>
        <w:rPr>
          <w:rFonts w:hint="default" w:ascii="仿宋_GB2312" w:hAnsi="仿宋_GB2312" w:eastAsia="仿宋_GB2312" w:cs="仿宋_GB2312"/>
          <w:color w:val="auto"/>
          <w:kern w:val="2"/>
          <w:sz w:val="32"/>
          <w:szCs w:val="32"/>
          <w:highlight w:val="none"/>
          <w:lang w:val="en-US" w:eastAsia="zh-CN" w:bidi="ar-SA"/>
        </w:rPr>
        <w:t>人及以上</w:t>
      </w:r>
      <w:r>
        <w:rPr>
          <w:rFonts w:hint="eastAsia" w:ascii="仿宋_GB2312" w:hAnsi="仿宋_GB2312" w:eastAsia="仿宋_GB2312" w:cs="仿宋_GB2312"/>
          <w:color w:val="auto"/>
          <w:kern w:val="2"/>
          <w:sz w:val="32"/>
          <w:szCs w:val="32"/>
          <w:highlight w:val="none"/>
          <w:lang w:val="en-US" w:eastAsia="zh-CN" w:bidi="ar-SA"/>
        </w:rPr>
        <w:t>的（发证时间在当年度12月31日前</w:t>
      </w:r>
      <w:r>
        <w:rPr>
          <w:rFonts w:hint="eastAsia" w:ascii="仿宋_GB2312" w:hAnsi="仿宋_GB2312" w:eastAsia="仿宋_GB2312" w:cs="仿宋_GB2312"/>
          <w:color w:val="auto"/>
          <w:sz w:val="32"/>
          <w:szCs w:val="32"/>
          <w:lang w:eastAsia="zh-CN"/>
        </w:rPr>
        <w:t>），可在次年</w:t>
      </w:r>
      <w:r>
        <w:rPr>
          <w:rFonts w:hint="eastAsia" w:ascii="仿宋_GB2312" w:hAnsi="仿宋_GB2312" w:eastAsia="仿宋_GB2312" w:cs="仿宋_GB2312"/>
          <w:color w:val="auto"/>
          <w:sz w:val="32"/>
          <w:szCs w:val="32"/>
          <w:lang w:val="en-US" w:eastAsia="zh-CN"/>
        </w:rPr>
        <w:t>3月31日前申请当年度补贴</w:t>
      </w:r>
      <w:r>
        <w:rPr>
          <w:rFonts w:hint="default" w:ascii="仿宋_GB2312" w:hAnsi="仿宋_GB2312" w:eastAsia="仿宋_GB2312" w:cs="仿宋_GB2312"/>
          <w:color w:val="auto"/>
          <w:kern w:val="2"/>
          <w:sz w:val="32"/>
          <w:szCs w:val="32"/>
          <w:highlight w:val="none"/>
          <w:lang w:val="en-US" w:eastAsia="zh-CN" w:bidi="ar-SA"/>
        </w:rPr>
        <w:t>。</w:t>
      </w:r>
    </w:p>
    <w:p w14:paraId="2F5CF79D">
      <w:pPr>
        <w:pStyle w:val="7"/>
        <w:keepNext w:val="0"/>
        <w:keepLines w:val="0"/>
        <w:pageBreakBefore w:val="0"/>
        <w:widowControl/>
        <w:numPr>
          <w:ilvl w:val="-1"/>
          <w:numId w:val="0"/>
        </w:numPr>
        <w:kinsoku/>
        <w:wordWrap/>
        <w:overflowPunct/>
        <w:topLinePunct w:val="0"/>
        <w:autoSpaceDE/>
        <w:autoSpaceDN/>
        <w:bidi w:val="0"/>
        <w:adjustRightInd/>
        <w:snapToGrid/>
        <w:spacing w:before="0" w:beforeLines="0" w:beforeAutospacing="0" w:after="0" w:afterLines="-2147483648" w:afterAutospacing="0" w:line="560" w:lineRule="exact"/>
        <w:ind w:firstLine="640" w:firstLineChars="200"/>
        <w:jc w:val="both"/>
        <w:textAlignment w:val="auto"/>
        <w:outlineLvl w:val="9"/>
        <w:rPr>
          <w:rFonts w:hint="eastAsia" w:ascii="黑体" w:hAnsi="黑体" w:eastAsia="黑体" w:cs="黑体"/>
          <w:bCs/>
          <w:color w:val="auto"/>
          <w:kern w:val="2"/>
          <w:sz w:val="32"/>
          <w:szCs w:val="24"/>
          <w:lang w:val="en-US" w:eastAsia="zh-CN" w:bidi="ar-SA"/>
        </w:rPr>
      </w:pPr>
      <w:r>
        <w:rPr>
          <w:rFonts w:hint="eastAsia" w:ascii="黑体" w:hAnsi="黑体" w:eastAsia="黑体" w:cs="黑体"/>
          <w:bCs/>
          <w:color w:val="auto"/>
          <w:kern w:val="2"/>
          <w:sz w:val="32"/>
          <w:szCs w:val="24"/>
          <w:lang w:val="en-US" w:eastAsia="zh-CN" w:bidi="ar-SA"/>
        </w:rPr>
        <w:t>五、申请材料</w:t>
      </w:r>
    </w:p>
    <w:p w14:paraId="7B3BE94C">
      <w:pPr>
        <w:pStyle w:val="7"/>
        <w:keepNext w:val="0"/>
        <w:keepLines w:val="0"/>
        <w:pageBreakBefore w:val="0"/>
        <w:widowControl/>
        <w:numPr>
          <w:ilvl w:val="-1"/>
          <w:numId w:val="0"/>
        </w:numPr>
        <w:kinsoku/>
        <w:wordWrap/>
        <w:overflowPunct/>
        <w:topLinePunct w:val="0"/>
        <w:autoSpaceDE/>
        <w:autoSpaceDN/>
        <w:bidi w:val="0"/>
        <w:adjustRightInd/>
        <w:snapToGrid/>
        <w:spacing w:before="0" w:beforeLines="0" w:beforeAutospacing="0" w:after="0" w:afterLines="-2147483648" w:afterAutospacing="0" w:line="560" w:lineRule="exact"/>
        <w:ind w:firstLine="640" w:firstLineChars="200"/>
        <w:jc w:val="both"/>
        <w:textAlignment w:val="auto"/>
        <w:outlineLvl w:val="9"/>
        <w:rPr>
          <w:rFonts w:hint="eastAsia" w:ascii="仿宋_GB2312" w:hAnsi="仿宋_GB2312" w:eastAsia="仿宋_GB2312" w:cs="仿宋_GB2312"/>
          <w:bCs/>
          <w:color w:val="auto"/>
          <w:kern w:val="2"/>
          <w:sz w:val="32"/>
          <w:szCs w:val="24"/>
          <w:lang w:val="en-US" w:eastAsia="zh-CN" w:bidi="ar-SA"/>
        </w:rPr>
      </w:pPr>
      <w:r>
        <w:rPr>
          <w:rFonts w:hint="eastAsia" w:ascii="仿宋_GB2312" w:hAnsi="仿宋_GB2312" w:eastAsia="仿宋_GB2312" w:cs="仿宋_GB2312"/>
          <w:bCs/>
          <w:color w:val="auto"/>
          <w:kern w:val="2"/>
          <w:sz w:val="32"/>
          <w:szCs w:val="24"/>
          <w:lang w:val="en-US" w:eastAsia="zh-CN" w:bidi="ar-SA"/>
        </w:rPr>
        <w:t>（一）《</w:t>
      </w:r>
      <w:r>
        <w:rPr>
          <w:rFonts w:hint="eastAsia" w:ascii="仿宋_GB2312" w:hAnsi="仿宋_GB2312" w:eastAsia="仿宋_GB2312" w:cs="仿宋_GB2312"/>
          <w:bCs/>
          <w:color w:val="auto"/>
          <w:sz w:val="32"/>
        </w:rPr>
        <w:t>光明区企业职业技能等级认定补贴申请表</w:t>
      </w:r>
      <w:r>
        <w:rPr>
          <w:rFonts w:hint="eastAsia" w:ascii="仿宋_GB2312" w:hAnsi="仿宋_GB2312" w:eastAsia="仿宋_GB2312" w:cs="仿宋_GB2312"/>
          <w:bCs/>
          <w:color w:val="auto"/>
          <w:kern w:val="2"/>
          <w:sz w:val="32"/>
          <w:szCs w:val="24"/>
          <w:lang w:val="en-US" w:eastAsia="zh-CN" w:bidi="ar-SA"/>
        </w:rPr>
        <w:t>》（原件加盖企业公章）；</w:t>
      </w:r>
    </w:p>
    <w:p w14:paraId="6F87824F">
      <w:pPr>
        <w:pStyle w:val="7"/>
        <w:keepNext w:val="0"/>
        <w:keepLines w:val="0"/>
        <w:pageBreakBefore w:val="0"/>
        <w:widowControl/>
        <w:numPr>
          <w:ilvl w:val="-1"/>
          <w:numId w:val="0"/>
        </w:numPr>
        <w:kinsoku/>
        <w:wordWrap/>
        <w:overflowPunct/>
        <w:topLinePunct w:val="0"/>
        <w:autoSpaceDE/>
        <w:autoSpaceDN/>
        <w:bidi w:val="0"/>
        <w:adjustRightInd/>
        <w:snapToGrid/>
        <w:spacing w:before="0" w:beforeLines="0" w:beforeAutospacing="0" w:after="0" w:afterLines="-2147483648" w:afterAutospacing="0" w:line="560" w:lineRule="exact"/>
        <w:ind w:firstLine="640" w:firstLineChars="200"/>
        <w:jc w:val="both"/>
        <w:textAlignment w:val="auto"/>
        <w:outlineLvl w:val="9"/>
        <w:rPr>
          <w:rFonts w:hint="eastAsia" w:ascii="仿宋_GB2312" w:hAnsi="仿宋_GB2312" w:eastAsia="仿宋_GB2312" w:cs="仿宋_GB2312"/>
          <w:bCs/>
          <w:color w:val="auto"/>
          <w:kern w:val="2"/>
          <w:sz w:val="32"/>
          <w:szCs w:val="24"/>
          <w:lang w:val="en-US" w:eastAsia="zh-CN" w:bidi="ar-SA"/>
        </w:rPr>
      </w:pPr>
      <w:r>
        <w:rPr>
          <w:rFonts w:hint="eastAsia" w:ascii="仿宋_GB2312" w:hAnsi="仿宋_GB2312" w:eastAsia="仿宋_GB2312" w:cs="仿宋_GB2312"/>
          <w:bCs/>
          <w:color w:val="auto"/>
          <w:kern w:val="2"/>
          <w:sz w:val="32"/>
          <w:szCs w:val="24"/>
          <w:lang w:val="en-US" w:eastAsia="zh-CN" w:bidi="ar-SA"/>
        </w:rPr>
        <w:t>（二）《</w:t>
      </w:r>
      <w:r>
        <w:rPr>
          <w:rFonts w:hint="eastAsia" w:ascii="仿宋_GB2312" w:hAnsi="仿宋_GB2312" w:eastAsia="仿宋_GB2312" w:cs="仿宋_GB2312"/>
          <w:bCs/>
          <w:color w:val="auto"/>
          <w:sz w:val="32"/>
        </w:rPr>
        <w:t>光明区企业职业技能等级认定人员名单</w:t>
      </w:r>
      <w:r>
        <w:rPr>
          <w:rFonts w:hint="eastAsia" w:ascii="仿宋_GB2312" w:hAnsi="仿宋_GB2312" w:eastAsia="仿宋_GB2312" w:cs="仿宋_GB2312"/>
          <w:bCs/>
          <w:color w:val="auto"/>
          <w:kern w:val="2"/>
          <w:sz w:val="32"/>
          <w:szCs w:val="24"/>
          <w:lang w:val="en-US" w:eastAsia="zh-CN" w:bidi="ar-SA"/>
        </w:rPr>
        <w:t>》（原件加盖企业公章）；</w:t>
      </w:r>
    </w:p>
    <w:p w14:paraId="17091AED">
      <w:pPr>
        <w:keepNext/>
        <w:keepLines/>
        <w:pageBreakBefore w:val="0"/>
        <w:widowControl w:val="0"/>
        <w:kinsoku/>
        <w:wordWrap/>
        <w:overflowPunct/>
        <w:topLinePunct w:val="0"/>
        <w:autoSpaceDE/>
        <w:autoSpaceDN/>
        <w:bidi w:val="0"/>
        <w:adjustRightInd/>
        <w:snapToGrid/>
        <w:spacing w:before="0" w:beforeLines="0" w:beforeAutospacing="0" w:afterLines="0" w:afterAutospacing="0" w:line="560" w:lineRule="exact"/>
        <w:ind w:firstLine="640" w:firstLineChars="200"/>
        <w:jc w:val="both"/>
        <w:textAlignment w:val="auto"/>
        <w:outlineLvl w:val="9"/>
        <w:rPr>
          <w:rFonts w:hint="eastAsia" w:ascii="仿宋_GB2312" w:hAnsi="仿宋_GB2312" w:eastAsia="仿宋_GB2312" w:cs="仿宋_GB2312"/>
          <w:bCs/>
          <w:color w:val="auto"/>
          <w:kern w:val="2"/>
          <w:sz w:val="32"/>
          <w:szCs w:val="24"/>
          <w:lang w:val="en-US" w:eastAsia="zh-CN" w:bidi="ar-SA"/>
        </w:rPr>
      </w:pPr>
      <w:r>
        <w:rPr>
          <w:rFonts w:hint="eastAsia" w:ascii="仿宋_GB2312" w:hAnsi="仿宋_GB2312" w:eastAsia="仿宋_GB2312" w:cs="仿宋_GB2312"/>
          <w:bCs/>
          <w:color w:val="auto"/>
          <w:kern w:val="2"/>
          <w:sz w:val="32"/>
          <w:szCs w:val="24"/>
          <w:lang w:val="en-US" w:eastAsia="zh-CN" w:bidi="ar-SA"/>
        </w:rPr>
        <w:t>（三）职业技能等级证书全国联网系统查询结果；</w:t>
      </w:r>
    </w:p>
    <w:p w14:paraId="1D210FA5">
      <w:pPr>
        <w:keepNext/>
        <w:keepLines/>
        <w:pageBreakBefore w:val="0"/>
        <w:widowControl w:val="0"/>
        <w:kinsoku/>
        <w:wordWrap/>
        <w:overflowPunct/>
        <w:topLinePunct w:val="0"/>
        <w:autoSpaceDE/>
        <w:autoSpaceDN/>
        <w:bidi w:val="0"/>
        <w:adjustRightInd/>
        <w:snapToGrid/>
        <w:spacing w:before="0" w:beforeLines="0" w:beforeAutospacing="0" w:afterLines="0" w:afterAutospacing="0" w:line="560" w:lineRule="exact"/>
        <w:ind w:firstLine="640" w:firstLineChars="200"/>
        <w:jc w:val="both"/>
        <w:textAlignment w:val="auto"/>
        <w:outlineLvl w:val="9"/>
        <w:rPr>
          <w:rFonts w:hint="eastAsia" w:ascii="仿宋_GB2312" w:hAnsi="仿宋_GB2312" w:eastAsia="仿宋_GB2312" w:cs="仿宋_GB2312"/>
          <w:bCs/>
          <w:color w:val="auto"/>
          <w:kern w:val="2"/>
          <w:sz w:val="32"/>
          <w:szCs w:val="24"/>
          <w:lang w:val="en-US" w:eastAsia="zh-CN" w:bidi="ar-SA"/>
        </w:rPr>
      </w:pPr>
      <w:r>
        <w:rPr>
          <w:rFonts w:hint="eastAsia" w:ascii="仿宋_GB2312" w:hAnsi="仿宋_GB2312" w:eastAsia="仿宋_GB2312" w:cs="仿宋_GB2312"/>
          <w:bCs/>
          <w:color w:val="auto"/>
          <w:kern w:val="2"/>
          <w:sz w:val="32"/>
          <w:szCs w:val="24"/>
          <w:lang w:val="en-US" w:eastAsia="zh-CN" w:bidi="ar-SA"/>
        </w:rPr>
        <w:t>（四）认定人员的社保证明（复印件加盖企业公章）；</w:t>
      </w:r>
    </w:p>
    <w:p w14:paraId="37B0A54F">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Lines="0" w:afterAutospacing="0" w:line="560" w:lineRule="exact"/>
        <w:ind w:left="0" w:firstLine="640" w:firstLineChars="200"/>
        <w:jc w:val="both"/>
        <w:textAlignment w:val="auto"/>
        <w:outlineLvl w:val="9"/>
        <w:rPr>
          <w:rFonts w:hint="eastAsia" w:ascii="仿宋_GB2312" w:hAnsi="仿宋_GB2312" w:eastAsia="仿宋_GB2312" w:cs="仿宋_GB2312"/>
          <w:bCs/>
          <w:color w:val="auto"/>
          <w:kern w:val="2"/>
          <w:sz w:val="32"/>
          <w:szCs w:val="24"/>
          <w:lang w:val="en-US" w:eastAsia="zh-CN" w:bidi="ar-SA"/>
        </w:rPr>
      </w:pPr>
      <w:r>
        <w:rPr>
          <w:rFonts w:hint="eastAsia" w:ascii="仿宋_GB2312" w:hAnsi="仿宋_GB2312" w:eastAsia="仿宋_GB2312" w:cs="仿宋_GB2312"/>
          <w:bCs/>
          <w:color w:val="auto"/>
          <w:kern w:val="2"/>
          <w:sz w:val="32"/>
          <w:szCs w:val="24"/>
          <w:lang w:val="en-US" w:eastAsia="zh-CN" w:bidi="ar-SA"/>
        </w:rPr>
        <w:t>（五）开户银行核发的基本存款账户《开户许可证》或《基本存款账户信息》（复印件加盖企业公章）。</w:t>
      </w:r>
    </w:p>
    <w:p w14:paraId="1AECCC33">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Lines="0" w:afterAutospacing="0" w:line="560" w:lineRule="exact"/>
        <w:ind w:left="0" w:firstLine="640" w:firstLineChars="200"/>
        <w:jc w:val="both"/>
        <w:textAlignment w:val="auto"/>
        <w:outlineLvl w:val="9"/>
        <w:rPr>
          <w:rFonts w:hint="eastAsia" w:ascii="黑体" w:hAnsi="黑体" w:eastAsia="黑体" w:cs="黑体"/>
          <w:bCs/>
          <w:color w:val="auto"/>
          <w:kern w:val="2"/>
          <w:sz w:val="32"/>
          <w:szCs w:val="24"/>
          <w:lang w:val="en-US" w:eastAsia="zh-CN" w:bidi="ar-SA"/>
        </w:rPr>
      </w:pPr>
      <w:r>
        <w:rPr>
          <w:rFonts w:hint="eastAsia" w:ascii="黑体" w:hAnsi="黑体" w:eastAsia="黑体" w:cs="黑体"/>
          <w:bCs/>
          <w:color w:val="auto"/>
          <w:kern w:val="2"/>
          <w:sz w:val="32"/>
          <w:szCs w:val="24"/>
          <w:lang w:val="en-US" w:eastAsia="zh-CN" w:bidi="ar-SA"/>
        </w:rPr>
        <w:t>六、申请时间</w:t>
      </w:r>
    </w:p>
    <w:p w14:paraId="187D31E6">
      <w:pPr>
        <w:pageBreakBefore w:val="0"/>
        <w:numPr>
          <w:ilvl w:val="0"/>
          <w:numId w:val="0"/>
        </w:numPr>
        <w:kinsoku/>
        <w:wordWrap/>
        <w:overflowPunct/>
        <w:topLinePunct w:val="0"/>
        <w:autoSpaceDE/>
        <w:autoSpaceDN/>
        <w:bidi w:val="0"/>
        <w:adjustRightInd w:val="0"/>
        <w:snapToGrid w:val="0"/>
        <w:spacing w:beforeLines="-2147483648" w:afterLines="-2147483648" w:line="560" w:lineRule="exact"/>
        <w:ind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符合申请条件的企业须于次年3月31日前，申报上一年度认定的高技能人才补贴（申请时间不超过2029年</w:t>
      </w:r>
      <w:r>
        <w:rPr>
          <w:rFonts w:hint="eastAsia" w:ascii="仿宋_GB2312" w:hAnsi="仿宋_GB2312" w:eastAsia="仿宋_GB2312" w:cs="仿宋_GB2312"/>
          <w:color w:val="auto"/>
          <w:sz w:val="32"/>
          <w:szCs w:val="32"/>
          <w:lang w:eastAsia="zh-CN"/>
        </w:rPr>
        <w:t>3</w:t>
      </w:r>
      <w:r>
        <w:rPr>
          <w:rFonts w:hint="eastAsia" w:ascii="仿宋_GB2312" w:hAnsi="仿宋_GB2312" w:eastAsia="仿宋_GB2312" w:cs="仿宋_GB2312"/>
          <w:color w:val="auto"/>
          <w:sz w:val="32"/>
          <w:szCs w:val="32"/>
        </w:rPr>
        <w:t>月3</w:t>
      </w:r>
      <w:r>
        <w:rPr>
          <w:rFonts w:hint="eastAsia" w:ascii="仿宋_GB2312" w:hAnsi="仿宋_GB2312" w:eastAsia="仿宋_GB2312" w:cs="仿宋_GB2312"/>
          <w:color w:val="auto"/>
          <w:sz w:val="32"/>
          <w:szCs w:val="32"/>
          <w:lang w:eastAsia="zh-CN"/>
        </w:rPr>
        <w:t>1</w:t>
      </w:r>
      <w:r>
        <w:rPr>
          <w:rFonts w:hint="eastAsia" w:ascii="仿宋_GB2312" w:hAnsi="仿宋_GB2312" w:eastAsia="仿宋_GB2312" w:cs="仿宋_GB2312"/>
          <w:color w:val="auto"/>
          <w:sz w:val="32"/>
          <w:szCs w:val="32"/>
        </w:rPr>
        <w:t>日）；逾期未提交申请的，视作自动放弃补贴申领资格。</w:t>
      </w:r>
    </w:p>
    <w:p w14:paraId="5080D2A2">
      <w:pPr>
        <w:keepNext/>
        <w:keepLines/>
        <w:pageBreakBefore w:val="0"/>
        <w:widowControl w:val="0"/>
        <w:kinsoku/>
        <w:wordWrap/>
        <w:overflowPunct/>
        <w:topLinePunct w:val="0"/>
        <w:autoSpaceDE/>
        <w:autoSpaceDN/>
        <w:bidi w:val="0"/>
        <w:adjustRightInd/>
        <w:snapToGrid/>
        <w:spacing w:before="0" w:beforeLines="0" w:beforeAutospacing="0" w:afterLines="0" w:afterAutospacing="0" w:line="560" w:lineRule="exact"/>
        <w:ind w:firstLine="640" w:firstLineChars="200"/>
        <w:jc w:val="both"/>
        <w:textAlignment w:val="auto"/>
        <w:outlineLvl w:val="9"/>
        <w:rPr>
          <w:rFonts w:hint="eastAsia" w:ascii="黑体" w:hAnsi="黑体" w:eastAsia="黑体" w:cs="黑体"/>
          <w:bCs/>
          <w:color w:val="auto"/>
          <w:kern w:val="2"/>
          <w:sz w:val="32"/>
          <w:szCs w:val="24"/>
          <w:lang w:val="en-US" w:eastAsia="zh-CN" w:bidi="ar-SA"/>
        </w:rPr>
      </w:pPr>
      <w:r>
        <w:rPr>
          <w:rFonts w:hint="eastAsia" w:ascii="黑体" w:hAnsi="黑体" w:eastAsia="黑体" w:cs="黑体"/>
          <w:bCs/>
          <w:color w:val="auto"/>
          <w:kern w:val="2"/>
          <w:sz w:val="32"/>
          <w:szCs w:val="24"/>
          <w:lang w:val="en-US" w:eastAsia="zh-CN" w:bidi="ar-SA"/>
        </w:rPr>
        <w:t>七、</w:t>
      </w:r>
      <w:r>
        <w:rPr>
          <w:rFonts w:hint="eastAsia" w:ascii="黑体" w:hAnsi="黑体" w:eastAsia="黑体" w:cs="黑体"/>
          <w:bCs/>
          <w:color w:val="auto"/>
          <w:sz w:val="32"/>
        </w:rPr>
        <w:t>申报程序</w:t>
      </w:r>
    </w:p>
    <w:p w14:paraId="4A9C3691">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560" w:lineRule="exact"/>
        <w:ind w:left="0" w:right="0" w:firstLine="640" w:firstLineChars="200"/>
        <w:jc w:val="both"/>
        <w:rPr>
          <w:rFonts w:hint="eastAsia" w:ascii="仿宋_GB2312" w:hAnsi="仿宋_GB2312" w:eastAsia="仿宋_GB2312" w:cs="仿宋_GB2312"/>
          <w:i w:val="0"/>
          <w:iCs w:val="0"/>
          <w:caps w:val="0"/>
          <w:color w:val="auto"/>
          <w:spacing w:val="0"/>
          <w:kern w:val="2"/>
          <w:sz w:val="32"/>
          <w:szCs w:val="32"/>
          <w:lang w:val="en" w:bidi="ar-SA"/>
        </w:rPr>
      </w:pPr>
      <w:r>
        <w:rPr>
          <w:rFonts w:hint="eastAsia" w:ascii="仿宋_GB2312" w:hAnsi="仿宋_GB2312" w:eastAsia="仿宋_GB2312" w:cs="仿宋_GB2312"/>
          <w:i w:val="0"/>
          <w:iCs w:val="0"/>
          <w:caps w:val="0"/>
          <w:color w:val="auto"/>
          <w:spacing w:val="0"/>
          <w:kern w:val="2"/>
          <w:sz w:val="32"/>
          <w:szCs w:val="32"/>
          <w:lang w:val="en" w:bidi="ar-SA"/>
        </w:rPr>
        <w:t>（一）申请。企业登录“广东政务服务网”（网址：https://www.gdzwfw.gov.cn/）进行用户注册，搜索点击“光明区企业职业技能等级认定补贴”，进入申请页面，并按要求填报和上传申请材料。</w:t>
      </w:r>
    </w:p>
    <w:p w14:paraId="62EB5AFC">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560" w:lineRule="exact"/>
        <w:ind w:left="0" w:right="0" w:firstLine="640" w:firstLineChars="200"/>
        <w:jc w:val="both"/>
        <w:rPr>
          <w:rFonts w:hint="eastAsia" w:ascii="仿宋_GB2312" w:hAnsi="仿宋_GB2312" w:eastAsia="仿宋_GB2312" w:cs="仿宋_GB2312"/>
          <w:i w:val="0"/>
          <w:iCs w:val="0"/>
          <w:caps w:val="0"/>
          <w:color w:val="auto"/>
          <w:spacing w:val="0"/>
          <w:kern w:val="2"/>
          <w:sz w:val="32"/>
          <w:szCs w:val="32"/>
          <w:lang w:val="en" w:bidi="ar-SA"/>
        </w:rPr>
      </w:pPr>
      <w:r>
        <w:rPr>
          <w:rFonts w:hint="eastAsia" w:ascii="仿宋_GB2312" w:hAnsi="仿宋_GB2312" w:eastAsia="仿宋_GB2312" w:cs="仿宋_GB2312"/>
          <w:i w:val="0"/>
          <w:iCs w:val="0"/>
          <w:caps w:val="0"/>
          <w:color w:val="auto"/>
          <w:spacing w:val="0"/>
          <w:kern w:val="2"/>
          <w:sz w:val="32"/>
          <w:szCs w:val="32"/>
          <w:lang w:val="en" w:bidi="ar-SA"/>
        </w:rPr>
        <w:t>（二）受理。</w:t>
      </w:r>
      <w:r>
        <w:rPr>
          <w:rFonts w:hint="eastAsia" w:ascii="仿宋_GB2312" w:hAnsi="仿宋_GB2312" w:eastAsia="仿宋_GB2312" w:cs="仿宋_GB2312"/>
          <w:color w:val="auto"/>
          <w:kern w:val="2"/>
          <w:sz w:val="32"/>
          <w:szCs w:val="32"/>
          <w:lang w:val="en" w:bidi="ar-SA"/>
        </w:rPr>
        <w:t>光明区人力资源局对申请材料进行受理，</w:t>
      </w:r>
      <w:r>
        <w:rPr>
          <w:rFonts w:hint="eastAsia" w:ascii="仿宋_GB2312" w:hAnsi="仿宋_GB2312" w:eastAsia="仿宋_GB2312" w:cs="仿宋_GB2312"/>
          <w:i w:val="0"/>
          <w:iCs w:val="0"/>
          <w:caps w:val="0"/>
          <w:color w:val="auto"/>
          <w:spacing w:val="0"/>
          <w:kern w:val="2"/>
          <w:sz w:val="32"/>
          <w:szCs w:val="32"/>
          <w:lang w:val="en" w:bidi="ar-SA"/>
        </w:rPr>
        <w:t>申请资料完备、符合要求的予以受理。申请企业材料不齐全或者不符合要求的，一次性告知申请单位补正材料。申请单位应在5个工作日内补正材料；逾期不补正的，视为放弃申请。 </w:t>
      </w:r>
    </w:p>
    <w:p w14:paraId="3467BFE5">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560" w:lineRule="exact"/>
        <w:ind w:left="0" w:right="0" w:firstLine="640" w:firstLineChars="0"/>
        <w:jc w:val="both"/>
        <w:rPr>
          <w:rFonts w:hint="eastAsia" w:ascii="仿宋_GB2312" w:hAnsi="仿宋_GB2312" w:eastAsia="仿宋_GB2312" w:cs="仿宋_GB2312"/>
          <w:i w:val="0"/>
          <w:iCs w:val="0"/>
          <w:caps w:val="0"/>
          <w:color w:val="auto"/>
          <w:spacing w:val="0"/>
          <w:kern w:val="2"/>
          <w:sz w:val="32"/>
          <w:szCs w:val="32"/>
          <w:lang w:val="en" w:eastAsia="zh-CN" w:bidi="ar-SA"/>
        </w:rPr>
      </w:pPr>
      <w:r>
        <w:rPr>
          <w:rFonts w:hint="eastAsia" w:ascii="仿宋_GB2312" w:hAnsi="仿宋_GB2312" w:eastAsia="仿宋_GB2312" w:cs="仿宋_GB2312"/>
          <w:i w:val="0"/>
          <w:iCs w:val="0"/>
          <w:caps w:val="0"/>
          <w:color w:val="auto"/>
          <w:spacing w:val="0"/>
          <w:kern w:val="2"/>
          <w:sz w:val="32"/>
          <w:szCs w:val="32"/>
          <w:lang w:val="en" w:bidi="ar-SA"/>
        </w:rPr>
        <w:t>（三）审核。</w:t>
      </w:r>
      <w:r>
        <w:rPr>
          <w:rFonts w:hint="eastAsia" w:ascii="仿宋_GB2312" w:hAnsi="仿宋_GB2312" w:eastAsia="仿宋_GB2312" w:cs="仿宋_GB2312"/>
          <w:color w:val="auto"/>
          <w:kern w:val="2"/>
          <w:sz w:val="32"/>
          <w:szCs w:val="32"/>
          <w:lang w:val="en" w:bidi="ar-SA"/>
        </w:rPr>
        <w:t>光明</w:t>
      </w:r>
      <w:r>
        <w:rPr>
          <w:rFonts w:hint="eastAsia" w:ascii="仿宋_GB2312" w:hAnsi="仿宋_GB2312" w:eastAsia="仿宋_GB2312" w:cs="仿宋_GB2312"/>
          <w:i w:val="0"/>
          <w:iCs w:val="0"/>
          <w:caps w:val="0"/>
          <w:color w:val="auto"/>
          <w:spacing w:val="0"/>
          <w:kern w:val="2"/>
          <w:sz w:val="32"/>
          <w:szCs w:val="32"/>
          <w:lang w:val="en" w:bidi="ar-SA"/>
        </w:rPr>
        <w:t>区人力资源局自受理</w:t>
      </w:r>
      <w:r>
        <w:rPr>
          <w:rFonts w:hint="eastAsia" w:ascii="仿宋_GB2312" w:hAnsi="仿宋_GB2312" w:eastAsia="仿宋_GB2312" w:cs="仿宋_GB2312"/>
          <w:i w:val="0"/>
          <w:iCs w:val="0"/>
          <w:caps w:val="0"/>
          <w:color w:val="auto"/>
          <w:spacing w:val="0"/>
          <w:kern w:val="2"/>
          <w:sz w:val="32"/>
          <w:szCs w:val="32"/>
          <w:lang w:val="en" w:eastAsia="zh-CN" w:bidi="ar-SA"/>
        </w:rPr>
        <w:t>之日起</w:t>
      </w:r>
      <w:r>
        <w:rPr>
          <w:rFonts w:hint="eastAsia" w:ascii="仿宋_GB2312" w:hAnsi="仿宋_GB2312" w:eastAsia="仿宋_GB2312" w:cs="仿宋_GB2312"/>
          <w:i w:val="0"/>
          <w:iCs w:val="0"/>
          <w:caps w:val="0"/>
          <w:color w:val="auto"/>
          <w:spacing w:val="0"/>
          <w:kern w:val="2"/>
          <w:sz w:val="32"/>
          <w:szCs w:val="32"/>
          <w:lang w:val="en" w:bidi="ar-SA"/>
        </w:rPr>
        <w:t>30个工作日内完成</w:t>
      </w:r>
      <w:r>
        <w:rPr>
          <w:rFonts w:hint="eastAsia" w:ascii="仿宋_GB2312" w:hAnsi="仿宋_GB2312" w:eastAsia="仿宋_GB2312" w:cs="仿宋_GB2312"/>
          <w:i w:val="0"/>
          <w:iCs w:val="0"/>
          <w:caps w:val="0"/>
          <w:color w:val="auto"/>
          <w:spacing w:val="0"/>
          <w:kern w:val="2"/>
          <w:sz w:val="32"/>
          <w:szCs w:val="32"/>
          <w:lang w:val="en" w:eastAsia="zh-CN" w:bidi="ar-SA"/>
        </w:rPr>
        <w:t>审核。</w:t>
      </w:r>
    </w:p>
    <w:p w14:paraId="1C4EB5E9">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560" w:lineRule="exact"/>
        <w:ind w:left="0" w:right="0" w:firstLine="640" w:firstLineChars="200"/>
        <w:jc w:val="both"/>
        <w:rPr>
          <w:rFonts w:hint="eastAsia" w:ascii="仿宋_GB2312" w:hAnsi="仿宋_GB2312" w:eastAsia="仿宋_GB2312" w:cs="仿宋_GB2312"/>
          <w:i w:val="0"/>
          <w:iCs w:val="0"/>
          <w:caps w:val="0"/>
          <w:color w:val="auto"/>
          <w:spacing w:val="0"/>
          <w:kern w:val="2"/>
          <w:sz w:val="32"/>
          <w:szCs w:val="32"/>
          <w:lang w:val="en" w:bidi="ar-SA"/>
        </w:rPr>
      </w:pPr>
      <w:r>
        <w:rPr>
          <w:rFonts w:hint="eastAsia" w:ascii="仿宋_GB2312" w:hAnsi="仿宋_GB2312" w:eastAsia="仿宋_GB2312" w:cs="仿宋_GB2312"/>
          <w:i w:val="0"/>
          <w:iCs w:val="0"/>
          <w:caps w:val="0"/>
          <w:color w:val="auto"/>
          <w:spacing w:val="0"/>
          <w:kern w:val="2"/>
          <w:sz w:val="32"/>
          <w:szCs w:val="32"/>
          <w:lang w:val="en" w:bidi="ar-SA"/>
        </w:rPr>
        <w:t>（四）公示。</w:t>
      </w:r>
      <w:r>
        <w:rPr>
          <w:rFonts w:hint="eastAsia" w:ascii="仿宋_GB2312" w:hAnsi="仿宋_GB2312" w:eastAsia="仿宋_GB2312" w:cs="仿宋_GB2312"/>
          <w:color w:val="auto"/>
          <w:kern w:val="2"/>
          <w:sz w:val="32"/>
          <w:szCs w:val="32"/>
          <w:lang w:val="en" w:bidi="ar-SA"/>
        </w:rPr>
        <w:t>光明区人力资源局按批次在</w:t>
      </w:r>
      <w:r>
        <w:rPr>
          <w:rFonts w:hint="eastAsia" w:ascii="仿宋_GB2312" w:hAnsi="仿宋_GB2312" w:eastAsia="仿宋_GB2312" w:cs="仿宋_GB2312"/>
          <w:color w:val="auto"/>
          <w:kern w:val="2"/>
          <w:sz w:val="32"/>
          <w:szCs w:val="32"/>
          <w:lang w:val="en" w:eastAsia="zh-CN" w:bidi="ar-SA"/>
        </w:rPr>
        <w:t>光明</w:t>
      </w:r>
      <w:r>
        <w:rPr>
          <w:rFonts w:hint="eastAsia" w:ascii="仿宋_GB2312" w:hAnsi="仿宋_GB2312" w:eastAsia="仿宋_GB2312" w:cs="仿宋_GB2312"/>
          <w:color w:val="auto"/>
          <w:kern w:val="2"/>
          <w:sz w:val="32"/>
          <w:szCs w:val="32"/>
          <w:lang w:val="en" w:bidi="ar-SA"/>
        </w:rPr>
        <w:t>区政府</w:t>
      </w:r>
      <w:r>
        <w:rPr>
          <w:rFonts w:hint="eastAsia" w:ascii="仿宋_GB2312" w:hAnsi="仿宋_GB2312" w:eastAsia="仿宋_GB2312" w:cs="仿宋_GB2312"/>
          <w:color w:val="auto"/>
          <w:kern w:val="2"/>
          <w:sz w:val="32"/>
          <w:szCs w:val="32"/>
          <w:lang w:val="en" w:eastAsia="zh-CN" w:bidi="ar-SA"/>
        </w:rPr>
        <w:t>在线</w:t>
      </w:r>
      <w:r>
        <w:rPr>
          <w:rFonts w:hint="eastAsia" w:ascii="仿宋_GB2312" w:hAnsi="仿宋_GB2312" w:eastAsia="仿宋_GB2312" w:cs="仿宋_GB2312"/>
          <w:color w:val="auto"/>
          <w:kern w:val="2"/>
          <w:sz w:val="32"/>
          <w:szCs w:val="32"/>
          <w:lang w:val="en" w:bidi="ar-SA"/>
        </w:rPr>
        <w:t>网站对拟补贴的对象和金额等信息公示5个工作日；公示无异议，或有异议但经过调查异议不成立的，予以支付；公示有异议的，经过调查不符合补贴条件的，不予支付。</w:t>
      </w:r>
    </w:p>
    <w:p w14:paraId="06E52856">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560" w:lineRule="exact"/>
        <w:ind w:left="0" w:right="0" w:firstLine="640" w:firstLineChars="200"/>
        <w:jc w:val="both"/>
        <w:rPr>
          <w:rFonts w:hint="eastAsia" w:ascii="仿宋_GB2312" w:hAnsi="仿宋_GB2312" w:eastAsia="仿宋_GB2312" w:cs="仿宋_GB2312"/>
          <w:i w:val="0"/>
          <w:iCs w:val="0"/>
          <w:caps w:val="0"/>
          <w:color w:val="auto"/>
          <w:spacing w:val="0"/>
          <w:kern w:val="2"/>
          <w:sz w:val="32"/>
          <w:szCs w:val="32"/>
          <w:lang w:val="en" w:bidi="ar-SA"/>
        </w:rPr>
      </w:pPr>
      <w:r>
        <w:rPr>
          <w:rFonts w:hint="eastAsia" w:ascii="仿宋_GB2312" w:hAnsi="仿宋_GB2312" w:eastAsia="仿宋_GB2312" w:cs="仿宋_GB2312"/>
          <w:i w:val="0"/>
          <w:iCs w:val="0"/>
          <w:caps w:val="0"/>
          <w:color w:val="auto"/>
          <w:spacing w:val="0"/>
          <w:kern w:val="2"/>
          <w:sz w:val="32"/>
          <w:szCs w:val="32"/>
          <w:lang w:val="en" w:bidi="ar-SA"/>
        </w:rPr>
        <w:t>（</w:t>
      </w:r>
      <w:r>
        <w:rPr>
          <w:rFonts w:hint="eastAsia" w:ascii="仿宋_GB2312" w:hAnsi="仿宋_GB2312" w:eastAsia="仿宋_GB2312" w:cs="仿宋_GB2312"/>
          <w:i w:val="0"/>
          <w:iCs w:val="0"/>
          <w:caps w:val="0"/>
          <w:color w:val="auto"/>
          <w:spacing w:val="0"/>
          <w:kern w:val="2"/>
          <w:sz w:val="32"/>
          <w:szCs w:val="32"/>
          <w:lang w:val="en" w:eastAsia="zh-CN" w:bidi="ar-SA"/>
        </w:rPr>
        <w:t>五</w:t>
      </w:r>
      <w:r>
        <w:rPr>
          <w:rFonts w:hint="eastAsia" w:ascii="仿宋_GB2312" w:hAnsi="仿宋_GB2312" w:eastAsia="仿宋_GB2312" w:cs="仿宋_GB2312"/>
          <w:i w:val="0"/>
          <w:iCs w:val="0"/>
          <w:caps w:val="0"/>
          <w:color w:val="auto"/>
          <w:spacing w:val="0"/>
          <w:kern w:val="2"/>
          <w:sz w:val="32"/>
          <w:szCs w:val="32"/>
          <w:lang w:val="en" w:bidi="ar-SA"/>
        </w:rPr>
        <w:t>）发放。</w:t>
      </w:r>
      <w:r>
        <w:rPr>
          <w:rFonts w:hint="eastAsia" w:ascii="仿宋_GB2312" w:hAnsi="仿宋_GB2312" w:eastAsia="仿宋_GB2312" w:cs="仿宋_GB2312"/>
          <w:color w:val="auto"/>
          <w:kern w:val="2"/>
          <w:sz w:val="32"/>
          <w:szCs w:val="32"/>
          <w:lang w:val="en" w:bidi="ar-SA"/>
        </w:rPr>
        <w:t>光明区人力资源局在公示通过后，按规定程序将补贴拨入</w:t>
      </w:r>
      <w:r>
        <w:rPr>
          <w:rFonts w:hint="eastAsia" w:ascii="仿宋_GB2312" w:hAnsi="仿宋_GB2312" w:eastAsia="仿宋_GB2312" w:cs="仿宋_GB2312"/>
          <w:i w:val="0"/>
          <w:iCs w:val="0"/>
          <w:caps w:val="0"/>
          <w:color w:val="auto"/>
          <w:spacing w:val="0"/>
          <w:kern w:val="2"/>
          <w:sz w:val="32"/>
          <w:szCs w:val="32"/>
          <w:lang w:val="en" w:bidi="ar-SA"/>
        </w:rPr>
        <w:t>企业基本存款账户。</w:t>
      </w:r>
    </w:p>
    <w:p w14:paraId="03F50952">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Lines="0" w:beforeAutospacing="0" w:after="0" w:afterLines="0" w:afterAutospacing="0" w:line="560" w:lineRule="exact"/>
        <w:ind w:left="0" w:right="0" w:firstLine="640" w:firstLineChars="200"/>
        <w:jc w:val="both"/>
        <w:rPr>
          <w:rFonts w:hint="eastAsia" w:ascii="黑体" w:hAnsi="黑体" w:eastAsia="黑体" w:cs="黑体"/>
          <w:i w:val="0"/>
          <w:iCs w:val="0"/>
          <w:caps w:val="0"/>
          <w:color w:val="auto"/>
          <w:spacing w:val="0"/>
          <w:kern w:val="2"/>
          <w:sz w:val="32"/>
          <w:szCs w:val="32"/>
          <w:lang w:val="en" w:bidi="ar-SA"/>
        </w:rPr>
      </w:pPr>
      <w:r>
        <w:rPr>
          <w:rFonts w:hint="eastAsia" w:ascii="黑体" w:hAnsi="黑体" w:eastAsia="黑体" w:cs="黑体"/>
          <w:i w:val="0"/>
          <w:iCs w:val="0"/>
          <w:caps w:val="0"/>
          <w:color w:val="auto"/>
          <w:spacing w:val="0"/>
          <w:kern w:val="2"/>
          <w:sz w:val="32"/>
          <w:szCs w:val="32"/>
          <w:lang w:val="en" w:bidi="ar-SA"/>
        </w:rPr>
        <w:t>八、监督管理</w:t>
      </w:r>
    </w:p>
    <w:p w14:paraId="285FBB1E">
      <w:pPr>
        <w:keepNext/>
        <w:keepLines/>
        <w:pageBreakBefore w:val="0"/>
        <w:widowControl/>
        <w:kinsoku/>
        <w:wordWrap/>
        <w:overflowPunct/>
        <w:topLinePunct w:val="0"/>
        <w:autoSpaceDE/>
        <w:autoSpaceDN/>
        <w:bidi w:val="0"/>
        <w:snapToGrid/>
        <w:spacing w:beforeLines="0" w:afterLines="0" w:line="560" w:lineRule="exact"/>
        <w:ind w:firstLine="640" w:firstLineChars="200"/>
        <w:jc w:val="both"/>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企业存在包括但不限于提供虚假申报材料、冒领、重复领取等非法手段骗取、套取补贴资金行为的，由光明区人力资源局按照有关规定追回补贴资金；不再受理相关企业的职业技能等级认定补贴申请；涉嫌犯罪的，依法移送司法机关处理。</w:t>
      </w:r>
    </w:p>
    <w:p w14:paraId="6E22C834">
      <w:pPr>
        <w:keepNext/>
        <w:keepLines/>
        <w:pageBreakBefore w:val="0"/>
        <w:widowControl/>
        <w:numPr>
          <w:ilvl w:val="-1"/>
          <w:numId w:val="0"/>
        </w:numPr>
        <w:kinsoku/>
        <w:wordWrap/>
        <w:overflowPunct/>
        <w:topLinePunct w:val="0"/>
        <w:autoSpaceDE/>
        <w:autoSpaceDN/>
        <w:bidi w:val="0"/>
        <w:snapToGrid/>
        <w:spacing w:beforeLines="0" w:afterLines="0" w:line="560" w:lineRule="exact"/>
        <w:ind w:firstLine="640" w:firstLineChars="200"/>
        <w:jc w:val="both"/>
        <w:textAlignment w:val="auto"/>
        <w:outlineLvl w:val="9"/>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九、其他事项</w:t>
      </w:r>
    </w:p>
    <w:p w14:paraId="32921C93">
      <w:pPr>
        <w:pStyle w:val="7"/>
        <w:spacing w:beforeLines="0" w:after="0" w:line="560" w:lineRule="exact"/>
        <w:ind w:firstLine="640" w:firstLineChars="200"/>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（一）本指南</w:t>
      </w:r>
      <w:r>
        <w:rPr>
          <w:rFonts w:hint="default" w:ascii="仿宋_GB2312" w:hAnsi="仿宋_GB2312" w:eastAsia="仿宋_GB2312" w:cs="仿宋_GB2312"/>
          <w:color w:val="auto"/>
          <w:kern w:val="2"/>
          <w:sz w:val="32"/>
          <w:szCs w:val="32"/>
          <w:highlight w:val="none"/>
          <w:lang w:val="en-US" w:eastAsia="zh-CN" w:bidi="ar-SA"/>
        </w:rPr>
        <w:t>所称经市、区人力资源部门备案通过，具备开展企业职业技能等级认定条件和资质</w:t>
      </w:r>
      <w:r>
        <w:rPr>
          <w:rFonts w:hint="eastAsia" w:ascii="仿宋_GB2312" w:hAnsi="仿宋_GB2312" w:eastAsia="仿宋_GB2312" w:cs="仿宋_GB2312"/>
          <w:color w:val="auto"/>
          <w:kern w:val="2"/>
          <w:sz w:val="32"/>
          <w:szCs w:val="32"/>
          <w:highlight w:val="none"/>
          <w:lang w:val="en-US" w:eastAsia="zh-CN" w:bidi="ar-SA"/>
        </w:rPr>
        <w:t>，</w:t>
      </w:r>
      <w:r>
        <w:rPr>
          <w:rFonts w:hint="default" w:ascii="仿宋_GB2312" w:hAnsi="仿宋_GB2312" w:eastAsia="仿宋_GB2312" w:cs="仿宋_GB2312"/>
          <w:color w:val="auto"/>
          <w:kern w:val="2"/>
          <w:sz w:val="32"/>
          <w:szCs w:val="32"/>
          <w:highlight w:val="none"/>
          <w:lang w:val="en-US" w:eastAsia="zh-CN" w:bidi="ar-SA"/>
        </w:rPr>
        <w:t>是指企业根据有关规定申报企业职业技能等级认定备案，并获得由市人力资源部门出具的相关备案函</w:t>
      </w:r>
      <w:r>
        <w:rPr>
          <w:rFonts w:hint="eastAsia" w:ascii="仿宋_GB2312" w:hAnsi="仿宋_GB2312" w:eastAsia="仿宋_GB2312" w:cs="仿宋_GB2312"/>
          <w:color w:val="auto"/>
          <w:kern w:val="2"/>
          <w:sz w:val="32"/>
          <w:szCs w:val="32"/>
          <w:highlight w:val="none"/>
          <w:lang w:val="en-US" w:eastAsia="zh-CN" w:bidi="ar-SA"/>
        </w:rPr>
        <w:t>；本指南所称每年指自然年度</w:t>
      </w:r>
      <w:r>
        <w:rPr>
          <w:rFonts w:hint="default" w:ascii="仿宋_GB2312" w:hAnsi="仿宋_GB2312" w:eastAsia="仿宋_GB2312" w:cs="仿宋_GB2312"/>
          <w:color w:val="auto"/>
          <w:kern w:val="2"/>
          <w:sz w:val="32"/>
          <w:szCs w:val="32"/>
          <w:highlight w:val="none"/>
          <w:lang w:val="en-US" w:eastAsia="zh-CN" w:bidi="ar-SA"/>
        </w:rPr>
        <w:t>。</w:t>
      </w:r>
    </w:p>
    <w:p w14:paraId="21D95CF3">
      <w:pPr>
        <w:pStyle w:val="7"/>
        <w:spacing w:beforeLines="0" w:after="0" w:line="560" w:lineRule="exact"/>
        <w:ind w:firstLine="640" w:firstLineChars="20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（二）本指南</w:t>
      </w:r>
      <w:r>
        <w:rPr>
          <w:rFonts w:hint="default" w:ascii="仿宋_GB2312" w:hAnsi="仿宋_GB2312" w:eastAsia="仿宋_GB2312" w:cs="仿宋_GB2312"/>
          <w:color w:val="auto"/>
          <w:kern w:val="2"/>
          <w:sz w:val="32"/>
          <w:szCs w:val="32"/>
          <w:highlight w:val="none"/>
          <w:lang w:val="en-US" w:eastAsia="zh-CN" w:bidi="ar-SA"/>
        </w:rPr>
        <w:t>所称高技能人才包括由申请企业认定并获得高级工（三级）、技师（二级）</w:t>
      </w:r>
      <w:r>
        <w:rPr>
          <w:rFonts w:hint="eastAsia" w:ascii="仿宋_GB2312" w:hAnsi="仿宋_GB2312" w:eastAsia="仿宋_GB2312" w:cs="仿宋_GB2312"/>
          <w:color w:val="auto"/>
          <w:kern w:val="2"/>
          <w:sz w:val="32"/>
          <w:szCs w:val="32"/>
          <w:highlight w:val="none"/>
          <w:lang w:val="en-US" w:eastAsia="zh-CN" w:bidi="ar-SA"/>
        </w:rPr>
        <w:t>、</w:t>
      </w:r>
      <w:r>
        <w:rPr>
          <w:rFonts w:hint="default" w:ascii="仿宋_GB2312" w:hAnsi="仿宋_GB2312" w:eastAsia="仿宋_GB2312" w:cs="仿宋_GB2312"/>
          <w:color w:val="auto"/>
          <w:kern w:val="2"/>
          <w:sz w:val="32"/>
          <w:szCs w:val="32"/>
          <w:highlight w:val="none"/>
          <w:lang w:val="en-US" w:eastAsia="zh-CN" w:bidi="ar-SA"/>
        </w:rPr>
        <w:t>高级技师（一级）</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color w:val="auto"/>
          <w:sz w:val="32"/>
          <w:szCs w:val="32"/>
          <w:highlight w:val="none"/>
        </w:rPr>
        <w:t>特级技师</w:t>
      </w:r>
      <w:r>
        <w:rPr>
          <w:rFonts w:hint="eastAsia" w:ascii="仿宋_GB2312" w:hAnsi="仿宋_GB2312" w:eastAsia="仿宋_GB2312" w:cs="仿宋_GB2312"/>
          <w:color w:val="auto"/>
          <w:sz w:val="32"/>
          <w:szCs w:val="32"/>
          <w:highlight w:val="none"/>
          <w:lang w:eastAsia="zh-CN"/>
        </w:rPr>
        <w:t>和</w:t>
      </w:r>
      <w:r>
        <w:rPr>
          <w:rFonts w:hint="eastAsia" w:ascii="仿宋_GB2312" w:hAnsi="仿宋_GB2312" w:eastAsia="仿宋_GB2312" w:cs="仿宋_GB2312"/>
          <w:color w:val="auto"/>
          <w:sz w:val="32"/>
          <w:szCs w:val="32"/>
          <w:highlight w:val="none"/>
        </w:rPr>
        <w:t>首席技师</w:t>
      </w:r>
      <w:r>
        <w:rPr>
          <w:rFonts w:hint="default" w:ascii="仿宋_GB2312" w:hAnsi="仿宋_GB2312" w:eastAsia="仿宋_GB2312" w:cs="仿宋_GB2312"/>
          <w:color w:val="auto"/>
          <w:kern w:val="2"/>
          <w:sz w:val="32"/>
          <w:szCs w:val="32"/>
          <w:highlight w:val="none"/>
          <w:lang w:val="en-US" w:eastAsia="zh-CN" w:bidi="ar-SA"/>
        </w:rPr>
        <w:t>职业技能等级证书</w:t>
      </w:r>
      <w:r>
        <w:rPr>
          <w:rFonts w:hint="default" w:ascii="仿宋_GB2312" w:hAnsi="仿宋_GB2312" w:eastAsia="仿宋_GB2312" w:cs="仿宋_GB2312"/>
          <w:b w:val="0"/>
          <w:bCs w:val="0"/>
          <w:color w:val="auto"/>
          <w:kern w:val="2"/>
          <w:sz w:val="32"/>
          <w:szCs w:val="32"/>
          <w:highlight w:val="none"/>
          <w:lang w:val="en-US"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证书</w:t>
      </w:r>
      <w:r>
        <w:rPr>
          <w:rFonts w:hint="default" w:ascii="仿宋_GB2312" w:hAnsi="仿宋_GB2312" w:eastAsia="仿宋_GB2312" w:cs="仿宋_GB2312"/>
          <w:b w:val="0"/>
          <w:bCs w:val="0"/>
          <w:color w:val="auto"/>
          <w:kern w:val="2"/>
          <w:sz w:val="32"/>
          <w:szCs w:val="32"/>
          <w:highlight w:val="none"/>
          <w:lang w:val="en-US" w:eastAsia="zh-CN" w:bidi="ar-SA"/>
        </w:rPr>
        <w:t>需经过全国联网系统查询结果进行认证）的技能人才。</w:t>
      </w:r>
      <w:r>
        <w:rPr>
          <w:rFonts w:hint="eastAsia" w:ascii="仿宋_GB2312" w:hAnsi="仿宋_GB2312" w:eastAsia="仿宋_GB2312" w:cs="仿宋_GB2312"/>
          <w:b w:val="0"/>
          <w:bCs w:val="0"/>
          <w:color w:val="auto"/>
          <w:kern w:val="2"/>
          <w:sz w:val="32"/>
          <w:szCs w:val="32"/>
          <w:highlight w:val="none"/>
          <w:lang w:val="en-US" w:eastAsia="zh-CN" w:bidi="ar-SA"/>
        </w:rPr>
        <w:t xml:space="preserve">    </w:t>
      </w:r>
    </w:p>
    <w:p w14:paraId="40196853">
      <w:pPr>
        <w:pStyle w:val="7"/>
        <w:spacing w:beforeLines="0" w:after="0"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kern w:val="2"/>
          <w:sz w:val="32"/>
          <w:szCs w:val="32"/>
          <w:highlight w:val="none"/>
          <w:lang w:val="en-US" w:eastAsia="zh-CN" w:bidi="ar-SA"/>
        </w:rPr>
        <w:t>（三）</w:t>
      </w:r>
      <w:r>
        <w:rPr>
          <w:rFonts w:hint="eastAsia" w:ascii="仿宋_GB2312" w:hAnsi="仿宋_GB2312" w:eastAsia="仿宋_GB2312" w:cs="仿宋_GB2312"/>
          <w:color w:val="auto"/>
          <w:sz w:val="32"/>
          <w:szCs w:val="32"/>
          <w:highlight w:val="none"/>
        </w:rPr>
        <w:t>同一职业（工种）同一等级只能享受一次本认定补贴，不得重复申领和重复享受。同一职业（工种）且同一等级证书已申领本认定补贴的，不得再申领学徒制培训补贴；同一职业（工种）且同一等级证书已申领学徒制培训补贴的，不得再申领本认定补贴。</w:t>
      </w:r>
    </w:p>
    <w:p w14:paraId="5F3649A9">
      <w:pPr>
        <w:pStyle w:val="7"/>
        <w:spacing w:beforeLines="0" w:after="0" w:line="560"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四</w:t>
      </w:r>
      <w:r>
        <w:rPr>
          <w:rFonts w:hint="eastAsia" w:ascii="仿宋_GB2312" w:hAnsi="仿宋_GB2312" w:eastAsia="仿宋_GB2312" w:cs="仿宋_GB2312"/>
          <w:color w:val="auto"/>
          <w:sz w:val="32"/>
          <w:szCs w:val="32"/>
          <w:highlight w:val="none"/>
        </w:rPr>
        <w:t>）补贴资金规模实行总量控制，将按申请</w:t>
      </w:r>
      <w:r>
        <w:rPr>
          <w:rFonts w:hint="eastAsia" w:ascii="仿宋_GB2312" w:hAnsi="仿宋_GB2312" w:eastAsia="仿宋_GB2312" w:cs="仿宋_GB2312"/>
          <w:color w:val="auto"/>
          <w:sz w:val="32"/>
          <w:szCs w:val="32"/>
          <w:highlight w:val="none"/>
          <w:lang w:eastAsia="zh-CN"/>
        </w:rPr>
        <w:t>企业</w:t>
      </w:r>
      <w:r>
        <w:rPr>
          <w:rFonts w:hint="eastAsia" w:ascii="仿宋_GB2312" w:hAnsi="仿宋_GB2312" w:eastAsia="仿宋_GB2312" w:cs="仿宋_GB2312"/>
          <w:color w:val="auto"/>
          <w:sz w:val="32"/>
          <w:szCs w:val="32"/>
          <w:highlight w:val="none"/>
        </w:rPr>
        <w:t>最后一次正式提交申请时间先后顺序予以发放。</w:t>
      </w:r>
    </w:p>
    <w:p w14:paraId="76D4D44F">
      <w:pPr>
        <w:pStyle w:val="7"/>
        <w:widowControl/>
        <w:spacing w:beforeLines="0" w:after="0" w:line="560" w:lineRule="exact"/>
        <w:ind w:firstLine="640" w:firstLineChars="200"/>
        <w:jc w:val="both"/>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pPr>
      <w:r>
        <w:rPr>
          <w:rFonts w:hint="default"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五</w:t>
      </w:r>
      <w:r>
        <w:rPr>
          <w:rFonts w:hint="default" w:ascii="仿宋_GB2312" w:hAnsi="仿宋_GB2312" w:eastAsia="仿宋_GB2312" w:cs="仿宋_GB2312"/>
          <w:color w:val="auto"/>
          <w:sz w:val="32"/>
          <w:szCs w:val="32"/>
          <w:highlight w:val="none"/>
          <w:lang w:val="en-US" w:eastAsia="zh-CN"/>
        </w:rPr>
        <w:t>）</w:t>
      </w:r>
      <w:r>
        <w:rPr>
          <w:rFonts w:ascii="仿宋_GB2312" w:hAnsi="仿宋_GB2312" w:eastAsia="仿宋_GB2312" w:cs="仿宋_GB2312"/>
          <w:i w:val="0"/>
          <w:iCs w:val="0"/>
          <w:caps w:val="0"/>
          <w:color w:val="auto"/>
          <w:spacing w:val="0"/>
          <w:kern w:val="2"/>
          <w:sz w:val="32"/>
          <w:szCs w:val="32"/>
          <w:highlight w:val="none"/>
          <w:shd w:val="clear" w:fill="FFFFFF"/>
          <w:lang w:val="en-US" w:eastAsia="zh-CN" w:bidi="ar-SA"/>
        </w:rPr>
        <w:t>本</w:t>
      </w:r>
      <w:r>
        <w:rPr>
          <w:rFonts w:hint="default" w:ascii="仿宋_GB2312" w:hAnsi="仿宋_GB2312" w:eastAsia="仿宋_GB2312" w:cs="仿宋_GB2312"/>
          <w:i w:val="0"/>
          <w:iCs w:val="0"/>
          <w:caps w:val="0"/>
          <w:color w:val="auto"/>
          <w:spacing w:val="0"/>
          <w:kern w:val="2"/>
          <w:sz w:val="32"/>
          <w:szCs w:val="32"/>
          <w:highlight w:val="none"/>
          <w:shd w:val="clear" w:fill="FFFFFF"/>
          <w:lang w:val="en-US" w:eastAsia="zh-CN" w:bidi="ar-SA"/>
        </w:rPr>
        <w:t>指南</w:t>
      </w:r>
      <w:r>
        <w:rPr>
          <w:rFonts w:ascii="仿宋_GB2312" w:hAnsi="仿宋_GB2312" w:eastAsia="仿宋_GB2312" w:cs="仿宋_GB2312"/>
          <w:i w:val="0"/>
          <w:iCs w:val="0"/>
          <w:caps w:val="0"/>
          <w:color w:val="auto"/>
          <w:spacing w:val="0"/>
          <w:kern w:val="2"/>
          <w:sz w:val="32"/>
          <w:szCs w:val="32"/>
          <w:highlight w:val="none"/>
          <w:shd w:val="clear" w:fill="FFFFFF"/>
          <w:lang w:val="en-US" w:eastAsia="zh-CN" w:bidi="ar-SA"/>
        </w:rPr>
        <w:t>自印发之日起施行，有效期至20</w:t>
      </w:r>
      <w:r>
        <w:rPr>
          <w:rFonts w:hint="default" w:ascii="仿宋_GB2312" w:hAnsi="仿宋_GB2312" w:eastAsia="仿宋_GB2312" w:cs="仿宋_GB2312"/>
          <w:i w:val="0"/>
          <w:iCs w:val="0"/>
          <w:caps w:val="0"/>
          <w:color w:val="auto"/>
          <w:spacing w:val="0"/>
          <w:kern w:val="2"/>
          <w:sz w:val="32"/>
          <w:szCs w:val="32"/>
          <w:highlight w:val="none"/>
          <w:shd w:val="clear" w:fill="FFFFFF"/>
          <w:lang w:val="en-US" w:eastAsia="zh-CN" w:bidi="ar-SA"/>
        </w:rPr>
        <w:t>28</w:t>
      </w:r>
      <w:r>
        <w:rPr>
          <w:rStyle w:val="15"/>
          <w:rFonts w:hint="default" w:ascii="仿宋_GB2312" w:hAnsi="仿宋_GB2312" w:eastAsia="仿宋_GB2312" w:cs="仿宋_GB2312"/>
          <w:b w:val="0"/>
          <w:bCs w:val="0"/>
          <w:i w:val="0"/>
          <w:iCs w:val="0"/>
          <w:caps w:val="0"/>
          <w:color w:val="auto"/>
          <w:spacing w:val="0"/>
          <w:kern w:val="2"/>
          <w:sz w:val="32"/>
          <w:szCs w:val="32"/>
          <w:highlight w:val="none"/>
          <w:shd w:val="clear" w:fill="FFFFFF"/>
          <w:lang w:val="en-US" w:eastAsia="zh-CN" w:bidi="ar-SA"/>
        </w:rPr>
        <w:t>年12</w:t>
      </w:r>
      <w:r>
        <w:rPr>
          <w:rFonts w:hint="default" w:ascii="仿宋_GB2312" w:hAnsi="仿宋_GB2312" w:eastAsia="仿宋_GB2312" w:cs="仿宋_GB2312"/>
          <w:i w:val="0"/>
          <w:iCs w:val="0"/>
          <w:caps w:val="0"/>
          <w:color w:val="auto"/>
          <w:spacing w:val="0"/>
          <w:kern w:val="2"/>
          <w:sz w:val="32"/>
          <w:szCs w:val="32"/>
          <w:highlight w:val="none"/>
          <w:shd w:val="clear" w:fill="FFFFFF"/>
          <w:lang w:val="en-US" w:eastAsia="zh-CN" w:bidi="ar-SA"/>
        </w:rPr>
        <w:t>月31日</w:t>
      </w:r>
      <w:r>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t>。</w:t>
      </w:r>
    </w:p>
    <w:p w14:paraId="7EEC3785">
      <w:pPr>
        <w:pStyle w:val="7"/>
        <w:keepNext w:val="0"/>
        <w:keepLines w:val="0"/>
        <w:widowControl/>
        <w:suppressLineNumbers w:val="0"/>
        <w:spacing w:beforeLines="0" w:after="0" w:line="560" w:lineRule="exact"/>
        <w:ind w:firstLine="640" w:firstLineChars="20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kern w:val="2"/>
          <w:sz w:val="32"/>
          <w:szCs w:val="32"/>
          <w:highlight w:val="none"/>
          <w:lang w:val="en-US" w:eastAsia="zh-CN" w:bidi="ar-SA"/>
        </w:rPr>
        <w:t>（</w:t>
      </w:r>
      <w:r>
        <w:rPr>
          <w:rFonts w:hint="eastAsia" w:ascii="仿宋_GB2312" w:hAnsi="仿宋_GB2312" w:eastAsia="仿宋_GB2312" w:cs="仿宋_GB2312"/>
          <w:color w:val="auto"/>
          <w:sz w:val="32"/>
          <w:szCs w:val="32"/>
          <w:highlight w:val="none"/>
          <w:lang w:val="en-US" w:eastAsia="zh-CN"/>
        </w:rPr>
        <w:t>六</w:t>
      </w:r>
      <w:r>
        <w:rPr>
          <w:rFonts w:hint="default" w:ascii="仿宋_GB2312" w:hAnsi="仿宋_GB2312" w:eastAsia="仿宋_GB2312" w:cs="仿宋_GB2312"/>
          <w:b w:val="0"/>
          <w:bCs w:val="0"/>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本指南由光明区人力资源局负责解释。</w:t>
      </w:r>
    </w:p>
    <w:p w14:paraId="04E52A01">
      <w:pPr>
        <w:pStyle w:val="7"/>
        <w:widowControl/>
        <w:spacing w:beforeLines="0" w:after="0" w:line="560" w:lineRule="exact"/>
        <w:ind w:firstLine="640" w:firstLineChars="200"/>
        <w:jc w:val="both"/>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pPr>
    </w:p>
    <w:p w14:paraId="2F343583">
      <w:pPr>
        <w:pStyle w:val="7"/>
        <w:widowControl/>
        <w:spacing w:beforeLines="0" w:after="0" w:line="560" w:lineRule="exact"/>
        <w:ind w:firstLine="640" w:firstLineChars="200"/>
        <w:jc w:val="both"/>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pPr>
    </w:p>
    <w:p w14:paraId="78C45420">
      <w:pPr>
        <w:pStyle w:val="7"/>
        <w:widowControl/>
        <w:spacing w:beforeLines="0" w:after="0" w:line="560" w:lineRule="exact"/>
        <w:ind w:firstLine="640" w:firstLineChars="200"/>
        <w:jc w:val="both"/>
        <w:rPr>
          <w:rFonts w:hint="default" w:ascii="仿宋_GB2312" w:hAnsi="仿宋_GB2312" w:eastAsia="仿宋_GB2312" w:cs="仿宋_GB2312"/>
          <w:i w:val="0"/>
          <w:iCs w:val="0"/>
          <w:caps w:val="0"/>
          <w:color w:val="auto"/>
          <w:spacing w:val="0"/>
          <w:kern w:val="2"/>
          <w:sz w:val="32"/>
          <w:szCs w:val="32"/>
          <w:highlight w:val="none"/>
          <w:shd w:val="clear" w:fill="FFFFFF"/>
          <w:lang w:val="en-US" w:eastAsia="zh-CN" w:bidi="ar-SA"/>
        </w:rPr>
      </w:pPr>
      <w:r>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t>附件：1.光明区企业职业技能等级认定补贴申请表</w:t>
      </w:r>
    </w:p>
    <w:p w14:paraId="2EFBA99E">
      <w:pPr>
        <w:pStyle w:val="7"/>
        <w:widowControl/>
        <w:spacing w:beforeLines="0" w:after="0" w:line="560" w:lineRule="exact"/>
        <w:ind w:firstLine="0" w:firstLineChars="0"/>
        <w:jc w:val="both"/>
        <w:rPr>
          <w:rFonts w:hint="default" w:ascii="仿宋_GB2312" w:hAnsi="仿宋_GB2312" w:eastAsia="仿宋_GB2312" w:cs="仿宋_GB2312"/>
          <w:i w:val="0"/>
          <w:iCs w:val="0"/>
          <w:caps w:val="0"/>
          <w:color w:val="auto"/>
          <w:spacing w:val="0"/>
          <w:kern w:val="2"/>
          <w:sz w:val="32"/>
          <w:szCs w:val="32"/>
          <w:highlight w:val="none"/>
          <w:shd w:val="clear" w:fill="FFFFFF"/>
          <w:lang w:val="en-US" w:eastAsia="zh-CN" w:bidi="ar-SA"/>
        </w:rPr>
        <w:sectPr>
          <w:footerReference r:id="rId3" w:type="default"/>
          <w:pgSz w:w="11906" w:h="16838"/>
          <w:pgMar w:top="1440" w:right="1440" w:bottom="1440" w:left="1440" w:header="851" w:footer="992" w:gutter="0"/>
          <w:pgNumType w:fmt="decimal"/>
          <w:cols w:space="425" w:num="1"/>
          <w:docGrid w:type="lines" w:linePitch="312" w:charSpace="0"/>
        </w:sectPr>
      </w:pPr>
      <w:r>
        <w:rPr>
          <w:rFonts w:hint="eastAsia" w:ascii="仿宋_GB2312" w:hAnsi="仿宋_GB2312" w:eastAsia="仿宋_GB2312" w:cs="仿宋_GB2312"/>
          <w:i w:val="0"/>
          <w:iCs w:val="0"/>
          <w:caps w:val="0"/>
          <w:color w:val="auto"/>
          <w:spacing w:val="0"/>
          <w:kern w:val="2"/>
          <w:sz w:val="32"/>
          <w:szCs w:val="32"/>
          <w:highlight w:val="none"/>
          <w:shd w:val="clear" w:fill="FFFFFF"/>
          <w:lang w:val="en-US" w:eastAsia="zh-CN" w:bidi="ar-SA"/>
        </w:rPr>
        <w:t xml:space="preserve">          2.光明区企业职业技能等级认定人员名单</w:t>
      </w:r>
    </w:p>
    <w:p w14:paraId="5258E3D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color w:val="auto"/>
          <w:sz w:val="44"/>
          <w:szCs w:val="44"/>
          <w:lang w:val="en-US" w:eastAsia="zh-CN"/>
        </w:rPr>
      </w:pPr>
      <w:r>
        <w:rPr>
          <w:rFonts w:hint="default" w:ascii="方正小标宋简体" w:hAnsi="方正小标宋简体" w:eastAsia="方正小标宋简体" w:cs="方正小标宋简体"/>
          <w:color w:val="auto"/>
          <w:sz w:val="44"/>
          <w:szCs w:val="44"/>
          <w:lang w:val="en-US" w:eastAsia="zh-CN"/>
        </w:rPr>
        <w:t>光明区</w:t>
      </w:r>
      <w:r>
        <w:rPr>
          <w:rFonts w:hint="eastAsia" w:ascii="方正小标宋简体" w:hAnsi="方正小标宋简体" w:eastAsia="方正小标宋简体" w:cs="方正小标宋简体"/>
          <w:color w:val="auto"/>
          <w:sz w:val="44"/>
          <w:szCs w:val="44"/>
          <w:lang w:val="en-US" w:eastAsia="zh-CN"/>
        </w:rPr>
        <w:t>企业职业技能等级认定补贴</w:t>
      </w:r>
    </w:p>
    <w:p w14:paraId="2CCA440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sz w:val="28"/>
          <w:szCs w:val="28"/>
          <w:u w:val="none"/>
          <w:lang w:val="en-US" w:eastAsia="zh-CN"/>
        </w:rPr>
      </w:pPr>
      <w:r>
        <w:rPr>
          <w:rFonts w:hint="default" w:ascii="方正小标宋简体" w:hAnsi="方正小标宋简体" w:eastAsia="方正小标宋简体" w:cs="方正小标宋简体"/>
          <w:color w:val="auto"/>
          <w:sz w:val="44"/>
          <w:szCs w:val="44"/>
          <w:lang w:val="en-US" w:eastAsia="zh-CN"/>
        </w:rPr>
        <w:t>申请表</w:t>
      </w:r>
    </w:p>
    <w:p w14:paraId="0959851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outlineLvl w:val="9"/>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填表日期：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tbl>
      <w:tblPr>
        <w:tblStyle w:val="13"/>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2"/>
        <w:gridCol w:w="3004"/>
        <w:gridCol w:w="1586"/>
        <w:gridCol w:w="3026"/>
      </w:tblGrid>
      <w:tr w14:paraId="1595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1572" w:type="dxa"/>
            <w:noWrap w:val="0"/>
            <w:vAlign w:val="center"/>
          </w:tcPr>
          <w:p w14:paraId="5E53CA2C">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企业名称</w:t>
            </w:r>
          </w:p>
        </w:tc>
        <w:tc>
          <w:tcPr>
            <w:tcW w:w="7616" w:type="dxa"/>
            <w:gridSpan w:val="3"/>
            <w:noWrap w:val="0"/>
            <w:vAlign w:val="center"/>
          </w:tcPr>
          <w:p w14:paraId="0CCDB282">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r>
      <w:tr w14:paraId="45FB4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72" w:type="dxa"/>
            <w:noWrap w:val="0"/>
            <w:vAlign w:val="center"/>
          </w:tcPr>
          <w:p w14:paraId="40577C41">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经营地址</w:t>
            </w:r>
          </w:p>
        </w:tc>
        <w:tc>
          <w:tcPr>
            <w:tcW w:w="7616" w:type="dxa"/>
            <w:gridSpan w:val="3"/>
            <w:noWrap w:val="0"/>
            <w:vAlign w:val="center"/>
          </w:tcPr>
          <w:p w14:paraId="27B3ECAB">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r>
      <w:tr w14:paraId="5F97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72" w:type="dxa"/>
            <w:noWrap w:val="0"/>
            <w:vAlign w:val="center"/>
          </w:tcPr>
          <w:p w14:paraId="3FDA0BFC">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color w:val="auto"/>
                <w:sz w:val="24"/>
                <w:lang w:val="en-US" w:eastAsia="zh-CN"/>
              </w:rPr>
              <w:t>组织机构代码\统一社会信用代码</w:t>
            </w:r>
          </w:p>
        </w:tc>
        <w:tc>
          <w:tcPr>
            <w:tcW w:w="3004" w:type="dxa"/>
            <w:noWrap w:val="0"/>
            <w:vAlign w:val="center"/>
          </w:tcPr>
          <w:p w14:paraId="2CEFC749">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c>
          <w:tcPr>
            <w:tcW w:w="1586" w:type="dxa"/>
            <w:noWrap w:val="0"/>
            <w:vAlign w:val="center"/>
          </w:tcPr>
          <w:p w14:paraId="0FCB6E27">
            <w:pPr>
              <w:keepNext w:val="0"/>
              <w:keepLines w:val="0"/>
              <w:pageBreakBefore w:val="0"/>
              <w:kinsoku/>
              <w:wordWrap/>
              <w:overflowPunct/>
              <w:topLinePunct w:val="0"/>
              <w:autoSpaceDE/>
              <w:autoSpaceDN/>
              <w:bidi w:val="0"/>
              <w:adjustRightInd/>
              <w:snapToGrid/>
              <w:spacing w:line="0" w:lineRule="atLeast"/>
              <w:ind w:left="0" w:leftChars="0" w:right="113" w:firstLine="0" w:firstLineChars="0"/>
              <w:jc w:val="center"/>
              <w:textAlignment w:val="auto"/>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b w:val="0"/>
                <w:bCs w:val="0"/>
                <w:color w:val="auto"/>
                <w:sz w:val="24"/>
                <w:lang w:val="en-US" w:eastAsia="zh-CN"/>
              </w:rPr>
              <w:t>企业在深参保</w:t>
            </w:r>
            <w:r>
              <w:rPr>
                <w:rFonts w:hint="eastAsia" w:ascii="仿宋_GB2312" w:hAnsi="仿宋_GB2312" w:eastAsia="仿宋_GB2312" w:cs="仿宋_GB2312"/>
                <w:color w:val="auto"/>
                <w:sz w:val="24"/>
                <w:lang w:eastAsia="zh-CN"/>
              </w:rPr>
              <w:t>职工总人数</w:t>
            </w:r>
          </w:p>
        </w:tc>
        <w:tc>
          <w:tcPr>
            <w:tcW w:w="3026" w:type="dxa"/>
            <w:noWrap w:val="0"/>
            <w:vAlign w:val="center"/>
          </w:tcPr>
          <w:p w14:paraId="45244B0F">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r>
      <w:tr w14:paraId="0092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72" w:type="dxa"/>
            <w:noWrap w:val="0"/>
            <w:vAlign w:val="center"/>
          </w:tcPr>
          <w:p w14:paraId="6EEBC416">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职业技能等级认定人数</w:t>
            </w:r>
          </w:p>
        </w:tc>
        <w:tc>
          <w:tcPr>
            <w:tcW w:w="3004" w:type="dxa"/>
            <w:noWrap w:val="0"/>
            <w:vAlign w:val="center"/>
          </w:tcPr>
          <w:p w14:paraId="7034C7EA">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c>
          <w:tcPr>
            <w:tcW w:w="1586" w:type="dxa"/>
            <w:noWrap w:val="0"/>
            <w:vAlign w:val="center"/>
          </w:tcPr>
          <w:p w14:paraId="42B14C8C">
            <w:pPr>
              <w:keepNext w:val="0"/>
              <w:keepLines w:val="0"/>
              <w:pageBreakBefore w:val="0"/>
              <w:kinsoku/>
              <w:wordWrap/>
              <w:overflowPunct/>
              <w:topLinePunct w:val="0"/>
              <w:autoSpaceDE/>
              <w:autoSpaceDN/>
              <w:bidi w:val="0"/>
              <w:adjustRightInd/>
              <w:snapToGrid/>
              <w:spacing w:line="0" w:lineRule="atLeast"/>
              <w:ind w:left="0" w:leftChars="0" w:right="113"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申请补贴</w:t>
            </w:r>
          </w:p>
          <w:p w14:paraId="69BE2D9F">
            <w:pPr>
              <w:keepNext w:val="0"/>
              <w:keepLines w:val="0"/>
              <w:pageBreakBefore w:val="0"/>
              <w:kinsoku/>
              <w:wordWrap/>
              <w:overflowPunct/>
              <w:topLinePunct w:val="0"/>
              <w:autoSpaceDE/>
              <w:autoSpaceDN/>
              <w:bidi w:val="0"/>
              <w:adjustRightInd/>
              <w:snapToGrid/>
              <w:spacing w:line="0" w:lineRule="atLeast"/>
              <w:ind w:left="0" w:leftChars="0" w:right="113"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金额</w:t>
            </w:r>
          </w:p>
        </w:tc>
        <w:tc>
          <w:tcPr>
            <w:tcW w:w="3026" w:type="dxa"/>
            <w:noWrap w:val="0"/>
            <w:vAlign w:val="center"/>
          </w:tcPr>
          <w:p w14:paraId="2D907B9B">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r>
      <w:tr w14:paraId="6D16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72" w:type="dxa"/>
            <w:noWrap w:val="0"/>
            <w:vAlign w:val="center"/>
          </w:tcPr>
          <w:p w14:paraId="2E6363CF">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单位开户</w:t>
            </w:r>
          </w:p>
          <w:p w14:paraId="6920E8A8">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银行</w:t>
            </w:r>
          </w:p>
        </w:tc>
        <w:tc>
          <w:tcPr>
            <w:tcW w:w="3004" w:type="dxa"/>
            <w:noWrap w:val="0"/>
            <w:vAlign w:val="center"/>
          </w:tcPr>
          <w:p w14:paraId="096F9179">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color w:val="auto"/>
                <w:sz w:val="24"/>
              </w:rPr>
            </w:pPr>
          </w:p>
        </w:tc>
        <w:tc>
          <w:tcPr>
            <w:tcW w:w="1586" w:type="dxa"/>
            <w:noWrap w:val="0"/>
            <w:vAlign w:val="center"/>
          </w:tcPr>
          <w:p w14:paraId="020B108B">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银行账号</w:t>
            </w:r>
          </w:p>
        </w:tc>
        <w:tc>
          <w:tcPr>
            <w:tcW w:w="3026" w:type="dxa"/>
            <w:noWrap w:val="0"/>
            <w:vAlign w:val="center"/>
          </w:tcPr>
          <w:p w14:paraId="4F063F74">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r>
      <w:tr w14:paraId="0055D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72" w:type="dxa"/>
            <w:noWrap w:val="0"/>
            <w:vAlign w:val="center"/>
          </w:tcPr>
          <w:p w14:paraId="58509E43">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法人姓名</w:t>
            </w:r>
          </w:p>
        </w:tc>
        <w:tc>
          <w:tcPr>
            <w:tcW w:w="3004" w:type="dxa"/>
            <w:noWrap w:val="0"/>
            <w:vAlign w:val="center"/>
          </w:tcPr>
          <w:p w14:paraId="65710B42">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color w:val="auto"/>
                <w:sz w:val="24"/>
              </w:rPr>
            </w:pPr>
          </w:p>
        </w:tc>
        <w:tc>
          <w:tcPr>
            <w:tcW w:w="1586" w:type="dxa"/>
            <w:noWrap w:val="0"/>
            <w:vAlign w:val="center"/>
          </w:tcPr>
          <w:p w14:paraId="7374AC18">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联系电话</w:t>
            </w:r>
          </w:p>
        </w:tc>
        <w:tc>
          <w:tcPr>
            <w:tcW w:w="3026" w:type="dxa"/>
            <w:noWrap w:val="0"/>
            <w:vAlign w:val="center"/>
          </w:tcPr>
          <w:p w14:paraId="4F403879">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r>
      <w:tr w14:paraId="3D6E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72" w:type="dxa"/>
            <w:noWrap w:val="0"/>
            <w:vAlign w:val="center"/>
          </w:tcPr>
          <w:p w14:paraId="47D08FED">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b w:val="0"/>
                <w:bCs w:val="0"/>
                <w:color w:val="auto"/>
                <w:sz w:val="24"/>
                <w:lang w:val="en-US" w:eastAsia="zh-CN"/>
              </w:rPr>
            </w:pPr>
            <w:r>
              <w:rPr>
                <w:rFonts w:hint="eastAsia" w:ascii="仿宋_GB2312" w:hAnsi="仿宋_GB2312" w:eastAsia="仿宋_GB2312" w:cs="仿宋_GB2312"/>
                <w:b w:val="0"/>
                <w:bCs w:val="0"/>
                <w:color w:val="auto"/>
                <w:sz w:val="24"/>
                <w:lang w:val="en-US" w:eastAsia="zh-CN"/>
              </w:rPr>
              <w:t>经办人姓名</w:t>
            </w:r>
          </w:p>
        </w:tc>
        <w:tc>
          <w:tcPr>
            <w:tcW w:w="3004" w:type="dxa"/>
            <w:noWrap w:val="0"/>
            <w:vAlign w:val="center"/>
          </w:tcPr>
          <w:p w14:paraId="63226F25">
            <w:pPr>
              <w:keepNext w:val="0"/>
              <w:keepLines w:val="0"/>
              <w:pageBreakBefore w:val="0"/>
              <w:kinsoku/>
              <w:wordWrap/>
              <w:overflowPunct/>
              <w:topLinePunct w:val="0"/>
              <w:autoSpaceDE/>
              <w:autoSpaceDN/>
              <w:bidi w:val="0"/>
              <w:adjustRightInd/>
              <w:snapToGrid/>
              <w:spacing w:line="0" w:lineRule="atLeast"/>
              <w:ind w:firstLine="480" w:firstLineChars="200"/>
              <w:jc w:val="center"/>
              <w:textAlignment w:val="auto"/>
              <w:rPr>
                <w:rFonts w:hint="eastAsia" w:ascii="仿宋_GB2312" w:hAnsi="仿宋_GB2312" w:eastAsia="仿宋_GB2312" w:cs="仿宋_GB2312"/>
                <w:color w:val="auto"/>
                <w:sz w:val="24"/>
              </w:rPr>
            </w:pPr>
          </w:p>
        </w:tc>
        <w:tc>
          <w:tcPr>
            <w:tcW w:w="1586" w:type="dxa"/>
            <w:noWrap w:val="0"/>
            <w:vAlign w:val="center"/>
          </w:tcPr>
          <w:p w14:paraId="03FEACC7">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联系电话</w:t>
            </w:r>
          </w:p>
        </w:tc>
        <w:tc>
          <w:tcPr>
            <w:tcW w:w="3026" w:type="dxa"/>
            <w:noWrap w:val="0"/>
            <w:vAlign w:val="center"/>
          </w:tcPr>
          <w:p w14:paraId="2006A3E5">
            <w:pPr>
              <w:keepNext w:val="0"/>
              <w:keepLines w:val="0"/>
              <w:pageBreakBefore w:val="0"/>
              <w:kinsoku/>
              <w:wordWrap/>
              <w:overflowPunct/>
              <w:topLinePunct w:val="0"/>
              <w:autoSpaceDE/>
              <w:autoSpaceDN/>
              <w:bidi w:val="0"/>
              <w:adjustRightInd/>
              <w:snapToGrid/>
              <w:spacing w:line="0" w:lineRule="atLeast"/>
              <w:ind w:left="113" w:right="113"/>
              <w:jc w:val="center"/>
              <w:textAlignment w:val="auto"/>
              <w:rPr>
                <w:rFonts w:hint="eastAsia" w:ascii="仿宋_GB2312" w:hAnsi="仿宋_GB2312" w:eastAsia="仿宋_GB2312" w:cs="仿宋_GB2312"/>
                <w:color w:val="auto"/>
                <w:sz w:val="24"/>
              </w:rPr>
            </w:pPr>
          </w:p>
        </w:tc>
      </w:tr>
      <w:tr w14:paraId="50CA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5" w:hRule="atLeast"/>
          <w:jc w:val="center"/>
        </w:trPr>
        <w:tc>
          <w:tcPr>
            <w:tcW w:w="1572" w:type="dxa"/>
            <w:noWrap w:val="0"/>
            <w:vAlign w:val="center"/>
          </w:tcPr>
          <w:p w14:paraId="29FFF470">
            <w:pPr>
              <w:keepNext w:val="0"/>
              <w:keepLines w:val="0"/>
              <w:pageBreakBefore w:val="0"/>
              <w:widowControl/>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color w:val="auto"/>
                <w:sz w:val="24"/>
              </w:rPr>
            </w:pPr>
            <w:r>
              <w:rPr>
                <w:rFonts w:hint="eastAsia" w:ascii="仿宋_GB2312" w:hAnsi="仿宋_GB2312" w:eastAsia="仿宋_GB2312" w:cs="仿宋_GB2312"/>
                <w:bCs/>
                <w:color w:val="auto"/>
                <w:kern w:val="0"/>
                <w:sz w:val="24"/>
                <w:lang w:val="en-US" w:eastAsia="zh-CN"/>
              </w:rPr>
              <w:t>企业承诺</w:t>
            </w:r>
          </w:p>
        </w:tc>
        <w:tc>
          <w:tcPr>
            <w:tcW w:w="7616" w:type="dxa"/>
            <w:gridSpan w:val="3"/>
            <w:noWrap w:val="0"/>
            <w:vAlign w:val="center"/>
          </w:tcPr>
          <w:p w14:paraId="084E647E">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0" w:firstLineChars="200"/>
              <w:jc w:val="left"/>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本单位承诺提交的材料真实有效，如有虚假，本单位愿意退回所领取补贴，并接受法律法规及有关政策规定的处理。</w:t>
            </w:r>
          </w:p>
          <w:p w14:paraId="6D001615">
            <w:pPr>
              <w:keepNext w:val="0"/>
              <w:keepLines w:val="0"/>
              <w:pageBreakBefore w:val="0"/>
              <w:widowControl w:val="0"/>
              <w:numPr>
                <w:ilvl w:val="0"/>
                <w:numId w:val="0"/>
              </w:numPr>
              <w:kinsoku/>
              <w:wordWrap/>
              <w:overflowPunct/>
              <w:topLinePunct w:val="0"/>
              <w:autoSpaceDE/>
              <w:autoSpaceDN/>
              <w:bidi w:val="0"/>
              <w:adjustRightInd/>
              <w:snapToGrid/>
              <w:spacing w:line="0" w:lineRule="atLeast"/>
              <w:ind w:firstLine="480" w:firstLineChars="200"/>
              <w:textAlignment w:val="auto"/>
              <w:rPr>
                <w:rFonts w:hint="eastAsia" w:ascii="仿宋_GB2312" w:hAnsi="仿宋_GB2312" w:eastAsia="仿宋_GB2312" w:cs="仿宋_GB2312"/>
                <w:color w:val="auto"/>
                <w:sz w:val="24"/>
                <w:szCs w:val="24"/>
                <w:lang w:val="en-US" w:eastAsia="zh-CN"/>
              </w:rPr>
            </w:pPr>
          </w:p>
          <w:p w14:paraId="7144B557">
            <w:pPr>
              <w:keepNext w:val="0"/>
              <w:keepLines w:val="0"/>
              <w:pageBreakBefore w:val="0"/>
              <w:kinsoku/>
              <w:wordWrap/>
              <w:overflowPunct/>
              <w:topLinePunct w:val="0"/>
              <w:autoSpaceDE/>
              <w:autoSpaceDN/>
              <w:bidi w:val="0"/>
              <w:adjustRightInd/>
              <w:snapToGrid/>
              <w:spacing w:line="0" w:lineRule="atLeast"/>
              <w:ind w:firstLine="2880" w:firstLineChars="1200"/>
              <w:textAlignment w:val="auto"/>
              <w:rPr>
                <w:rFonts w:hint="eastAsia" w:ascii="仿宋_GB2312" w:hAnsi="仿宋_GB2312" w:eastAsia="仿宋_GB2312" w:cs="仿宋_GB2312"/>
                <w:color w:val="auto"/>
                <w:sz w:val="24"/>
                <w:lang w:val="en-US" w:eastAsia="zh-CN"/>
              </w:rPr>
            </w:pPr>
          </w:p>
          <w:p w14:paraId="51B8C2EA">
            <w:pPr>
              <w:keepNext w:val="0"/>
              <w:keepLines w:val="0"/>
              <w:pageBreakBefore w:val="0"/>
              <w:kinsoku/>
              <w:wordWrap/>
              <w:overflowPunct/>
              <w:topLinePunct w:val="0"/>
              <w:autoSpaceDE/>
              <w:autoSpaceDN/>
              <w:bidi w:val="0"/>
              <w:adjustRightInd/>
              <w:snapToGrid/>
              <w:spacing w:line="0" w:lineRule="atLeast"/>
              <w:ind w:left="0" w:leftChars="0" w:firstLine="3120" w:firstLineChars="1300"/>
              <w:textAlignment w:val="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负责人签名：          </w:t>
            </w:r>
          </w:p>
          <w:p w14:paraId="2FAA7A28">
            <w:pPr>
              <w:keepNext w:val="0"/>
              <w:keepLines w:val="0"/>
              <w:pageBreakBefore w:val="0"/>
              <w:kinsoku/>
              <w:wordWrap/>
              <w:overflowPunct/>
              <w:topLinePunct w:val="0"/>
              <w:autoSpaceDE/>
              <w:autoSpaceDN/>
              <w:bidi w:val="0"/>
              <w:adjustRightInd/>
              <w:snapToGrid/>
              <w:spacing w:line="0" w:lineRule="atLeast"/>
              <w:ind w:firstLine="3840" w:firstLineChars="16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lang w:val="en-US" w:eastAsia="zh-CN"/>
              </w:rPr>
              <w:t xml:space="preserve">单位：（签章） </w:t>
            </w:r>
            <w:r>
              <w:rPr>
                <w:rFonts w:hint="eastAsia" w:ascii="仿宋_GB2312" w:hAnsi="仿宋_GB2312" w:eastAsia="仿宋_GB2312" w:cs="仿宋_GB2312"/>
                <w:color w:val="auto"/>
                <w:sz w:val="24"/>
                <w:szCs w:val="24"/>
                <w:lang w:val="en-US" w:eastAsia="zh-CN"/>
              </w:rPr>
              <w:t xml:space="preserve">       </w:t>
            </w:r>
          </w:p>
          <w:p w14:paraId="3C4FDB6F">
            <w:pPr>
              <w:keepNext w:val="0"/>
              <w:keepLines w:val="0"/>
              <w:pageBreakBefore w:val="0"/>
              <w:kinsoku/>
              <w:wordWrap/>
              <w:overflowPunct/>
              <w:topLinePunct w:val="0"/>
              <w:autoSpaceDE/>
              <w:autoSpaceDN/>
              <w:bidi w:val="0"/>
              <w:adjustRightInd/>
              <w:snapToGrid/>
              <w:spacing w:line="0" w:lineRule="atLeast"/>
              <w:ind w:left="0" w:leftChars="0" w:firstLine="0" w:firstLineChars="0"/>
              <w:jc w:val="center"/>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lang w:val="en-US" w:eastAsia="zh-CN"/>
              </w:rPr>
              <w:t>年     月     日</w:t>
            </w:r>
          </w:p>
        </w:tc>
      </w:tr>
    </w:tbl>
    <w:p w14:paraId="6CCE9381">
      <w:pPr>
        <w:keepNext w:val="0"/>
        <w:keepLines w:val="0"/>
        <w:pageBreakBefore w:val="0"/>
        <w:widowControl/>
        <w:kinsoku/>
        <w:wordWrap/>
        <w:overflowPunct/>
        <w:topLinePunct w:val="0"/>
        <w:autoSpaceDE/>
        <w:autoSpaceDN/>
        <w:bidi w:val="0"/>
        <w:adjustRightInd/>
        <w:snapToGrid/>
        <w:spacing w:beforeLines="-2147483648" w:afterLines="-2147483648" w:line="240" w:lineRule="auto"/>
        <w:ind w:firstLine="0" w:firstLineChars="0"/>
        <w:textAlignment w:val="auto"/>
        <w:rPr>
          <w:rFonts w:hint="eastAsia" w:ascii="仿宋_GB2312" w:hAnsi="仿宋_GB2312" w:eastAsia="仿宋_GB2312" w:cs="仿宋_GB2312"/>
          <w:color w:val="auto"/>
          <w:sz w:val="28"/>
          <w:szCs w:val="28"/>
        </w:rPr>
        <w:sectPr>
          <w:pgSz w:w="11906" w:h="16838"/>
          <w:pgMar w:top="1440" w:right="1800" w:bottom="1440" w:left="1800" w:header="851" w:footer="992" w:gutter="0"/>
          <w:pgNumType w:fmt="decimal"/>
          <w:cols w:space="425" w:num="1"/>
          <w:docGrid w:type="lines" w:linePitch="312" w:charSpace="0"/>
        </w:sectPr>
      </w:pPr>
    </w:p>
    <w:p w14:paraId="25FBE19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default"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光明区企业职业技能等级认定人员名单</w:t>
      </w:r>
    </w:p>
    <w:p w14:paraId="621E65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both"/>
        <w:textAlignment w:val="auto"/>
        <w:outlineLvl w:val="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 xml:space="preserve">申请单位（公章）：                                   </w:t>
      </w:r>
      <w:r>
        <w:rPr>
          <w:rFonts w:hint="eastAsia" w:ascii="宋体" w:hAnsi="宋体" w:eastAsia="宋体" w:cs="宋体"/>
          <w:color w:val="auto"/>
          <w:sz w:val="24"/>
          <w:szCs w:val="24"/>
          <w:u w:val="none"/>
          <w:lang w:val="en-US" w:eastAsia="zh-CN"/>
        </w:rPr>
        <w:t xml:space="preserve">                    </w:t>
      </w:r>
      <w:r>
        <w:rPr>
          <w:rFonts w:hint="eastAsia" w:ascii="宋体" w:hAnsi="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填表时间：    年   月   日</w:t>
      </w:r>
    </w:p>
    <w:tbl>
      <w:tblPr>
        <w:tblStyle w:val="14"/>
        <w:tblW w:w="14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264"/>
        <w:gridCol w:w="2450"/>
        <w:gridCol w:w="2039"/>
        <w:gridCol w:w="1663"/>
        <w:gridCol w:w="1405"/>
        <w:gridCol w:w="1413"/>
        <w:gridCol w:w="1632"/>
        <w:gridCol w:w="1632"/>
      </w:tblGrid>
      <w:tr w14:paraId="2CD96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845" w:type="dxa"/>
            <w:noWrap w:val="0"/>
            <w:vAlign w:val="center"/>
          </w:tcPr>
          <w:p w14:paraId="5BE3AFF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序号</w:t>
            </w:r>
          </w:p>
        </w:tc>
        <w:tc>
          <w:tcPr>
            <w:tcW w:w="1264" w:type="dxa"/>
            <w:noWrap w:val="0"/>
            <w:vAlign w:val="center"/>
          </w:tcPr>
          <w:p w14:paraId="0A0F2DE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姓名</w:t>
            </w:r>
          </w:p>
        </w:tc>
        <w:tc>
          <w:tcPr>
            <w:tcW w:w="2450" w:type="dxa"/>
            <w:noWrap w:val="0"/>
            <w:vAlign w:val="center"/>
          </w:tcPr>
          <w:p w14:paraId="1F4ED9A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身份证号码</w:t>
            </w:r>
          </w:p>
        </w:tc>
        <w:tc>
          <w:tcPr>
            <w:tcW w:w="2039" w:type="dxa"/>
            <w:noWrap w:val="0"/>
            <w:vAlign w:val="center"/>
          </w:tcPr>
          <w:p w14:paraId="1E3CBD9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手机号码</w:t>
            </w:r>
          </w:p>
        </w:tc>
        <w:tc>
          <w:tcPr>
            <w:tcW w:w="1663" w:type="dxa"/>
            <w:noWrap w:val="0"/>
            <w:vAlign w:val="center"/>
          </w:tcPr>
          <w:p w14:paraId="156DC84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职业（工种）名称</w:t>
            </w:r>
          </w:p>
        </w:tc>
        <w:tc>
          <w:tcPr>
            <w:tcW w:w="1405" w:type="dxa"/>
            <w:noWrap w:val="0"/>
            <w:vAlign w:val="center"/>
          </w:tcPr>
          <w:p w14:paraId="7F6AC11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等级</w:t>
            </w:r>
          </w:p>
        </w:tc>
        <w:tc>
          <w:tcPr>
            <w:tcW w:w="1413" w:type="dxa"/>
            <w:noWrap w:val="0"/>
            <w:vAlign w:val="center"/>
          </w:tcPr>
          <w:p w14:paraId="1C6F6D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证书号</w:t>
            </w:r>
          </w:p>
        </w:tc>
        <w:tc>
          <w:tcPr>
            <w:tcW w:w="1632" w:type="dxa"/>
            <w:noWrap w:val="0"/>
            <w:vAlign w:val="center"/>
          </w:tcPr>
          <w:p w14:paraId="3DDAC33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参保单位</w:t>
            </w:r>
          </w:p>
        </w:tc>
        <w:tc>
          <w:tcPr>
            <w:tcW w:w="1632" w:type="dxa"/>
            <w:noWrap w:val="0"/>
            <w:vAlign w:val="center"/>
          </w:tcPr>
          <w:p w14:paraId="0813B6A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备注</w:t>
            </w:r>
          </w:p>
        </w:tc>
      </w:tr>
      <w:tr w14:paraId="4AD3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3A48A49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264" w:type="dxa"/>
            <w:noWrap w:val="0"/>
            <w:vAlign w:val="top"/>
          </w:tcPr>
          <w:p w14:paraId="5DCAE62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723DBA5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7976ED0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020D84C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3EFE538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6F2951F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58A1B619">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5DBF70B8">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5719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2803C8F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1264" w:type="dxa"/>
            <w:noWrap w:val="0"/>
            <w:vAlign w:val="top"/>
          </w:tcPr>
          <w:p w14:paraId="18BC1E0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7733767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5C85016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6DABEFC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436D968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34B65039">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4936AC7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4650924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731F7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4FB4C93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w:t>
            </w:r>
          </w:p>
        </w:tc>
        <w:tc>
          <w:tcPr>
            <w:tcW w:w="1264" w:type="dxa"/>
            <w:noWrap w:val="0"/>
            <w:vAlign w:val="top"/>
          </w:tcPr>
          <w:p w14:paraId="39078E4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332A580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57A4DF8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345D999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1FCCCE4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44C56F1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27DC001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0483EF0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19100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49892A9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w:t>
            </w:r>
          </w:p>
        </w:tc>
        <w:tc>
          <w:tcPr>
            <w:tcW w:w="1264" w:type="dxa"/>
            <w:noWrap w:val="0"/>
            <w:vAlign w:val="top"/>
          </w:tcPr>
          <w:p w14:paraId="0AC1085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1BA7A8A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711263E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4747CC5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28A3322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66CE6029">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1E85B89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2726083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3A88C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2D02D58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w:t>
            </w:r>
          </w:p>
        </w:tc>
        <w:tc>
          <w:tcPr>
            <w:tcW w:w="1264" w:type="dxa"/>
            <w:noWrap w:val="0"/>
            <w:vAlign w:val="top"/>
          </w:tcPr>
          <w:p w14:paraId="02C939B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1231DD8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1D2F439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529A555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4A7A893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66437A6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173C8C4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651C971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2116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1746BEC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w:t>
            </w:r>
          </w:p>
        </w:tc>
        <w:tc>
          <w:tcPr>
            <w:tcW w:w="1264" w:type="dxa"/>
            <w:noWrap w:val="0"/>
            <w:vAlign w:val="top"/>
          </w:tcPr>
          <w:p w14:paraId="37052A8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42B56C3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5A7ED08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6A46CFF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7E17C8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0FF6E9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701AA16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1F504AD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294E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27426E2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w:t>
            </w:r>
          </w:p>
        </w:tc>
        <w:tc>
          <w:tcPr>
            <w:tcW w:w="1264" w:type="dxa"/>
            <w:noWrap w:val="0"/>
            <w:vAlign w:val="top"/>
          </w:tcPr>
          <w:p w14:paraId="762B33B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124E6A1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36F6BAB9">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7896C76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76BABBE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242EACC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0588F28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32F6D21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2ED7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6104138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w:t>
            </w:r>
          </w:p>
        </w:tc>
        <w:tc>
          <w:tcPr>
            <w:tcW w:w="1264" w:type="dxa"/>
            <w:noWrap w:val="0"/>
            <w:vAlign w:val="top"/>
          </w:tcPr>
          <w:p w14:paraId="3841598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16E9D23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12DCC2A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26515A2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38497D1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7ABFB40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7345B77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1EE84C88">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3A149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50A0157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9</w:t>
            </w:r>
          </w:p>
        </w:tc>
        <w:tc>
          <w:tcPr>
            <w:tcW w:w="1264" w:type="dxa"/>
            <w:noWrap w:val="0"/>
            <w:vAlign w:val="top"/>
          </w:tcPr>
          <w:p w14:paraId="3136CA9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0F7F2C9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50A9BB5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29DF3EE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18458E9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63B6401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050E9C4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1958043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r w14:paraId="4584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5" w:type="dxa"/>
            <w:noWrap w:val="0"/>
            <w:vAlign w:val="center"/>
          </w:tcPr>
          <w:p w14:paraId="1E27946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10</w:t>
            </w:r>
          </w:p>
        </w:tc>
        <w:tc>
          <w:tcPr>
            <w:tcW w:w="1264" w:type="dxa"/>
            <w:noWrap w:val="0"/>
            <w:vAlign w:val="top"/>
          </w:tcPr>
          <w:p w14:paraId="4C94445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450" w:type="dxa"/>
            <w:noWrap w:val="0"/>
            <w:vAlign w:val="top"/>
          </w:tcPr>
          <w:p w14:paraId="6486608A">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2039" w:type="dxa"/>
            <w:noWrap w:val="0"/>
            <w:vAlign w:val="top"/>
          </w:tcPr>
          <w:p w14:paraId="5CB3087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63" w:type="dxa"/>
            <w:noWrap w:val="0"/>
            <w:vAlign w:val="top"/>
          </w:tcPr>
          <w:p w14:paraId="4A20EED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05" w:type="dxa"/>
            <w:noWrap w:val="0"/>
            <w:vAlign w:val="top"/>
          </w:tcPr>
          <w:p w14:paraId="3340499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413" w:type="dxa"/>
            <w:noWrap w:val="0"/>
            <w:vAlign w:val="top"/>
          </w:tcPr>
          <w:p w14:paraId="634F2D28">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1DCCD8B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c>
          <w:tcPr>
            <w:tcW w:w="1632" w:type="dxa"/>
            <w:noWrap w:val="0"/>
            <w:vAlign w:val="top"/>
          </w:tcPr>
          <w:p w14:paraId="355F9020">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vertAlign w:val="baseline"/>
                <w:lang w:val="en-US" w:eastAsia="zh-CN"/>
              </w:rPr>
            </w:pPr>
          </w:p>
        </w:tc>
      </w:tr>
    </w:tbl>
    <w:p w14:paraId="34887D4A">
      <w:pPr>
        <w:pStyle w:val="2"/>
        <w:ind w:left="0" w:leftChars="0" w:firstLine="0" w:firstLineChars="0"/>
        <w:rPr>
          <w:rFonts w:hint="eastAsia" w:ascii="仿宋_GB2312" w:hAnsi="仿宋_GB2312" w:eastAsia="仿宋_GB2312" w:cs="仿宋_GB2312"/>
          <w:color w:val="auto"/>
          <w:sz w:val="28"/>
          <w:szCs w:val="28"/>
        </w:rPr>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F"/>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altName w:val="noto sans thai"/>
    <w:panose1 w:val="00000000000000000000"/>
    <w:charset w:val="00"/>
    <w:family w:val="auto"/>
    <w:pitch w:val="default"/>
    <w:sig w:usb0="00000000" w:usb1="00000000" w:usb2="00000000" w:usb3="00000000" w:csb0="00000000" w:csb1="00000000"/>
  </w:font>
  <w:font w:name="noto sans thai">
    <w:panose1 w:val="020B0502040504020204"/>
    <w:charset w:val="00"/>
    <w:family w:val="auto"/>
    <w:pitch w:val="default"/>
    <w:sig w:usb0="81000063" w:usb1="00002000" w:usb2="00000000" w:usb3="00000000" w:csb0="00010000" w:csb1="00000000"/>
  </w:font>
  <w:font w:name="创艺简标宋">
    <w:altName w:val="方正小标宋简体"/>
    <w:panose1 w:val="00000000000000000000"/>
    <w:charset w:val="00"/>
    <w:family w:val="auto"/>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A8AA2">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03467">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503467">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0BFA1D0C"/>
    <w:rsid w:val="0D7D1021"/>
    <w:rsid w:val="0EFB4E33"/>
    <w:rsid w:val="17EE921D"/>
    <w:rsid w:val="1D7FB12C"/>
    <w:rsid w:val="1DBF334D"/>
    <w:rsid w:val="1F5E10F1"/>
    <w:rsid w:val="1FCB9C8B"/>
    <w:rsid w:val="287FD83E"/>
    <w:rsid w:val="2CFF5F88"/>
    <w:rsid w:val="2D2EAB07"/>
    <w:rsid w:val="2F8F283B"/>
    <w:rsid w:val="2FD90972"/>
    <w:rsid w:val="2FEB9A01"/>
    <w:rsid w:val="2FF5C7BE"/>
    <w:rsid w:val="31F944C9"/>
    <w:rsid w:val="36CC3EC1"/>
    <w:rsid w:val="37DFD89C"/>
    <w:rsid w:val="37FFCD7B"/>
    <w:rsid w:val="3BF7867A"/>
    <w:rsid w:val="3D9FD34F"/>
    <w:rsid w:val="3EAD9AF4"/>
    <w:rsid w:val="3EFE3551"/>
    <w:rsid w:val="3F4EA9DD"/>
    <w:rsid w:val="3FA79990"/>
    <w:rsid w:val="3FB7EF9F"/>
    <w:rsid w:val="3FEE14C1"/>
    <w:rsid w:val="3FF5891C"/>
    <w:rsid w:val="3FFB6504"/>
    <w:rsid w:val="4197238F"/>
    <w:rsid w:val="41FBE723"/>
    <w:rsid w:val="4273F9EC"/>
    <w:rsid w:val="42F7ED0C"/>
    <w:rsid w:val="43DA93E0"/>
    <w:rsid w:val="4A1947CF"/>
    <w:rsid w:val="4DCB0D12"/>
    <w:rsid w:val="4F1A790A"/>
    <w:rsid w:val="4F7DF45E"/>
    <w:rsid w:val="4FBF10CF"/>
    <w:rsid w:val="4FFE56DB"/>
    <w:rsid w:val="51F4D8B5"/>
    <w:rsid w:val="557FE34D"/>
    <w:rsid w:val="56F7858E"/>
    <w:rsid w:val="579FF14C"/>
    <w:rsid w:val="57F37AD9"/>
    <w:rsid w:val="57F783E3"/>
    <w:rsid w:val="5AEFF6B2"/>
    <w:rsid w:val="5AFF686D"/>
    <w:rsid w:val="5B5D6AA3"/>
    <w:rsid w:val="5B9E65C6"/>
    <w:rsid w:val="5BB1076E"/>
    <w:rsid w:val="5BB569E6"/>
    <w:rsid w:val="5BEF3850"/>
    <w:rsid w:val="5BFD8494"/>
    <w:rsid w:val="5C5B1012"/>
    <w:rsid w:val="5D332711"/>
    <w:rsid w:val="5DAF5ED1"/>
    <w:rsid w:val="5DFFD92A"/>
    <w:rsid w:val="5EF645C9"/>
    <w:rsid w:val="5F27A7A5"/>
    <w:rsid w:val="5F7A5761"/>
    <w:rsid w:val="5F7DBD5F"/>
    <w:rsid w:val="5FC7025E"/>
    <w:rsid w:val="5FCF332E"/>
    <w:rsid w:val="5FFDFDBF"/>
    <w:rsid w:val="5FFF4A5A"/>
    <w:rsid w:val="63DFDE0C"/>
    <w:rsid w:val="65FB6745"/>
    <w:rsid w:val="677D5A5D"/>
    <w:rsid w:val="67F63D9E"/>
    <w:rsid w:val="67FF8ACF"/>
    <w:rsid w:val="69FBF927"/>
    <w:rsid w:val="69FDEEE0"/>
    <w:rsid w:val="69FDF26D"/>
    <w:rsid w:val="6B692622"/>
    <w:rsid w:val="6BFD4D6F"/>
    <w:rsid w:val="6CFF8916"/>
    <w:rsid w:val="6D4C0155"/>
    <w:rsid w:val="6DB2A304"/>
    <w:rsid w:val="6DF423FB"/>
    <w:rsid w:val="6E2FD4F5"/>
    <w:rsid w:val="6E7344CB"/>
    <w:rsid w:val="6E7EA4E9"/>
    <w:rsid w:val="6E7FFC8E"/>
    <w:rsid w:val="6F7F3367"/>
    <w:rsid w:val="6F9E40D0"/>
    <w:rsid w:val="6FBBC89B"/>
    <w:rsid w:val="6FE7F4F5"/>
    <w:rsid w:val="6FEABDD5"/>
    <w:rsid w:val="6FFD97A1"/>
    <w:rsid w:val="717F9A34"/>
    <w:rsid w:val="71FDD03C"/>
    <w:rsid w:val="724E49BC"/>
    <w:rsid w:val="73FF898E"/>
    <w:rsid w:val="75F77F40"/>
    <w:rsid w:val="766C763D"/>
    <w:rsid w:val="76AFD41E"/>
    <w:rsid w:val="76EB4024"/>
    <w:rsid w:val="76FF6EAC"/>
    <w:rsid w:val="775F4D6D"/>
    <w:rsid w:val="775FB164"/>
    <w:rsid w:val="777DC638"/>
    <w:rsid w:val="777F2557"/>
    <w:rsid w:val="779FD13B"/>
    <w:rsid w:val="77BC5D54"/>
    <w:rsid w:val="77BDB5E6"/>
    <w:rsid w:val="77D1C186"/>
    <w:rsid w:val="77DF20D3"/>
    <w:rsid w:val="77DFABDF"/>
    <w:rsid w:val="77DFC09C"/>
    <w:rsid w:val="77EF8BAB"/>
    <w:rsid w:val="77F7BECA"/>
    <w:rsid w:val="77FE05BF"/>
    <w:rsid w:val="77FE0E63"/>
    <w:rsid w:val="7A9C8673"/>
    <w:rsid w:val="7AFB243A"/>
    <w:rsid w:val="7B2E5DAB"/>
    <w:rsid w:val="7B6DA98B"/>
    <w:rsid w:val="7B7F1498"/>
    <w:rsid w:val="7BBDFFDE"/>
    <w:rsid w:val="7BDAEF08"/>
    <w:rsid w:val="7BFF2A66"/>
    <w:rsid w:val="7C2BE867"/>
    <w:rsid w:val="7C5F40E7"/>
    <w:rsid w:val="7C7DB66E"/>
    <w:rsid w:val="7CB24553"/>
    <w:rsid w:val="7CBD44C6"/>
    <w:rsid w:val="7CDFC75C"/>
    <w:rsid w:val="7CF65754"/>
    <w:rsid w:val="7CF7AEDF"/>
    <w:rsid w:val="7CFB75E6"/>
    <w:rsid w:val="7D79CB34"/>
    <w:rsid w:val="7DA7E480"/>
    <w:rsid w:val="7DBE1C7D"/>
    <w:rsid w:val="7DCFEFE6"/>
    <w:rsid w:val="7DD6FD28"/>
    <w:rsid w:val="7DDF2288"/>
    <w:rsid w:val="7DF7A845"/>
    <w:rsid w:val="7E5D3702"/>
    <w:rsid w:val="7E6A5352"/>
    <w:rsid w:val="7E7E357A"/>
    <w:rsid w:val="7EEDF483"/>
    <w:rsid w:val="7EEF564C"/>
    <w:rsid w:val="7EFD154C"/>
    <w:rsid w:val="7F3FCB72"/>
    <w:rsid w:val="7F79E738"/>
    <w:rsid w:val="7FBD57AE"/>
    <w:rsid w:val="7FBF5363"/>
    <w:rsid w:val="7FD71F12"/>
    <w:rsid w:val="7FDF9D74"/>
    <w:rsid w:val="7FE723B2"/>
    <w:rsid w:val="7FEFA26D"/>
    <w:rsid w:val="7FFEA4D0"/>
    <w:rsid w:val="7FFFFDC7"/>
    <w:rsid w:val="85FDFFD0"/>
    <w:rsid w:val="86DD26F1"/>
    <w:rsid w:val="8AFB5473"/>
    <w:rsid w:val="93FF7F14"/>
    <w:rsid w:val="964CDD07"/>
    <w:rsid w:val="97EF754D"/>
    <w:rsid w:val="9D8FD8CD"/>
    <w:rsid w:val="9DEDE9B5"/>
    <w:rsid w:val="9EEFB27A"/>
    <w:rsid w:val="9F5F8020"/>
    <w:rsid w:val="9F6E46BC"/>
    <w:rsid w:val="9F72EEC7"/>
    <w:rsid w:val="9FF53DF0"/>
    <w:rsid w:val="9FF67242"/>
    <w:rsid w:val="A6FB8EAF"/>
    <w:rsid w:val="A7690759"/>
    <w:rsid w:val="A7775923"/>
    <w:rsid w:val="A7BB9150"/>
    <w:rsid w:val="A7FD2594"/>
    <w:rsid w:val="A9F7D6CE"/>
    <w:rsid w:val="AAF5B67B"/>
    <w:rsid w:val="ABE7C3C8"/>
    <w:rsid w:val="AC75178B"/>
    <w:rsid w:val="AD7F6DE1"/>
    <w:rsid w:val="ADD748B9"/>
    <w:rsid w:val="ADDB1AEC"/>
    <w:rsid w:val="AEEDEACB"/>
    <w:rsid w:val="B2FFAE22"/>
    <w:rsid w:val="B4EB0DE5"/>
    <w:rsid w:val="B5AF9E21"/>
    <w:rsid w:val="B6BD37EF"/>
    <w:rsid w:val="B6C83459"/>
    <w:rsid w:val="B6FFCDBF"/>
    <w:rsid w:val="B7714A3E"/>
    <w:rsid w:val="B7AE91FB"/>
    <w:rsid w:val="B7CB0169"/>
    <w:rsid w:val="BA2734DA"/>
    <w:rsid w:val="BA7B23C6"/>
    <w:rsid w:val="BADC5829"/>
    <w:rsid w:val="BB3BC472"/>
    <w:rsid w:val="BB6CBC94"/>
    <w:rsid w:val="BB7DF12E"/>
    <w:rsid w:val="BCF5254F"/>
    <w:rsid w:val="BD55B7DA"/>
    <w:rsid w:val="BDEC4096"/>
    <w:rsid w:val="BDF7345F"/>
    <w:rsid w:val="BF765510"/>
    <w:rsid w:val="BF7F04C7"/>
    <w:rsid w:val="BF7F2E1C"/>
    <w:rsid w:val="BF7FDE1C"/>
    <w:rsid w:val="BFCF61C3"/>
    <w:rsid w:val="BFDF24CA"/>
    <w:rsid w:val="BFFE87F6"/>
    <w:rsid w:val="C7F72CAA"/>
    <w:rsid w:val="C9FEA9B4"/>
    <w:rsid w:val="CEFB0C38"/>
    <w:rsid w:val="CF95CB83"/>
    <w:rsid w:val="CFF52911"/>
    <w:rsid w:val="CFFEDBFE"/>
    <w:rsid w:val="CFFFFA5A"/>
    <w:rsid w:val="D3EB720C"/>
    <w:rsid w:val="D68BA296"/>
    <w:rsid w:val="D6FFFCAA"/>
    <w:rsid w:val="D757B6EC"/>
    <w:rsid w:val="D75ED1BB"/>
    <w:rsid w:val="D7FF436C"/>
    <w:rsid w:val="D8BF94F4"/>
    <w:rsid w:val="DBDE5A5A"/>
    <w:rsid w:val="DBFA6A96"/>
    <w:rsid w:val="DBFF01A6"/>
    <w:rsid w:val="DC3B84A9"/>
    <w:rsid w:val="DCF7FF71"/>
    <w:rsid w:val="DEFEE230"/>
    <w:rsid w:val="DF6FE5B0"/>
    <w:rsid w:val="DFBB3FE4"/>
    <w:rsid w:val="DFDF7353"/>
    <w:rsid w:val="DFDFEB6C"/>
    <w:rsid w:val="DFE7305C"/>
    <w:rsid w:val="DFF54EFF"/>
    <w:rsid w:val="DFFAF7BA"/>
    <w:rsid w:val="DFFE9A79"/>
    <w:rsid w:val="DFFFC07E"/>
    <w:rsid w:val="E3FFE13E"/>
    <w:rsid w:val="E49E9A8B"/>
    <w:rsid w:val="E7FC8B0A"/>
    <w:rsid w:val="E878D8D0"/>
    <w:rsid w:val="EA9FF819"/>
    <w:rsid w:val="EDABA5D3"/>
    <w:rsid w:val="EDB36ADD"/>
    <w:rsid w:val="EDCF6C13"/>
    <w:rsid w:val="EDDD82DC"/>
    <w:rsid w:val="EEE60842"/>
    <w:rsid w:val="EF6D20BC"/>
    <w:rsid w:val="EFBAF929"/>
    <w:rsid w:val="F1EDA242"/>
    <w:rsid w:val="F2379F95"/>
    <w:rsid w:val="F3B7BD56"/>
    <w:rsid w:val="F5DB7647"/>
    <w:rsid w:val="F68A3164"/>
    <w:rsid w:val="F6F675D5"/>
    <w:rsid w:val="F6FBD163"/>
    <w:rsid w:val="F6FF1377"/>
    <w:rsid w:val="F73E5D74"/>
    <w:rsid w:val="F75E922D"/>
    <w:rsid w:val="F76BA3D5"/>
    <w:rsid w:val="F77AFA27"/>
    <w:rsid w:val="F77FBC00"/>
    <w:rsid w:val="F79B333F"/>
    <w:rsid w:val="F7B72548"/>
    <w:rsid w:val="F7BF0399"/>
    <w:rsid w:val="F7BF269F"/>
    <w:rsid w:val="F7EEB418"/>
    <w:rsid w:val="F7F6C80E"/>
    <w:rsid w:val="F7FE93D0"/>
    <w:rsid w:val="F8BFAD64"/>
    <w:rsid w:val="F9F784D5"/>
    <w:rsid w:val="F9FFBD8E"/>
    <w:rsid w:val="FBAFE146"/>
    <w:rsid w:val="FBFB6E2C"/>
    <w:rsid w:val="FC7D3CDC"/>
    <w:rsid w:val="FCDE6B46"/>
    <w:rsid w:val="FD7F1218"/>
    <w:rsid w:val="FDA7359C"/>
    <w:rsid w:val="FDEBFC41"/>
    <w:rsid w:val="FDFA2C19"/>
    <w:rsid w:val="FE315D70"/>
    <w:rsid w:val="FE7FC92B"/>
    <w:rsid w:val="FE872C17"/>
    <w:rsid w:val="FEAF6328"/>
    <w:rsid w:val="FEBC2A4F"/>
    <w:rsid w:val="FEBEF03A"/>
    <w:rsid w:val="FEDF8390"/>
    <w:rsid w:val="FEF7AD64"/>
    <w:rsid w:val="FEFCDA3C"/>
    <w:rsid w:val="FEFD5CD3"/>
    <w:rsid w:val="FEFEE2E6"/>
    <w:rsid w:val="FEFF18F7"/>
    <w:rsid w:val="FF2CB5A3"/>
    <w:rsid w:val="FF3F2EA3"/>
    <w:rsid w:val="FF5DCA4B"/>
    <w:rsid w:val="FF5E31DC"/>
    <w:rsid w:val="FF7D4AC4"/>
    <w:rsid w:val="FF8F469E"/>
    <w:rsid w:val="FFAF7750"/>
    <w:rsid w:val="FFBB3B89"/>
    <w:rsid w:val="FFBBF8E8"/>
    <w:rsid w:val="FFD6F50D"/>
    <w:rsid w:val="FFEEF328"/>
    <w:rsid w:val="FFF73456"/>
    <w:rsid w:val="FFF8CAD8"/>
    <w:rsid w:val="FFFAF01D"/>
    <w:rsid w:val="FFFCB935"/>
    <w:rsid w:val="FFFF83F1"/>
    <w:rsid w:val="FFFFC814"/>
    <w:rsid w:val="FFFFF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5">
    <w:name w:val="heading 5"/>
    <w:basedOn w:val="1"/>
    <w:next w:val="1"/>
    <w:qFormat/>
    <w:uiPriority w:val="0"/>
    <w:pPr>
      <w:keepNext/>
      <w:keepLines/>
      <w:widowControl w:val="0"/>
      <w:spacing w:line="560" w:lineRule="exact"/>
      <w:jc w:val="both"/>
      <w:outlineLvl w:val="4"/>
    </w:pPr>
    <w:rPr>
      <w:rFonts w:ascii="Calibri" w:hAnsi="Calibri" w:eastAsia="仿宋_GB2312" w:cs="Times New Roman"/>
      <w:b/>
      <w:kern w:val="2"/>
      <w:sz w:val="32"/>
      <w:szCs w:val="24"/>
      <w:lang w:val="en-US" w:eastAsia="zh-CN" w:bidi="ar-SA"/>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eastAsia="仿宋"/>
      <w:sz w:val="32"/>
    </w:rPr>
  </w:style>
  <w:style w:type="paragraph" w:styleId="3">
    <w:name w:val="Body Text Indent"/>
    <w:basedOn w:val="1"/>
    <w:next w:val="1"/>
    <w:qFormat/>
    <w:uiPriority w:val="0"/>
    <w:pPr>
      <w:spacing w:after="120"/>
      <w:ind w:left="420" w:leftChars="200"/>
    </w:pPr>
  </w:style>
  <w:style w:type="paragraph" w:styleId="6">
    <w:name w:val="annotation text"/>
    <w:basedOn w:val="1"/>
    <w:qFormat/>
    <w:uiPriority w:val="0"/>
    <w:pPr>
      <w:jc w:val="left"/>
    </w:pPr>
  </w:style>
  <w:style w:type="paragraph" w:styleId="7">
    <w:name w:val="Body Text"/>
    <w:basedOn w:val="1"/>
    <w:qFormat/>
    <w:uiPriority w:val="0"/>
    <w:pPr>
      <w:spacing w:after="120" w:afterLines="0" w:afterAutospacing="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footnote text"/>
    <w:basedOn w:val="1"/>
    <w:qFormat/>
    <w:uiPriority w:val="0"/>
    <w:pPr>
      <w:snapToGrid w:val="0"/>
      <w:jc w:val="left"/>
    </w:pPr>
    <w:rPr>
      <w:sz w:val="18"/>
    </w:rPr>
  </w:style>
  <w:style w:type="paragraph" w:styleId="11">
    <w:name w:val="toc 2"/>
    <w:basedOn w:val="1"/>
    <w:next w:val="1"/>
    <w:unhideWhenUsed/>
    <w:qFormat/>
    <w:uiPriority w:val="39"/>
    <w:pPr>
      <w:ind w:left="200" w:leftChars="200"/>
    </w:pPr>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Hyperlink"/>
    <w:basedOn w:val="15"/>
    <w:qFormat/>
    <w:uiPriority w:val="0"/>
    <w:rPr>
      <w:color w:val="0000FF"/>
      <w:u w:val="none"/>
    </w:rPr>
  </w:style>
  <w:style w:type="character" w:styleId="18">
    <w:name w:val="footnote reference"/>
    <w:basedOn w:val="15"/>
    <w:qFormat/>
    <w:uiPriority w:val="0"/>
    <w:rPr>
      <w:vertAlign w:val="superscript"/>
    </w:rPr>
  </w:style>
  <w:style w:type="paragraph" w:customStyle="1" w:styleId="19">
    <w:name w:val="_Style 1"/>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1981</Words>
  <Characters>2069</Characters>
  <Lines>0</Lines>
  <Paragraphs>0</Paragraphs>
  <TotalTime>14</TotalTime>
  <ScaleCrop>false</ScaleCrop>
  <LinksUpToDate>false</LinksUpToDate>
  <CharactersWithSpaces>2203</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2018-08-08T15:11:00Z</dcterms:created>
  <dc:creator>d</dc:creator>
  <cp:lastModifiedBy>朱嘉慧</cp:lastModifiedBy>
  <cp:lastPrinted>2026-07-07T07:34:00Z</cp:lastPrinted>
  <dcterms:modified xsi:type="dcterms:W3CDTF">2026-08-28T09:33:12Z</dcterms:modified>
  <dc:title>附件1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CF38F1B88F1804120AF6876A9497E074_43</vt:lpwstr>
  </property>
</Properties>
</file>