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F62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年中国劳动关系学院青年学者文库</w:t>
      </w:r>
      <w:r>
        <w:rPr>
          <w:rFonts w:hint="eastAsia" w:ascii="黑体" w:eastAsia="黑体"/>
          <w:sz w:val="32"/>
          <w:szCs w:val="32"/>
        </w:rPr>
        <w:t>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2705" w:tblpY="145"/>
        <w:tblOverlap w:val="never"/>
        <w:tblW w:w="12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99"/>
        <w:gridCol w:w="6519"/>
        <w:gridCol w:w="3750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E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张雪静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8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智能媒体时代跨屏受众行为及影响因素研究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文化传播学院</w:t>
            </w:r>
          </w:p>
        </w:tc>
      </w:tr>
      <w:tr w14:paraId="2CE9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赵明霏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E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产业工人队伍建设改革——行动逻辑、 学理阐释与实践探索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7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科研处（劳动关系与工会研究院</w:t>
            </w:r>
          </w:p>
        </w:tc>
      </w:tr>
      <w:tr w14:paraId="7CF0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0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少数民族就业促进法律问题研究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</w:tr>
      <w:tr w14:paraId="6AD2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王潇</w:t>
            </w:r>
          </w:p>
        </w:tc>
        <w:tc>
          <w:tcPr>
            <w:tcW w:w="6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B9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集体协商制度与实务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劳动关系与人力资源学院</w:t>
            </w:r>
          </w:p>
        </w:tc>
      </w:tr>
    </w:tbl>
    <w:p w14:paraId="7C56D61B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keepNext w:val="0"/>
        <w:keepLines w:val="0"/>
        <w:widowControl/>
        <w:suppressLineNumbers w:val="0"/>
        <w:jc w:val="center"/>
        <w:textAlignment w:val="bottom"/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B5C70BD"/>
    <w:rsid w:val="690C1F68"/>
    <w:rsid w:val="7124403B"/>
    <w:rsid w:val="77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4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CE89DDD56D9D4BDAA3544E5707009C76_13</vt:lpwstr>
  </property>
</Properties>
</file>