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color w:val="FF00FF"/>
          <w:spacing w:val="-60"/>
          <w:w w:val="50"/>
          <w:sz w:val="144"/>
          <w:szCs w:val="144"/>
          <w:lang w:eastAsia="zh-CN"/>
        </w:rPr>
      </w:pPr>
      <w:r>
        <w:rPr>
          <w:rFonts w:hint="eastAsia" w:ascii="华文中宋" w:hAnsi="华文中宋" w:eastAsia="华文中宋" w:cs="Times New Roman"/>
          <w:color w:val="FF00FF"/>
          <w:spacing w:val="-60"/>
          <w:w w:val="50"/>
          <w:sz w:val="144"/>
          <w:szCs w:val="144"/>
          <w:lang w:eastAsia="zh-CN"/>
        </w:rPr>
        <w:t>中 国 劳 动 关 系 学 院 文 件</w:t>
      </w:r>
    </w:p>
    <w:p>
      <w:pPr>
        <w:rPr>
          <w:rFonts w:ascii="Calibri" w:hAnsi="Calibri" w:cs="Times New Roman"/>
          <w:lang w:eastAsia="zh-CN"/>
        </w:rPr>
      </w:pPr>
    </w:p>
    <w:p>
      <w:pPr>
        <w:jc w:val="center"/>
        <w:rPr>
          <w:rFonts w:ascii="Calibri" w:hAnsi="Calibri" w:cs="Times New Roman"/>
          <w:lang w:eastAsia="zh-CN"/>
        </w:rPr>
      </w:pPr>
      <w:r>
        <w:rPr>
          <w:rFonts w:hint="eastAsia" w:ascii="黑体" w:hAnsi="Calibri" w:eastAsia="黑体" w:cs="Times New Roman"/>
          <w:lang w:eastAsia="zh-CN"/>
        </w:rPr>
        <w:t>校研字</w:t>
      </w:r>
      <w:r>
        <w:rPr>
          <w:rFonts w:hint="eastAsia" w:ascii="黑体" w:hAnsi="华文中宋" w:eastAsia="黑体" w:cs="Times New Roman"/>
          <w:lang w:eastAsia="zh-CN"/>
        </w:rPr>
        <w:t>[2016]</w:t>
      </w:r>
      <w:r>
        <w:rPr>
          <w:rFonts w:hint="eastAsia" w:ascii="黑体" w:hAnsi="华文中宋" w:eastAsia="黑体"/>
          <w:lang w:eastAsia="zh-CN"/>
        </w:rPr>
        <w:t>8</w:t>
      </w:r>
      <w:r>
        <w:rPr>
          <w:rFonts w:hint="eastAsia" w:ascii="黑体" w:hAnsi="华文中宋" w:eastAsia="黑体" w:cs="Times New Roman"/>
          <w:lang w:eastAsia="zh-CN"/>
        </w:rPr>
        <w:t>号</w:t>
      </w:r>
    </w:p>
    <w:tbl>
      <w:tblPr>
        <w:tblStyle w:val="16"/>
        <w:tblW w:w="8640" w:type="dxa"/>
        <w:tblInd w:w="108" w:type="dxa"/>
        <w:tblBorders>
          <w:top w:val="single" w:color="FF00FF"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0"/>
      </w:tblGrid>
      <w:tr>
        <w:tblPrEx>
          <w:tblBorders>
            <w:top w:val="single" w:color="FF00FF"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640" w:type="dxa"/>
          </w:tcPr>
          <w:p>
            <w:pPr>
              <w:rPr>
                <w:rFonts w:ascii="Calibri" w:hAnsi="Calibri" w:cs="Times New Roman"/>
                <w:color w:val="FF00FF"/>
                <w:u w:val="single"/>
                <w:lang w:eastAsia="zh-CN"/>
              </w:rPr>
            </w:pPr>
          </w:p>
        </w:tc>
      </w:tr>
    </w:tbl>
    <w:p>
      <w:pPr>
        <w:jc w:val="center"/>
        <w:rPr>
          <w:rFonts w:ascii="方正小标宋_GBK" w:eastAsia="方正小标宋_GBK"/>
          <w:sz w:val="36"/>
          <w:szCs w:val="36"/>
          <w:lang w:eastAsia="zh-CN"/>
        </w:rPr>
      </w:pPr>
      <w:r>
        <w:rPr>
          <w:rFonts w:hint="eastAsia" w:ascii="方正小标宋_GBK" w:eastAsia="方正小标宋_GBK"/>
          <w:sz w:val="36"/>
          <w:szCs w:val="36"/>
          <w:lang w:eastAsia="zh-CN"/>
        </w:rPr>
        <w:t>关于印发《中国劳动关系学院专业学位硕士研究生学位</w:t>
      </w:r>
    </w:p>
    <w:p>
      <w:pPr>
        <w:jc w:val="center"/>
        <w:rPr>
          <w:rFonts w:ascii="方正小标宋_GBK" w:eastAsia="方正小标宋_GBK"/>
          <w:sz w:val="36"/>
          <w:szCs w:val="36"/>
          <w:lang w:eastAsia="zh-CN"/>
        </w:rPr>
      </w:pPr>
      <w:r>
        <w:rPr>
          <w:rFonts w:hint="eastAsia" w:ascii="方正小标宋_GBK" w:eastAsia="方正小标宋_GBK"/>
          <w:sz w:val="36"/>
          <w:szCs w:val="36"/>
          <w:lang w:eastAsia="zh-CN"/>
        </w:rPr>
        <w:t>论文管理办法》的通知</w:t>
      </w:r>
    </w:p>
    <w:p>
      <w:pPr>
        <w:rPr>
          <w:rFonts w:ascii="仿宋" w:hAnsi="仿宋" w:eastAsia="仿宋"/>
          <w:szCs w:val="32"/>
          <w:lang w:eastAsia="zh-CN"/>
        </w:rPr>
      </w:pPr>
    </w:p>
    <w:p>
      <w:pPr>
        <w:rPr>
          <w:rFonts w:ascii="仿宋" w:hAnsi="仿宋" w:eastAsia="仿宋"/>
          <w:szCs w:val="32"/>
          <w:lang w:eastAsia="zh-CN"/>
        </w:rPr>
      </w:pPr>
      <w:r>
        <w:rPr>
          <w:rFonts w:hint="eastAsia" w:ascii="仿宋" w:hAnsi="仿宋" w:eastAsia="仿宋"/>
          <w:szCs w:val="32"/>
          <w:lang w:eastAsia="zh-CN"/>
        </w:rPr>
        <w:t>学校各部门：</w:t>
      </w:r>
    </w:p>
    <w:p>
      <w:pPr>
        <w:ind w:firstLine="632" w:firstLineChars="200"/>
        <w:rPr>
          <w:rFonts w:ascii="仿宋" w:hAnsi="仿宋" w:eastAsia="仿宋"/>
          <w:szCs w:val="32"/>
          <w:lang w:eastAsia="zh-CN"/>
        </w:rPr>
      </w:pPr>
      <w:r>
        <w:rPr>
          <w:rFonts w:hint="eastAsia" w:ascii="仿宋" w:hAnsi="仿宋" w:eastAsia="仿宋"/>
          <w:szCs w:val="32"/>
          <w:lang w:eastAsia="zh-CN"/>
        </w:rPr>
        <w:t>《中国劳动关系学院专业学位硕士研究生学位论文管理办法》经审议通过，现予公布，请各相关部门遵照执行。</w:t>
      </w:r>
    </w:p>
    <w:p>
      <w:pPr>
        <w:ind w:firstLine="632" w:firstLineChars="200"/>
        <w:rPr>
          <w:rFonts w:ascii="仿宋" w:hAnsi="仿宋" w:eastAsia="仿宋"/>
          <w:szCs w:val="32"/>
          <w:lang w:eastAsia="zh-CN"/>
        </w:rPr>
      </w:pPr>
      <w:r>
        <w:rPr>
          <w:rFonts w:hint="eastAsia" w:ascii="仿宋" w:hAnsi="仿宋" w:eastAsia="仿宋"/>
          <w:szCs w:val="32"/>
          <w:lang w:eastAsia="zh-CN"/>
        </w:rPr>
        <w:t>特此通知</w:t>
      </w:r>
    </w:p>
    <w:p>
      <w:pPr>
        <w:ind w:firstLine="420"/>
        <w:rPr>
          <w:rFonts w:ascii="仿宋" w:hAnsi="仿宋" w:eastAsia="仿宋"/>
          <w:szCs w:val="32"/>
          <w:lang w:eastAsia="zh-CN"/>
        </w:rPr>
      </w:pPr>
    </w:p>
    <w:p>
      <w:pPr>
        <w:ind w:firstLine="420"/>
        <w:rPr>
          <w:rFonts w:ascii="仿宋" w:hAnsi="仿宋" w:eastAsia="仿宋"/>
          <w:szCs w:val="32"/>
          <w:lang w:eastAsia="zh-CN"/>
        </w:rPr>
      </w:pPr>
    </w:p>
    <w:p>
      <w:pPr>
        <w:ind w:firstLine="616"/>
        <w:jc w:val="center"/>
        <w:rPr>
          <w:rFonts w:ascii="仿宋" w:hAnsi="仿宋" w:eastAsia="仿宋"/>
          <w:szCs w:val="32"/>
          <w:lang w:eastAsia="zh-CN"/>
        </w:rPr>
      </w:pPr>
      <w:r>
        <w:rPr>
          <w:rFonts w:hint="eastAsia" w:ascii="仿宋" w:hAnsi="仿宋" w:eastAsia="仿宋"/>
          <w:szCs w:val="32"/>
          <w:lang w:eastAsia="zh-CN"/>
        </w:rPr>
        <w:t xml:space="preserve">                  中国劳动关系学院</w:t>
      </w:r>
    </w:p>
    <w:p>
      <w:pPr>
        <w:spacing w:afterLines="50"/>
        <w:ind w:firstLine="420"/>
        <w:jc w:val="center"/>
        <w:rPr>
          <w:rFonts w:ascii="仿宋" w:hAnsi="仿宋" w:eastAsia="仿宋"/>
          <w:szCs w:val="32"/>
          <w:lang w:eastAsia="zh-CN"/>
        </w:rPr>
      </w:pPr>
      <w:r>
        <w:rPr>
          <w:rFonts w:hint="eastAsia" w:ascii="仿宋" w:hAnsi="仿宋" w:eastAsia="仿宋"/>
          <w:szCs w:val="32"/>
          <w:lang w:eastAsia="zh-CN"/>
        </w:rPr>
        <w:t xml:space="preserve">                    2016年12月14日</w:t>
      </w:r>
    </w:p>
    <w:p>
      <w:pPr>
        <w:spacing w:line="360" w:lineRule="auto"/>
        <w:jc w:val="center"/>
        <w:rPr>
          <w:rFonts w:ascii="方正小标宋_GBK" w:hAnsi="黑体" w:eastAsia="方正小标宋_GBK"/>
          <w:sz w:val="36"/>
          <w:szCs w:val="36"/>
          <w:lang w:eastAsia="zh-CN"/>
        </w:rPr>
      </w:pPr>
    </w:p>
    <w:p>
      <w:pPr>
        <w:spacing w:line="500" w:lineRule="exact"/>
        <w:jc w:val="right"/>
        <w:rPr>
          <w:rFonts w:ascii="仿宋" w:hAnsi="仿宋" w:eastAsia="仿宋" w:cs="Times New Roman"/>
          <w:lang w:eastAsia="zh-CN"/>
        </w:rPr>
      </w:pPr>
    </w:p>
    <w:tbl>
      <w:tblPr>
        <w:tblStyle w:val="16"/>
        <w:tblW w:w="9060" w:type="dxa"/>
        <w:tblInd w:w="0" w:type="dxa"/>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060" w:type="dxa"/>
            <w:tcBorders>
              <w:top w:val="single" w:color="000000" w:sz="8" w:space="0"/>
              <w:left w:val="nil"/>
              <w:bottom w:val="single" w:color="000000" w:sz="8" w:space="0"/>
              <w:right w:val="nil"/>
            </w:tcBorders>
            <w:vAlign w:val="center"/>
          </w:tcPr>
          <w:p>
            <w:pPr>
              <w:rPr>
                <w:rFonts w:ascii="仿宋" w:hAnsi="仿宋" w:eastAsia="仿宋" w:cs="Times New Roman"/>
                <w:color w:val="FF00FF"/>
                <w:sz w:val="24"/>
                <w:lang w:eastAsia="zh-CN"/>
              </w:rPr>
            </w:pPr>
            <w:r>
              <w:rPr>
                <w:rFonts w:hint="eastAsia" w:ascii="仿宋" w:hAnsi="仿宋" w:eastAsia="仿宋" w:cs="Times New Roman"/>
                <w:sz w:val="28"/>
                <w:szCs w:val="28"/>
                <w:lang w:eastAsia="zh-CN"/>
              </w:rPr>
              <w:t>中国劳动关系学院党政办公室</w:t>
            </w:r>
            <w:r>
              <w:rPr>
                <w:rFonts w:hint="eastAsia" w:ascii="仿宋" w:hAnsi="仿宋" w:eastAsia="仿宋" w:cs="仿宋_GB2312"/>
                <w:sz w:val="24"/>
                <w:lang w:eastAsia="zh-CN"/>
              </w:rPr>
              <w:t xml:space="preserve">                     </w:t>
            </w:r>
            <w:r>
              <w:rPr>
                <w:rFonts w:hint="eastAsia" w:ascii="仿宋" w:hAnsi="仿宋" w:eastAsia="仿宋" w:cs="仿宋_GB2312"/>
                <w:sz w:val="28"/>
                <w:szCs w:val="28"/>
                <w:lang w:eastAsia="zh-CN"/>
              </w:rPr>
              <w:t>2016年12月14日印发</w:t>
            </w:r>
          </w:p>
        </w:tc>
      </w:tr>
    </w:tbl>
    <w:p>
      <w:pPr>
        <w:spacing w:line="0" w:lineRule="atLeast"/>
        <w:jc w:val="center"/>
        <w:rPr>
          <w:rFonts w:ascii="方正小标宋_GBK" w:hAnsi="宋体" w:eastAsia="方正小标宋_GBK" w:cs="宋体"/>
          <w:sz w:val="36"/>
          <w:szCs w:val="36"/>
          <w:lang w:eastAsia="zh-CN"/>
        </w:rPr>
      </w:pPr>
      <w:bookmarkStart w:id="0" w:name="_GoBack"/>
      <w:r>
        <w:rPr>
          <w:rFonts w:hint="eastAsia" w:ascii="方正小标宋_GBK" w:hAnsi="宋体" w:eastAsia="方正小标宋_GBK" w:cs="宋体"/>
          <w:sz w:val="36"/>
          <w:szCs w:val="36"/>
          <w:lang w:eastAsia="zh-CN"/>
        </w:rPr>
        <w:t>中国劳动关系学院专业学位硕士研究生</w:t>
      </w:r>
    </w:p>
    <w:p>
      <w:pPr>
        <w:spacing w:line="0" w:lineRule="atLeast"/>
        <w:jc w:val="center"/>
        <w:rPr>
          <w:rFonts w:ascii="方正小标宋_GBK" w:hAnsi="楷体" w:eastAsia="方正小标宋_GBK"/>
          <w:bCs/>
          <w:sz w:val="24"/>
          <w:lang w:eastAsia="zh-CN"/>
        </w:rPr>
      </w:pPr>
      <w:r>
        <w:rPr>
          <w:rFonts w:hint="eastAsia" w:ascii="方正小标宋_GBK" w:hAnsi="宋体" w:eastAsia="方正小标宋_GBK" w:cs="宋体"/>
          <w:sz w:val="36"/>
          <w:szCs w:val="36"/>
          <w:lang w:eastAsia="zh-CN"/>
        </w:rPr>
        <w:t>学位论文管理办法</w:t>
      </w:r>
    </w:p>
    <w:p>
      <w:pPr>
        <w:jc w:val="center"/>
        <w:rPr>
          <w:rFonts w:ascii="Calibri" w:hAnsi="Calibri" w:cs="Times New Roman"/>
          <w:lang w:eastAsia="zh-CN"/>
        </w:rPr>
      </w:pPr>
      <w:r>
        <w:rPr>
          <w:rFonts w:hint="eastAsia" w:ascii="黑体" w:hAnsi="Calibri" w:eastAsia="黑体" w:cs="Times New Roman"/>
          <w:lang w:eastAsia="zh-CN"/>
        </w:rPr>
        <w:t>校研字</w:t>
      </w:r>
      <w:r>
        <w:rPr>
          <w:rFonts w:hint="eastAsia" w:ascii="黑体" w:hAnsi="华文中宋" w:eastAsia="黑体" w:cs="Times New Roman"/>
          <w:lang w:eastAsia="zh-CN"/>
        </w:rPr>
        <w:t>[2016]</w:t>
      </w:r>
      <w:r>
        <w:rPr>
          <w:rFonts w:hint="eastAsia" w:ascii="黑体" w:hAnsi="华文中宋" w:eastAsia="黑体"/>
          <w:lang w:eastAsia="zh-CN"/>
        </w:rPr>
        <w:t>8</w:t>
      </w:r>
      <w:r>
        <w:rPr>
          <w:rFonts w:hint="eastAsia" w:ascii="黑体" w:hAnsi="华文中宋" w:eastAsia="黑体" w:cs="Times New Roman"/>
          <w:lang w:eastAsia="zh-CN"/>
        </w:rPr>
        <w:t>号</w:t>
      </w:r>
    </w:p>
    <w:p>
      <w:pPr>
        <w:pStyle w:val="11"/>
        <w:widowControl/>
        <w:spacing w:beforeAutospacing="0" w:afterAutospacing="0" w:line="600" w:lineRule="exact"/>
        <w:ind w:firstLine="588"/>
        <w:jc w:val="both"/>
        <w:rPr>
          <w:rFonts w:ascii="仿宋" w:hAnsi="仿宋" w:eastAsia="仿宋" w:cs="宋体"/>
          <w:bCs/>
          <w:sz w:val="32"/>
          <w:szCs w:val="32"/>
        </w:rPr>
      </w:pPr>
    </w:p>
    <w:p>
      <w:pPr>
        <w:pStyle w:val="11"/>
        <w:widowControl/>
        <w:spacing w:beforeAutospacing="0" w:afterAutospacing="0" w:line="600" w:lineRule="exact"/>
        <w:ind w:firstLine="632" w:firstLineChars="200"/>
        <w:jc w:val="both"/>
        <w:rPr>
          <w:rFonts w:ascii="仿宋" w:hAnsi="仿宋" w:eastAsia="仿宋" w:cs="宋体"/>
          <w:bCs/>
          <w:sz w:val="32"/>
          <w:szCs w:val="32"/>
        </w:rPr>
      </w:pPr>
      <w:r>
        <w:rPr>
          <w:rFonts w:hint="eastAsia" w:ascii="仿宋" w:hAnsi="仿宋" w:eastAsia="仿宋" w:cs="宋体"/>
          <w:bCs/>
          <w:sz w:val="32"/>
          <w:szCs w:val="32"/>
        </w:rPr>
        <w:t>为规范专业学位硕士研究生学位论文工作，保证学位授予质量，根据《中华人民共和国学位条例》、《中华人民共和国学位条例暂行实施办法》、教育部《关于做好全日制硕士专业学位研究生培养工作的若干意见》（教研[2009]1号）、国务院学位委员会《关于印发金融硕士等19种专业学位设置方案的通知》（学位[2010]15号）、教育部《学位论文作假行为处理办法》 （2012年第34号）的精神，结合我校实际情况，特制定本办法。</w:t>
      </w:r>
    </w:p>
    <w:p>
      <w:pPr>
        <w:pStyle w:val="11"/>
        <w:widowControl/>
        <w:spacing w:beforeAutospacing="0" w:afterAutospacing="0" w:line="600" w:lineRule="exact"/>
        <w:ind w:firstLine="622" w:firstLineChars="196"/>
        <w:rPr>
          <w:rFonts w:ascii="仿宋" w:hAnsi="仿宋" w:eastAsia="仿宋" w:cs="宋体"/>
          <w:sz w:val="32"/>
          <w:szCs w:val="32"/>
        </w:rPr>
      </w:pPr>
      <w:r>
        <w:rPr>
          <w:rFonts w:hint="eastAsia" w:ascii="仿宋" w:hAnsi="仿宋" w:eastAsia="仿宋" w:cs="宋体"/>
          <w:b/>
          <w:bCs/>
          <w:sz w:val="32"/>
          <w:szCs w:val="32"/>
        </w:rPr>
        <w:t xml:space="preserve">第一条  </w:t>
      </w:r>
      <w:r>
        <w:rPr>
          <w:rFonts w:hint="eastAsia" w:ascii="仿宋" w:hAnsi="仿宋" w:eastAsia="仿宋" w:cs="宋体"/>
          <w:b/>
          <w:sz w:val="32"/>
          <w:szCs w:val="32"/>
        </w:rPr>
        <w:t>专业学位硕士研究生论文管理工作主要包括：</w:t>
      </w:r>
      <w:r>
        <w:rPr>
          <w:rFonts w:hint="eastAsia" w:ascii="仿宋" w:hAnsi="仿宋" w:eastAsia="仿宋" w:cs="宋体"/>
          <w:sz w:val="32"/>
          <w:szCs w:val="32"/>
        </w:rPr>
        <w:t>1.导师的确定；2.论文选题；3.论文开题；4.论文中期检查；5.论文预答辩；6.论文答辩前审核与查重；7.论文评阅；8.论文答辩；9.答辩后修改、查重与提交；10.优秀专业学位硕士研究生论文评选。</w:t>
      </w:r>
    </w:p>
    <w:p>
      <w:pPr>
        <w:spacing w:line="600" w:lineRule="exact"/>
        <w:ind w:firstLine="622" w:firstLineChars="196"/>
        <w:jc w:val="both"/>
        <w:rPr>
          <w:rFonts w:ascii="仿宋" w:hAnsi="仿宋" w:eastAsia="仿宋" w:cs="宋体"/>
          <w:b/>
          <w:bCs/>
          <w:szCs w:val="32"/>
          <w:lang w:eastAsia="zh-CN"/>
        </w:rPr>
      </w:pPr>
      <w:r>
        <w:rPr>
          <w:rFonts w:hint="eastAsia" w:ascii="仿宋" w:hAnsi="仿宋" w:eastAsia="仿宋" w:cs="宋体"/>
          <w:b/>
          <w:bCs/>
          <w:szCs w:val="32"/>
          <w:lang w:eastAsia="zh-CN"/>
        </w:rPr>
        <w:t xml:space="preserve">第二条  导师的确定与指导要求 </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 xml:space="preserve">1.研究生培养系（院）按照“双向选择、系（院）确定”的原则，确定学生的校内导师。校外导师的确定由系（院）组织。校内校外每名导师指导每届学生原则上不超过2人。具体比例可由研究生处根据当年实际招生情况决定。导师确定后，系（院）提交《中国劳动关系学院硕士生导师与研究生双向选择登记表》和《中国劳动关系学院硕士研究生导师分配情况汇总表》。 </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2.导师确定两周内，导师与学生应建立学术和实践联系，以面谈、通讯等方式进行交流。双方应定期进行联系，确定研究方向，为撰写硕士专业学位论文做好准备。</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 xml:space="preserve">3.如需变更指导关系，应按照《中国劳动关系学院硕士研究生导师管理办法》执行，并填写《中国劳动关系学院硕士研究生导师变更申请表》。 </w:t>
      </w:r>
    </w:p>
    <w:p>
      <w:pPr>
        <w:spacing w:line="600" w:lineRule="exact"/>
        <w:ind w:firstLine="634" w:firstLineChars="200"/>
        <w:jc w:val="both"/>
        <w:rPr>
          <w:rFonts w:ascii="仿宋" w:hAnsi="仿宋" w:eastAsia="仿宋" w:cs="宋体"/>
          <w:b/>
          <w:bCs/>
          <w:szCs w:val="32"/>
          <w:lang w:eastAsia="zh-CN"/>
        </w:rPr>
      </w:pPr>
      <w:r>
        <w:rPr>
          <w:rFonts w:hint="eastAsia" w:ascii="仿宋" w:hAnsi="仿宋" w:eastAsia="仿宋" w:cs="宋体"/>
          <w:b/>
          <w:bCs/>
          <w:szCs w:val="32"/>
          <w:lang w:eastAsia="zh-CN"/>
        </w:rPr>
        <w:t>第三条  论文选题</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 xml:space="preserve">1.论文选题应来源于应用型研究课题或实际工作中的现实问题，必须要有明确的实践意义和应用价值，强调对实践问题及其解决方案的研究。导师对选题的科学性、合理性和研究方案可行性要严格把关。同一导师的学生选题不得雷同，应一人一题。 </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2.学生向导师汇报论文选题思路，并填写《中国劳动关系学院硕士学位论文选题指导记录表》。</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3.</w:t>
      </w:r>
      <w:r>
        <w:rPr>
          <w:rFonts w:hint="eastAsia" w:ascii="仿宋" w:hAnsi="仿宋" w:eastAsia="仿宋"/>
          <w:szCs w:val="32"/>
          <w:lang w:eastAsia="zh-CN"/>
        </w:rPr>
        <w:t>专业学位硕士研究生论文选题可由学生本人提出，经导师审定后确定，也可由导师提出一些课题，由学生本人选定。</w:t>
      </w:r>
      <w:r>
        <w:rPr>
          <w:rFonts w:hint="eastAsia" w:ascii="仿宋" w:hAnsi="仿宋" w:eastAsia="仿宋" w:cs="宋体"/>
          <w:szCs w:val="32"/>
          <w:lang w:eastAsia="zh-CN"/>
        </w:rPr>
        <w:t></w:t>
      </w:r>
    </w:p>
    <w:p>
      <w:pPr>
        <w:spacing w:line="600" w:lineRule="exact"/>
        <w:ind w:firstLine="634" w:firstLineChars="200"/>
        <w:jc w:val="both"/>
        <w:rPr>
          <w:rFonts w:ascii="仿宋" w:hAnsi="仿宋" w:eastAsia="仿宋" w:cs="宋体"/>
          <w:b/>
          <w:bCs/>
          <w:szCs w:val="32"/>
          <w:lang w:eastAsia="zh-CN"/>
        </w:rPr>
      </w:pPr>
      <w:r>
        <w:rPr>
          <w:rFonts w:hint="eastAsia" w:ascii="仿宋" w:hAnsi="仿宋" w:eastAsia="仿宋" w:cs="宋体"/>
          <w:b/>
          <w:bCs/>
          <w:szCs w:val="32"/>
          <w:lang w:eastAsia="zh-CN"/>
        </w:rPr>
        <w:t>第四条  论文开题</w:t>
      </w:r>
    </w:p>
    <w:p>
      <w:pPr>
        <w:spacing w:line="600" w:lineRule="exact"/>
        <w:ind w:firstLine="634" w:firstLineChars="200"/>
        <w:jc w:val="both"/>
        <w:rPr>
          <w:rFonts w:ascii="仿宋" w:hAnsi="仿宋" w:eastAsia="仿宋" w:cs="宋体"/>
          <w:b/>
          <w:bCs/>
          <w:szCs w:val="32"/>
          <w:lang w:eastAsia="zh-CN"/>
        </w:rPr>
      </w:pPr>
      <w:r>
        <w:rPr>
          <w:rFonts w:hint="eastAsia" w:ascii="仿宋" w:hAnsi="仿宋" w:eastAsia="仿宋" w:cs="宋体"/>
          <w:b/>
          <w:bCs/>
          <w:szCs w:val="32"/>
          <w:lang w:eastAsia="zh-CN"/>
        </w:rPr>
        <w:t>1.论文的开题时间</w:t>
      </w:r>
    </w:p>
    <w:p>
      <w:pPr>
        <w:spacing w:line="600" w:lineRule="exact"/>
        <w:ind w:firstLine="632" w:firstLineChars="200"/>
        <w:jc w:val="both"/>
        <w:rPr>
          <w:rFonts w:ascii="仿宋" w:hAnsi="仿宋" w:eastAsia="仿宋" w:cs="宋体"/>
          <w:bCs/>
          <w:szCs w:val="32"/>
          <w:lang w:eastAsia="zh-CN"/>
        </w:rPr>
      </w:pPr>
      <w:r>
        <w:rPr>
          <w:rFonts w:hint="eastAsia" w:ascii="仿宋" w:hAnsi="仿宋" w:eastAsia="仿宋" w:cs="宋体"/>
          <w:bCs/>
          <w:szCs w:val="32"/>
          <w:lang w:eastAsia="zh-CN"/>
        </w:rPr>
        <w:t>两年制专业学位研究生：应在第二学期末完成开题。</w:t>
      </w:r>
    </w:p>
    <w:p>
      <w:pPr>
        <w:spacing w:line="600" w:lineRule="exact"/>
        <w:ind w:firstLine="632" w:firstLineChars="200"/>
        <w:jc w:val="both"/>
        <w:rPr>
          <w:rFonts w:ascii="仿宋" w:hAnsi="仿宋" w:eastAsia="仿宋" w:cs="宋体"/>
          <w:bCs/>
          <w:szCs w:val="32"/>
          <w:lang w:eastAsia="zh-CN"/>
        </w:rPr>
      </w:pPr>
      <w:r>
        <w:rPr>
          <w:rFonts w:hint="eastAsia" w:ascii="仿宋" w:hAnsi="仿宋" w:eastAsia="仿宋" w:cs="宋体"/>
          <w:bCs/>
          <w:szCs w:val="32"/>
          <w:lang w:eastAsia="zh-CN"/>
        </w:rPr>
        <w:t>两年半制专业学位研究生：应在第三学期完成开题。</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bCs/>
          <w:szCs w:val="32"/>
          <w:lang w:eastAsia="zh-CN"/>
        </w:rPr>
        <w:t>三年制专业学位研究生：应在第四学期期初完成开题。</w:t>
      </w:r>
    </w:p>
    <w:p>
      <w:pPr>
        <w:spacing w:line="600" w:lineRule="exact"/>
        <w:ind w:firstLine="634" w:firstLineChars="200"/>
        <w:jc w:val="both"/>
        <w:rPr>
          <w:rFonts w:ascii="仿宋" w:hAnsi="仿宋" w:eastAsia="仿宋" w:cs="宋体"/>
          <w:b/>
          <w:bCs/>
          <w:szCs w:val="32"/>
          <w:lang w:eastAsia="zh-CN"/>
        </w:rPr>
      </w:pPr>
      <w:r>
        <w:rPr>
          <w:rFonts w:hint="eastAsia" w:ascii="仿宋" w:hAnsi="仿宋" w:eastAsia="仿宋" w:cs="宋体"/>
          <w:b/>
          <w:bCs/>
          <w:szCs w:val="32"/>
          <w:lang w:eastAsia="zh-CN"/>
        </w:rPr>
        <w:t>2.开题报告的主要内容</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选题的来源、目的及意义</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国内外该领域的研究现状</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课题研究主题及主要内容</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课题研究方法</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工作量和工作进度安排（包括文献阅读、方案设计、论文撰写等）。</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主要参考文献目录</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鉴于专业学位的特殊性，允许论文选题、开题报告的形势在结合专业特点和教指委相关文件的基础上，文科专业学位论文可采用调研报告、案例分析等形式；工科专业学位论文可采用产品研发、工程设计、应用研究、工程/项目管理、调研报告等形式。</w:t>
      </w:r>
    </w:p>
    <w:p>
      <w:pPr>
        <w:spacing w:line="600" w:lineRule="exact"/>
        <w:ind w:firstLine="634" w:firstLineChars="200"/>
        <w:jc w:val="both"/>
        <w:rPr>
          <w:rFonts w:ascii="仿宋" w:hAnsi="仿宋" w:eastAsia="仿宋" w:cs="宋体"/>
          <w:szCs w:val="32"/>
          <w:lang w:eastAsia="zh-CN"/>
        </w:rPr>
      </w:pPr>
      <w:r>
        <w:rPr>
          <w:rFonts w:hint="eastAsia" w:ascii="仿宋" w:hAnsi="仿宋" w:eastAsia="仿宋" w:cs="宋体"/>
          <w:b/>
          <w:bCs/>
          <w:szCs w:val="32"/>
          <w:lang w:eastAsia="zh-CN"/>
        </w:rPr>
        <w:t>3.开题资格的审核和认定</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硕士研究生应在导师指导下，确定研究方向，导师负责对研究生的开题报告、文献阅读、方案论证等内容进行审查，导师审核不通过者，不允许开题答辩。</w:t>
      </w:r>
      <w:r>
        <w:rPr>
          <w:rFonts w:hint="eastAsia" w:ascii="仿宋" w:hAnsi="仿宋" w:eastAsia="仿宋"/>
          <w:szCs w:val="32"/>
          <w:lang w:eastAsia="zh-CN"/>
        </w:rPr>
        <w:t>论文题目选定后，学生应填写</w:t>
      </w:r>
      <w:r>
        <w:rPr>
          <w:rFonts w:hint="eastAsia" w:ascii="仿宋" w:hAnsi="仿宋" w:eastAsia="仿宋" w:cs="宋体"/>
          <w:szCs w:val="32"/>
          <w:lang w:eastAsia="zh-CN"/>
        </w:rPr>
        <w:t>《</w:t>
      </w:r>
      <w:r>
        <w:rPr>
          <w:rFonts w:hint="eastAsia" w:ascii="仿宋" w:hAnsi="仿宋" w:eastAsia="仿宋"/>
          <w:szCs w:val="32"/>
          <w:lang w:eastAsia="zh-CN"/>
        </w:rPr>
        <w:t>中国劳动关系学院硕士学位论文开题报告</w:t>
      </w:r>
      <w:r>
        <w:rPr>
          <w:rFonts w:hint="eastAsia" w:ascii="仿宋" w:hAnsi="仿宋" w:eastAsia="仿宋" w:cs="宋体"/>
          <w:szCs w:val="32"/>
          <w:lang w:eastAsia="zh-CN"/>
        </w:rPr>
        <w:t>》</w:t>
      </w:r>
      <w:r>
        <w:rPr>
          <w:rFonts w:hint="eastAsia" w:ascii="仿宋" w:hAnsi="仿宋" w:eastAsia="仿宋"/>
          <w:szCs w:val="32"/>
          <w:lang w:eastAsia="zh-CN"/>
        </w:rPr>
        <w:t>一份，经导师签署意见后</w:t>
      </w:r>
      <w:r>
        <w:rPr>
          <w:rFonts w:hint="eastAsia" w:ascii="仿宋" w:hAnsi="仿宋" w:eastAsia="仿宋" w:cs="宋体"/>
          <w:szCs w:val="32"/>
          <w:lang w:eastAsia="zh-CN"/>
        </w:rPr>
        <w:t>与《中国劳动关系学院硕士学位论文选题指导记录表》一起</w:t>
      </w:r>
      <w:r>
        <w:rPr>
          <w:rFonts w:hint="eastAsia" w:ascii="仿宋" w:hAnsi="仿宋" w:eastAsia="仿宋"/>
          <w:szCs w:val="32"/>
          <w:lang w:eastAsia="zh-CN"/>
        </w:rPr>
        <w:t>报系（院）审核。</w:t>
      </w:r>
    </w:p>
    <w:p>
      <w:pPr>
        <w:spacing w:line="600" w:lineRule="exact"/>
        <w:ind w:firstLine="634" w:firstLineChars="200"/>
        <w:jc w:val="both"/>
        <w:rPr>
          <w:rFonts w:ascii="仿宋" w:hAnsi="仿宋" w:eastAsia="仿宋" w:cs="宋体"/>
          <w:b/>
          <w:bCs/>
          <w:szCs w:val="32"/>
          <w:lang w:eastAsia="zh-CN"/>
        </w:rPr>
      </w:pPr>
      <w:r>
        <w:rPr>
          <w:rFonts w:hint="eastAsia" w:ascii="仿宋" w:hAnsi="仿宋" w:eastAsia="仿宋" w:cs="宋体"/>
          <w:b/>
          <w:bCs/>
          <w:szCs w:val="32"/>
          <w:lang w:eastAsia="zh-CN"/>
        </w:rPr>
        <w:t>4.开题工作</w:t>
      </w:r>
    </w:p>
    <w:p>
      <w:pPr>
        <w:spacing w:line="600" w:lineRule="exact"/>
        <w:ind w:firstLine="474" w:firstLineChars="150"/>
        <w:jc w:val="both"/>
        <w:rPr>
          <w:rFonts w:ascii="仿宋" w:hAnsi="仿宋" w:eastAsia="仿宋" w:cs="宋体"/>
          <w:bCs/>
          <w:szCs w:val="32"/>
          <w:lang w:eastAsia="zh-CN"/>
        </w:rPr>
      </w:pPr>
      <w:r>
        <w:rPr>
          <w:rFonts w:hint="eastAsia" w:ascii="仿宋" w:hAnsi="仿宋" w:eastAsia="仿宋" w:cs="宋体"/>
          <w:bCs/>
          <w:szCs w:val="32"/>
          <w:lang w:eastAsia="zh-CN"/>
        </w:rPr>
        <w:t>（1）专业学位研究生学位论文的开题报告会由各系（院）组织实施。</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(2) 学生的开题报告通过系（院）初审后，由各系（院）邀请有关教师、专家作为评议人组成开题论证专家小组参加学生论文开题报告会。评议小组人数应为5至7人，并是熟悉本领域的具有副高级（含）以上职称的教师专家或具有博士学位的讲师组成，至少有1/3名来自外单位相关行业领域的专家。</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(3) 开题答辩的程序：学生汇报选题情况与论文撰写计划、专家提出问题或建设性意见、学生回答专家提出的问题、专家组论证评议开题报告是否可通过、现场填写《中国劳动关系学院硕士学位论文开题审核意见表》。</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(4) 根据学生的开题报告和对问题的回答，评议小组对学生的开题报告进行评议。评议小组中评议人的评议意见分为“同意开题”、“修改后开题”和“修改后再次审阅”三种，须获评议人</w:t>
      </w:r>
      <w:r>
        <w:rPr>
          <w:rFonts w:ascii="仿宋" w:hAnsi="仿宋" w:eastAsia="仿宋" w:cs="宋体"/>
          <w:szCs w:val="32"/>
          <w:lang w:eastAsia="zh-CN"/>
        </w:rPr>
        <w:t>三分之二以上同意</w:t>
      </w:r>
      <w:r>
        <w:rPr>
          <w:rFonts w:hint="eastAsia" w:ascii="仿宋" w:hAnsi="仿宋" w:eastAsia="仿宋" w:cs="宋体"/>
          <w:szCs w:val="32"/>
          <w:lang w:eastAsia="zh-CN"/>
        </w:rPr>
        <w:t>。如开题报告为“修改后再次审阅”，学生应重写开题报告，经导师批准后进行重新开题程序。重新参加论文开题报告会以一次为限。如仍未获</w:t>
      </w:r>
      <w:r>
        <w:rPr>
          <w:rFonts w:ascii="仿宋" w:hAnsi="仿宋" w:eastAsia="仿宋" w:cs="宋体"/>
          <w:szCs w:val="32"/>
          <w:lang w:eastAsia="zh-CN"/>
        </w:rPr>
        <w:t>通过者</w:t>
      </w:r>
      <w:r>
        <w:rPr>
          <w:rFonts w:hint="eastAsia" w:ascii="仿宋" w:hAnsi="仿宋" w:eastAsia="仿宋" w:cs="宋体"/>
          <w:szCs w:val="32"/>
          <w:lang w:eastAsia="zh-CN"/>
        </w:rPr>
        <w:t>，</w:t>
      </w:r>
      <w:r>
        <w:rPr>
          <w:rFonts w:ascii="仿宋" w:hAnsi="仿宋" w:eastAsia="仿宋" w:cs="宋体"/>
          <w:szCs w:val="32"/>
          <w:lang w:eastAsia="zh-CN"/>
        </w:rPr>
        <w:t>须</w:t>
      </w:r>
      <w:r>
        <w:rPr>
          <w:rFonts w:hint="eastAsia" w:ascii="仿宋" w:hAnsi="仿宋" w:eastAsia="仿宋" w:cs="宋体"/>
          <w:szCs w:val="32"/>
          <w:lang w:eastAsia="zh-CN"/>
        </w:rPr>
        <w:t>办理延期毕业。</w:t>
      </w:r>
    </w:p>
    <w:p>
      <w:pPr>
        <w:spacing w:line="600" w:lineRule="exact"/>
        <w:ind w:firstLine="474" w:firstLineChars="150"/>
        <w:jc w:val="both"/>
        <w:rPr>
          <w:rFonts w:ascii="仿宋" w:hAnsi="仿宋" w:eastAsia="仿宋" w:cs="宋体"/>
          <w:szCs w:val="32"/>
          <w:lang w:eastAsia="zh-CN"/>
        </w:rPr>
      </w:pPr>
      <w:r>
        <w:rPr>
          <w:rFonts w:hint="eastAsia" w:ascii="仿宋" w:hAnsi="仿宋" w:eastAsia="仿宋" w:cs="宋体"/>
          <w:szCs w:val="32"/>
          <w:lang w:eastAsia="zh-CN"/>
        </w:rPr>
        <w:t>（5</w:t>
      </w:r>
      <w:r>
        <w:rPr>
          <w:rFonts w:ascii="仿宋" w:hAnsi="仿宋" w:eastAsia="仿宋" w:cs="宋体"/>
          <w:szCs w:val="32"/>
          <w:lang w:eastAsia="zh-CN"/>
        </w:rPr>
        <w:t>）</w:t>
      </w:r>
      <w:r>
        <w:rPr>
          <w:rFonts w:hint="eastAsia" w:ascii="仿宋" w:hAnsi="仿宋" w:eastAsia="仿宋" w:cs="宋体"/>
          <w:szCs w:val="32"/>
          <w:lang w:eastAsia="zh-CN"/>
        </w:rPr>
        <w:t>被批准开题后，系（院</w:t>
      </w:r>
      <w:r>
        <w:rPr>
          <w:rFonts w:ascii="仿宋" w:hAnsi="仿宋" w:eastAsia="仿宋" w:cs="宋体"/>
          <w:szCs w:val="32"/>
          <w:lang w:eastAsia="zh-CN"/>
        </w:rPr>
        <w:t>）</w:t>
      </w:r>
      <w:r>
        <w:rPr>
          <w:rFonts w:hint="eastAsia" w:ascii="仿宋" w:hAnsi="仿宋" w:eastAsia="仿宋" w:cs="宋体"/>
          <w:szCs w:val="32"/>
          <w:lang w:eastAsia="zh-CN"/>
        </w:rPr>
        <w:t>下发《中国劳动关系学院硕士学位论文选题认可通知书》，学生方可进入论文写作阶段。</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(6) 开题一经批准，论文题目不得随意更改；如果确有特殊情况需要更改题目的，须填写《中国劳动关系学院硕士专业学位论文题目变更申请表》，重新履行开题程序；更改题目的最后期限须距离正式论文答辩至少有半年的时间。</w:t>
      </w:r>
    </w:p>
    <w:p>
      <w:pPr>
        <w:spacing w:line="600" w:lineRule="exact"/>
        <w:ind w:firstLine="634" w:firstLineChars="200"/>
        <w:jc w:val="both"/>
        <w:rPr>
          <w:rFonts w:ascii="仿宋" w:hAnsi="仿宋" w:eastAsia="仿宋" w:cs="宋体"/>
          <w:b/>
          <w:bCs/>
          <w:szCs w:val="32"/>
          <w:lang w:eastAsia="zh-CN"/>
        </w:rPr>
      </w:pPr>
      <w:r>
        <w:rPr>
          <w:rFonts w:hint="eastAsia" w:ascii="仿宋" w:hAnsi="仿宋" w:eastAsia="仿宋" w:cs="宋体"/>
          <w:b/>
          <w:bCs/>
          <w:szCs w:val="32"/>
          <w:lang w:eastAsia="zh-CN"/>
        </w:rPr>
        <w:t>5. 开题报告考评依据：</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开题通过的依据：</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（1）具有独立搜集和综合分析资料的基本能力；选题合理，能掌握与本选题有关研究方向的国内外动态，思路清晰。</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（2）研究方案可行，基本掌握关键问题；对可能遇到的主要问题，分析思路基本正确；开题条件基本具备。</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（3）研究工作计划安排合理。</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开题不通过的依据：</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（1）参考资料不足，综合分析能力较低；选题不当，论述欠合理性。</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（2）研究方法简单，研究思路不严密，采取的措施不力，没有抓住关键；预期达到的研究目标过高或过低。</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（3）开题条件不具备，研究计划安排不周。</w:t>
      </w:r>
    </w:p>
    <w:p>
      <w:pPr>
        <w:spacing w:line="600" w:lineRule="exact"/>
        <w:ind w:firstLine="622" w:firstLineChars="196"/>
        <w:jc w:val="both"/>
        <w:rPr>
          <w:rFonts w:ascii="仿宋" w:hAnsi="仿宋" w:eastAsia="仿宋" w:cs="宋体"/>
          <w:b/>
          <w:szCs w:val="32"/>
          <w:lang w:eastAsia="zh-CN"/>
        </w:rPr>
      </w:pPr>
      <w:r>
        <w:rPr>
          <w:rFonts w:hint="eastAsia" w:ascii="仿宋" w:hAnsi="仿宋" w:eastAsia="仿宋" w:cs="宋体"/>
          <w:b/>
          <w:szCs w:val="32"/>
          <w:lang w:eastAsia="zh-CN"/>
        </w:rPr>
        <w:t>第五条  论文中期检查</w:t>
      </w:r>
    </w:p>
    <w:p>
      <w:pPr>
        <w:spacing w:line="600" w:lineRule="exact"/>
        <w:ind w:firstLine="634" w:firstLineChars="200"/>
        <w:jc w:val="both"/>
        <w:rPr>
          <w:rFonts w:ascii="仿宋" w:hAnsi="仿宋" w:eastAsia="仿宋" w:cs="宋体"/>
          <w:b/>
          <w:bCs/>
          <w:szCs w:val="32"/>
          <w:lang w:eastAsia="zh-CN"/>
        </w:rPr>
      </w:pPr>
      <w:r>
        <w:rPr>
          <w:rFonts w:hint="eastAsia" w:ascii="仿宋" w:hAnsi="仿宋" w:eastAsia="仿宋" w:cs="宋体"/>
          <w:b/>
          <w:bCs/>
          <w:szCs w:val="32"/>
          <w:lang w:eastAsia="zh-CN"/>
        </w:rPr>
        <w:t>1.中期检查的时间内容</w:t>
      </w:r>
    </w:p>
    <w:p>
      <w:pPr>
        <w:spacing w:line="600" w:lineRule="exact"/>
        <w:ind w:firstLine="632" w:firstLineChars="200"/>
        <w:jc w:val="both"/>
        <w:rPr>
          <w:rFonts w:ascii="仿宋" w:hAnsi="仿宋" w:eastAsia="仿宋" w:cs="宋体"/>
          <w:bCs/>
          <w:szCs w:val="32"/>
          <w:lang w:eastAsia="zh-CN"/>
        </w:rPr>
      </w:pPr>
      <w:r>
        <w:rPr>
          <w:rFonts w:hint="eastAsia" w:ascii="仿宋" w:hAnsi="仿宋" w:eastAsia="仿宋" w:cs="宋体"/>
          <w:bCs/>
          <w:szCs w:val="32"/>
          <w:lang w:eastAsia="zh-CN"/>
        </w:rPr>
        <w:t>（1）两年制的专业学位研究生论文中期检查应在第三学期完成；两年半制的专业学位研究生论文中期检查应在第四学期完成；三年制的专业学位研究生论文中期检查应在第五学期完成。</w:t>
      </w:r>
    </w:p>
    <w:p>
      <w:pPr>
        <w:spacing w:line="600" w:lineRule="exact"/>
        <w:ind w:firstLine="632" w:firstLineChars="200"/>
        <w:jc w:val="both"/>
        <w:rPr>
          <w:rFonts w:ascii="仿宋" w:hAnsi="仿宋" w:eastAsia="仿宋" w:cs="宋体"/>
          <w:bCs/>
          <w:szCs w:val="32"/>
          <w:lang w:eastAsia="zh-CN"/>
        </w:rPr>
      </w:pPr>
      <w:r>
        <w:rPr>
          <w:rFonts w:hint="eastAsia" w:ascii="仿宋" w:hAnsi="仿宋" w:eastAsia="仿宋" w:cs="宋体"/>
          <w:bCs/>
          <w:szCs w:val="32"/>
          <w:lang w:eastAsia="zh-CN"/>
        </w:rPr>
        <w:t>（2）论文题目及内容是否与开题报告一致；论文进展是否按照开题报告计划进度进行；论文是否符合硕士学位论文写作规范的要求；导师指导的情况和学生投入时间情况；下一步工作计划等。</w:t>
      </w:r>
    </w:p>
    <w:p>
      <w:pPr>
        <w:spacing w:line="600" w:lineRule="exact"/>
        <w:ind w:firstLine="634" w:firstLineChars="200"/>
        <w:jc w:val="both"/>
        <w:rPr>
          <w:rFonts w:ascii="仿宋" w:hAnsi="仿宋" w:eastAsia="仿宋" w:cs="宋体"/>
          <w:b/>
          <w:bCs/>
          <w:szCs w:val="32"/>
          <w:lang w:eastAsia="zh-CN"/>
        </w:rPr>
      </w:pPr>
      <w:r>
        <w:rPr>
          <w:rFonts w:hint="eastAsia" w:ascii="仿宋" w:hAnsi="仿宋" w:eastAsia="仿宋" w:cs="宋体"/>
          <w:b/>
          <w:bCs/>
          <w:szCs w:val="32"/>
          <w:lang w:eastAsia="zh-CN"/>
        </w:rPr>
        <w:t>2.中期检查方式</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（1）导师与学生如实填写《中国劳动关系学院硕士学位论文中期检查表》，导师要对其学生的论文工作进展状况进行检查，给出评定等级和相关改进意见，提交系（院</w:t>
      </w:r>
      <w:r>
        <w:rPr>
          <w:rFonts w:ascii="仿宋" w:hAnsi="仿宋" w:eastAsia="仿宋" w:cs="宋体"/>
          <w:szCs w:val="32"/>
          <w:lang w:eastAsia="zh-CN"/>
        </w:rPr>
        <w:t>）</w:t>
      </w:r>
      <w:r>
        <w:rPr>
          <w:rFonts w:hint="eastAsia" w:ascii="仿宋" w:hAnsi="仿宋" w:eastAsia="仿宋" w:cs="宋体"/>
          <w:szCs w:val="32"/>
          <w:lang w:eastAsia="zh-CN"/>
        </w:rPr>
        <w:t>。</w:t>
      </w:r>
    </w:p>
    <w:p>
      <w:pPr>
        <w:spacing w:line="600" w:lineRule="exact"/>
        <w:ind w:firstLine="632" w:firstLineChars="200"/>
        <w:jc w:val="both"/>
        <w:rPr>
          <w:rFonts w:ascii="仿宋" w:hAnsi="仿宋" w:eastAsia="仿宋" w:cs="宋体"/>
          <w:szCs w:val="32"/>
          <w:lang w:eastAsia="zh-CN"/>
        </w:rPr>
      </w:pPr>
      <w:r>
        <w:rPr>
          <w:rFonts w:hint="eastAsia" w:ascii="仿宋" w:hAnsi="仿宋" w:eastAsia="仿宋" w:cs="宋体"/>
          <w:szCs w:val="32"/>
          <w:lang w:eastAsia="zh-CN"/>
        </w:rPr>
        <w:t>（2）系（院</w:t>
      </w:r>
      <w:r>
        <w:rPr>
          <w:rFonts w:ascii="仿宋" w:hAnsi="仿宋" w:eastAsia="仿宋" w:cs="宋体"/>
          <w:szCs w:val="32"/>
          <w:lang w:eastAsia="zh-CN"/>
        </w:rPr>
        <w:t>）</w:t>
      </w:r>
      <w:r>
        <w:rPr>
          <w:rFonts w:hint="eastAsia" w:ascii="仿宋" w:hAnsi="仿宋" w:eastAsia="仿宋" w:cs="宋体"/>
          <w:szCs w:val="32"/>
          <w:lang w:eastAsia="zh-CN"/>
        </w:rPr>
        <w:t>成立若干检查组进行评议、考核论文实际工作进展，并填写《中国劳动关系学院硕士学位论文中期检查表》。</w:t>
      </w:r>
    </w:p>
    <w:p>
      <w:pPr>
        <w:spacing w:line="600" w:lineRule="exact"/>
        <w:jc w:val="both"/>
        <w:rPr>
          <w:rFonts w:ascii="仿宋" w:hAnsi="仿宋" w:eastAsia="仿宋" w:cs="宋体"/>
          <w:szCs w:val="32"/>
          <w:lang w:eastAsia="zh-CN"/>
        </w:rPr>
      </w:pPr>
      <w:r>
        <w:rPr>
          <w:rFonts w:hint="eastAsia" w:ascii="仿宋" w:hAnsi="仿宋" w:eastAsia="仿宋" w:cs="宋体"/>
          <w:szCs w:val="32"/>
          <w:lang w:eastAsia="zh-CN"/>
        </w:rPr>
        <w:t xml:space="preserve">    （3）中期检查合格的学生，可根据检查小组意见，继续进行论文写作。</w:t>
      </w:r>
    </w:p>
    <w:p>
      <w:pPr>
        <w:spacing w:line="600" w:lineRule="exact"/>
        <w:jc w:val="both"/>
        <w:rPr>
          <w:rFonts w:ascii="仿宋" w:hAnsi="仿宋" w:eastAsia="仿宋" w:cs="仿宋"/>
          <w:szCs w:val="32"/>
          <w:lang w:eastAsia="zh-CN"/>
        </w:rPr>
      </w:pPr>
      <w:r>
        <w:rPr>
          <w:rFonts w:hint="eastAsia" w:ascii="仿宋" w:hAnsi="仿宋" w:eastAsia="仿宋" w:cs="宋体"/>
          <w:szCs w:val="32"/>
          <w:lang w:eastAsia="zh-CN"/>
        </w:rPr>
        <w:t xml:space="preserve">    （4）导师中期检查评定等级为C论文，学生须当面向检查组报</w:t>
      </w:r>
      <w:r>
        <w:rPr>
          <w:rFonts w:hint="eastAsia" w:ascii="仿宋" w:hAnsi="仿宋" w:eastAsia="仿宋" w:cs="仿宋"/>
          <w:szCs w:val="32"/>
          <w:lang w:eastAsia="zh-CN"/>
        </w:rPr>
        <w:t>告论文工作进展，检查组可对论文提出修改建议，并要求学生在1个月内提交详细研究进展报告，对其进行复议，以确定中期检查是否通过。如评定成绩仍为不通过，则需采取必要措施进行跟踪，并定期再次检查。中期检查不通过者无法参加论文正式答辩。</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（5）</w:t>
      </w:r>
      <w:r>
        <w:rPr>
          <w:rFonts w:hint="eastAsia" w:ascii="仿宋" w:hAnsi="仿宋" w:eastAsia="仿宋" w:cs="宋体"/>
          <w:szCs w:val="32"/>
          <w:lang w:eastAsia="zh-CN"/>
        </w:rPr>
        <w:t>系（院</w:t>
      </w:r>
      <w:r>
        <w:rPr>
          <w:rFonts w:ascii="仿宋" w:hAnsi="仿宋" w:eastAsia="仿宋" w:cs="宋体"/>
          <w:szCs w:val="32"/>
          <w:lang w:eastAsia="zh-CN"/>
        </w:rPr>
        <w:t>）</w:t>
      </w:r>
      <w:r>
        <w:rPr>
          <w:rFonts w:hint="eastAsia" w:ascii="仿宋" w:hAnsi="仿宋" w:eastAsia="仿宋" w:cs="仿宋"/>
          <w:szCs w:val="32"/>
          <w:lang w:eastAsia="zh-CN"/>
        </w:rPr>
        <w:t>将中期检查的汇总结果报研究生处备案。</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（6）无故不参加中期检查的学生，不能申请学位；确有特殊原因未参加中期检查的学生须经导师和系（院）负责人批准，与中期检查不合格的研究生一起进行中期检查。</w:t>
      </w:r>
    </w:p>
    <w:p>
      <w:pPr>
        <w:spacing w:line="600" w:lineRule="exact"/>
        <w:ind w:firstLine="622" w:firstLineChars="196"/>
        <w:jc w:val="both"/>
        <w:textAlignment w:val="baseline"/>
        <w:rPr>
          <w:rFonts w:ascii="仿宋" w:hAnsi="仿宋" w:eastAsia="仿宋" w:cs="仿宋"/>
          <w:b/>
          <w:szCs w:val="32"/>
          <w:lang w:eastAsia="zh-CN"/>
        </w:rPr>
      </w:pPr>
    </w:p>
    <w:p>
      <w:pPr>
        <w:spacing w:line="600" w:lineRule="exact"/>
        <w:ind w:firstLine="622" w:firstLineChars="196"/>
        <w:jc w:val="both"/>
        <w:textAlignment w:val="baseline"/>
        <w:rPr>
          <w:rFonts w:ascii="仿宋" w:hAnsi="仿宋" w:eastAsia="仿宋" w:cs="仿宋"/>
          <w:b/>
          <w:szCs w:val="32"/>
          <w:lang w:eastAsia="zh-CN"/>
        </w:rPr>
      </w:pPr>
      <w:r>
        <w:rPr>
          <w:rFonts w:hint="eastAsia" w:ascii="仿宋" w:hAnsi="仿宋" w:eastAsia="仿宋" w:cs="仿宋"/>
          <w:b/>
          <w:szCs w:val="32"/>
          <w:lang w:eastAsia="zh-CN"/>
        </w:rPr>
        <w:t>3.评定等级</w:t>
      </w:r>
    </w:p>
    <w:p>
      <w:pPr>
        <w:spacing w:line="600" w:lineRule="exact"/>
        <w:ind w:firstLine="632" w:firstLineChars="200"/>
        <w:jc w:val="both"/>
        <w:textAlignment w:val="baseline"/>
        <w:rPr>
          <w:rFonts w:ascii="仿宋" w:hAnsi="仿宋" w:eastAsia="仿宋" w:cs="仿宋"/>
          <w:szCs w:val="32"/>
          <w:lang w:eastAsia="zh-CN"/>
        </w:rPr>
      </w:pPr>
      <w:r>
        <w:rPr>
          <w:rFonts w:hint="eastAsia" w:ascii="仿宋" w:hAnsi="仿宋" w:eastAsia="仿宋" w:cs="仿宋"/>
          <w:szCs w:val="32"/>
          <w:lang w:eastAsia="zh-CN"/>
        </w:rPr>
        <w:t>专业学位硕士研究生论文中期检查等级分为A、B、C其中A为通过；B为基本通过；C为不通过。</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A: 态度端正，实际完成工作量饱满，已取得一定成果。</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B: 已完成一定的实际工作量，有望近期能取得成果。</w:t>
      </w:r>
    </w:p>
    <w:p>
      <w:pPr>
        <w:spacing w:line="600" w:lineRule="exact"/>
        <w:ind w:firstLine="632" w:firstLineChars="200"/>
        <w:jc w:val="both"/>
        <w:textAlignment w:val="baseline"/>
        <w:rPr>
          <w:rFonts w:ascii="仿宋" w:hAnsi="仿宋" w:eastAsia="仿宋" w:cs="仿宋"/>
          <w:szCs w:val="32"/>
          <w:lang w:eastAsia="zh-CN"/>
        </w:rPr>
      </w:pPr>
      <w:r>
        <w:rPr>
          <w:rFonts w:hint="eastAsia" w:ascii="仿宋" w:hAnsi="仿宋" w:eastAsia="仿宋" w:cs="仿宋"/>
          <w:szCs w:val="32"/>
          <w:lang w:eastAsia="zh-CN"/>
        </w:rPr>
        <w:t>C：实际完成工作量较少，近期也无望出成果或学位论文工作基本没有实际开展。</w:t>
      </w:r>
    </w:p>
    <w:p>
      <w:pPr>
        <w:spacing w:line="600" w:lineRule="exact"/>
        <w:ind w:firstLine="622" w:firstLineChars="196"/>
        <w:jc w:val="both"/>
        <w:textAlignment w:val="baseline"/>
        <w:rPr>
          <w:rFonts w:ascii="仿宋" w:hAnsi="仿宋" w:eastAsia="仿宋" w:cs="仿宋"/>
          <w:b/>
          <w:szCs w:val="32"/>
          <w:lang w:eastAsia="zh-CN"/>
        </w:rPr>
      </w:pPr>
      <w:r>
        <w:rPr>
          <w:rFonts w:hint="eastAsia" w:ascii="仿宋" w:hAnsi="仿宋" w:eastAsia="仿宋" w:cs="仿宋"/>
          <w:b/>
          <w:szCs w:val="32"/>
          <w:lang w:eastAsia="zh-CN"/>
        </w:rPr>
        <w:t>第六条  论文的基本要求</w:t>
      </w:r>
    </w:p>
    <w:p>
      <w:pPr>
        <w:spacing w:line="600" w:lineRule="exact"/>
        <w:ind w:firstLine="632" w:firstLineChars="200"/>
        <w:jc w:val="both"/>
        <w:textAlignment w:val="baseline"/>
        <w:rPr>
          <w:rFonts w:ascii="仿宋" w:hAnsi="仿宋" w:eastAsia="仿宋" w:cs="仿宋"/>
          <w:szCs w:val="32"/>
          <w:lang w:eastAsia="zh-CN"/>
        </w:rPr>
      </w:pPr>
      <w:r>
        <w:rPr>
          <w:rFonts w:hint="eastAsia" w:ascii="仿宋" w:hAnsi="仿宋" w:eastAsia="仿宋" w:cs="仿宋"/>
          <w:szCs w:val="32"/>
          <w:lang w:eastAsia="zh-CN"/>
        </w:rPr>
        <w:t>请见《中国劳动关系学院硕士研究生学位论文写作规范》</w:t>
      </w:r>
    </w:p>
    <w:p>
      <w:pPr>
        <w:spacing w:line="600" w:lineRule="exact"/>
        <w:ind w:firstLine="622" w:firstLineChars="196"/>
        <w:jc w:val="both"/>
        <w:textAlignment w:val="baseline"/>
        <w:rPr>
          <w:rFonts w:ascii="仿宋" w:hAnsi="仿宋" w:eastAsia="仿宋" w:cs="仿宋"/>
          <w:b/>
          <w:szCs w:val="32"/>
          <w:lang w:eastAsia="zh-CN"/>
        </w:rPr>
      </w:pPr>
      <w:r>
        <w:rPr>
          <w:rFonts w:hint="eastAsia" w:ascii="仿宋" w:hAnsi="仿宋" w:eastAsia="仿宋" w:cs="仿宋"/>
          <w:b/>
          <w:szCs w:val="32"/>
          <w:lang w:eastAsia="zh-CN"/>
        </w:rPr>
        <w:t>第七条  论文预答辩</w:t>
      </w:r>
    </w:p>
    <w:p>
      <w:pPr>
        <w:spacing w:line="600" w:lineRule="exact"/>
        <w:ind w:firstLine="632" w:firstLineChars="200"/>
        <w:jc w:val="both"/>
        <w:textAlignment w:val="baseline"/>
        <w:rPr>
          <w:rFonts w:ascii="仿宋" w:hAnsi="仿宋" w:eastAsia="仿宋" w:cs="仿宋"/>
          <w:szCs w:val="32"/>
          <w:lang w:eastAsia="zh-CN"/>
        </w:rPr>
      </w:pPr>
      <w:r>
        <w:rPr>
          <w:rFonts w:hint="eastAsia" w:ascii="仿宋" w:hAnsi="仿宋" w:eastAsia="仿宋" w:cs="仿宋"/>
          <w:szCs w:val="32"/>
          <w:lang w:eastAsia="zh-CN"/>
        </w:rPr>
        <w:t>系（院）每年可根据论文质量情况，自行决定是否组织论文预答辩，预答辩的程序可参照正式答辩的相关事项和流程。</w:t>
      </w:r>
    </w:p>
    <w:p>
      <w:pPr>
        <w:spacing w:line="600" w:lineRule="exact"/>
        <w:ind w:firstLine="634" w:firstLineChars="200"/>
        <w:jc w:val="both"/>
        <w:textAlignment w:val="baseline"/>
        <w:rPr>
          <w:rFonts w:ascii="仿宋" w:hAnsi="仿宋" w:eastAsia="仿宋" w:cs="仿宋"/>
          <w:b/>
          <w:bCs/>
          <w:szCs w:val="32"/>
          <w:lang w:eastAsia="zh-CN"/>
        </w:rPr>
      </w:pPr>
      <w:r>
        <w:rPr>
          <w:rFonts w:hint="eastAsia" w:ascii="仿宋" w:hAnsi="仿宋" w:eastAsia="仿宋" w:cs="仿宋"/>
          <w:b/>
          <w:bCs/>
          <w:szCs w:val="32"/>
          <w:lang w:eastAsia="zh-CN"/>
        </w:rPr>
        <w:t>第八条  论文答辩资格审核</w:t>
      </w:r>
    </w:p>
    <w:p>
      <w:pPr>
        <w:spacing w:line="600" w:lineRule="exact"/>
        <w:jc w:val="both"/>
        <w:textAlignment w:val="baseline"/>
        <w:rPr>
          <w:rFonts w:ascii="仿宋" w:hAnsi="仿宋" w:eastAsia="仿宋" w:cs="仿宋"/>
          <w:b/>
          <w:bCs/>
          <w:szCs w:val="32"/>
          <w:lang w:eastAsia="zh-CN"/>
        </w:rPr>
      </w:pPr>
      <w:r>
        <w:rPr>
          <w:rFonts w:hint="eastAsia" w:ascii="仿宋" w:hAnsi="仿宋" w:eastAsia="仿宋" w:cs="仿宋"/>
          <w:b/>
          <w:bCs/>
          <w:szCs w:val="32"/>
          <w:lang w:eastAsia="zh-CN"/>
        </w:rPr>
        <w:t xml:space="preserve">    1.资格审核 </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学生完成培养方案中规定的所有环节，获得培养方案规定的学分，成绩合格；论文开题和中期检查合格，论文写作要求符合学术规范，论文文字重合比检测合格，完成岗位实习和毕业实习（撰写实践调研报告，字数不少于3000字），学位论文经导师审阅同意后方可申请论文评阅与答辩。</w:t>
      </w:r>
    </w:p>
    <w:p>
      <w:pPr>
        <w:spacing w:line="600" w:lineRule="exact"/>
        <w:jc w:val="both"/>
        <w:textAlignment w:val="baseline"/>
        <w:rPr>
          <w:rFonts w:ascii="仿宋" w:hAnsi="仿宋" w:eastAsia="仿宋" w:cs="仿宋"/>
          <w:b/>
          <w:bCs/>
          <w:szCs w:val="32"/>
          <w:lang w:eastAsia="zh-CN"/>
        </w:rPr>
      </w:pPr>
      <w:r>
        <w:rPr>
          <w:rFonts w:hint="eastAsia" w:ascii="仿宋" w:hAnsi="仿宋" w:eastAsia="仿宋" w:cs="仿宋"/>
          <w:b/>
          <w:bCs/>
          <w:szCs w:val="32"/>
          <w:lang w:eastAsia="zh-CN"/>
        </w:rPr>
        <w:t xml:space="preserve">    2.程序</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（1）学生提交论文送审稿给导师审阅。导师审阅论文认为可以进入外审环节，填写《中国劳动关系学院导师对硕士学位论文的评语》。</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（2）系（院）对学位申请人论文答辩资格进行初审，不合格者须报研究生处。</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（3）学生在规定的时间提交论文电子版（PDF版），由系（院）汇总提交研究生处。</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（4）研究生处组织对所有论文进行论文文字重合比初次检测。</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（5）研究生处学位办有权对专业学位硕士研究生论文的学术规范提出意见和建议。</w:t>
      </w:r>
    </w:p>
    <w:p>
      <w:pPr>
        <w:spacing w:line="600" w:lineRule="exact"/>
        <w:jc w:val="both"/>
        <w:textAlignment w:val="baseline"/>
        <w:rPr>
          <w:rFonts w:ascii="仿宋" w:hAnsi="仿宋" w:eastAsia="仿宋" w:cs="仿宋"/>
          <w:szCs w:val="32"/>
          <w:lang w:eastAsia="zh-CN"/>
        </w:rPr>
      </w:pPr>
      <w:r>
        <w:rPr>
          <w:rFonts w:hint="eastAsia" w:ascii="仿宋" w:hAnsi="仿宋" w:eastAsia="仿宋" w:cs="仿宋"/>
          <w:szCs w:val="32"/>
          <w:lang w:eastAsia="zh-CN"/>
        </w:rPr>
        <w:t xml:space="preserve">   （6）未完成或未通过学位论文答辩资格审查的，不得进行学位论文评阅。</w:t>
      </w:r>
    </w:p>
    <w:p>
      <w:pPr>
        <w:spacing w:line="600" w:lineRule="exact"/>
        <w:ind w:firstLine="622" w:firstLineChars="196"/>
        <w:jc w:val="both"/>
        <w:textAlignment w:val="baseline"/>
        <w:rPr>
          <w:rFonts w:ascii="仿宋" w:hAnsi="仿宋" w:eastAsia="仿宋" w:cs="宋体"/>
          <w:b/>
          <w:bCs/>
          <w:szCs w:val="32"/>
          <w:lang w:eastAsia="zh-CN"/>
        </w:rPr>
      </w:pPr>
      <w:r>
        <w:rPr>
          <w:rFonts w:hint="eastAsia" w:ascii="仿宋" w:hAnsi="仿宋" w:eastAsia="仿宋" w:cs="宋体"/>
          <w:b/>
          <w:szCs w:val="32"/>
          <w:lang w:eastAsia="zh-CN"/>
        </w:rPr>
        <w:t>第九条  论文评阅</w:t>
      </w:r>
    </w:p>
    <w:p>
      <w:pPr>
        <w:spacing w:line="600" w:lineRule="exact"/>
        <w:ind w:firstLine="634" w:firstLineChars="200"/>
        <w:jc w:val="both"/>
        <w:textAlignment w:val="baseline"/>
        <w:rPr>
          <w:rFonts w:ascii="仿宋" w:hAnsi="仿宋" w:eastAsia="仿宋" w:cs="宋体"/>
          <w:b/>
          <w:szCs w:val="32"/>
          <w:lang w:eastAsia="zh-CN"/>
        </w:rPr>
      </w:pPr>
      <w:r>
        <w:rPr>
          <w:rFonts w:hint="eastAsia" w:ascii="仿宋" w:hAnsi="仿宋" w:eastAsia="仿宋" w:cs="宋体"/>
          <w:b/>
          <w:szCs w:val="32"/>
          <w:lang w:eastAsia="zh-CN"/>
        </w:rPr>
        <w:t>1.评阅要求</w:t>
      </w:r>
    </w:p>
    <w:p>
      <w:pPr>
        <w:spacing w:line="600" w:lineRule="exact"/>
        <w:ind w:firstLine="632" w:firstLineChars="200"/>
        <w:jc w:val="both"/>
        <w:textAlignment w:val="baseline"/>
        <w:rPr>
          <w:rFonts w:ascii="仿宋" w:hAnsi="仿宋" w:eastAsia="仿宋" w:cs="宋体"/>
          <w:szCs w:val="32"/>
          <w:lang w:eastAsia="zh-CN"/>
        </w:rPr>
      </w:pPr>
      <w:r>
        <w:rPr>
          <w:rFonts w:hint="eastAsia" w:ascii="仿宋" w:hAnsi="仿宋" w:eastAsia="仿宋" w:cs="宋体"/>
          <w:szCs w:val="32"/>
          <w:lang w:eastAsia="zh-CN"/>
        </w:rPr>
        <w:t>研究生处组织将所有论文送专家匿名评阅。每本论文的封面与封二要略去“研究生姓名”、“学号”、“导师姓名”和“职称”等信息，扉页上不能有研究生的签名和导师签名，论文最后也不能有“致谢”部分。</w:t>
      </w:r>
    </w:p>
    <w:p>
      <w:pPr>
        <w:spacing w:line="600" w:lineRule="exact"/>
        <w:ind w:firstLine="632" w:firstLineChars="200"/>
        <w:jc w:val="both"/>
        <w:textAlignment w:val="baseline"/>
        <w:rPr>
          <w:rFonts w:ascii="仿宋" w:hAnsi="仿宋" w:eastAsia="仿宋" w:cs="宋体"/>
          <w:szCs w:val="32"/>
          <w:lang w:eastAsia="zh-CN"/>
        </w:rPr>
      </w:pPr>
      <w:r>
        <w:rPr>
          <w:rFonts w:hint="eastAsia" w:ascii="仿宋" w:hAnsi="仿宋" w:eastAsia="仿宋" w:cs="宋体"/>
          <w:szCs w:val="32"/>
          <w:lang w:eastAsia="zh-CN"/>
        </w:rPr>
        <w:t xml:space="preserve">因未及时提交论文，电子检测、盲审评阅未通过而无法按时参加答辩者，由学生自行承担后果。 </w:t>
      </w:r>
    </w:p>
    <w:p>
      <w:pPr>
        <w:spacing w:line="600" w:lineRule="exact"/>
        <w:ind w:firstLine="622" w:firstLineChars="196"/>
        <w:jc w:val="both"/>
        <w:textAlignment w:val="baseline"/>
        <w:rPr>
          <w:rFonts w:ascii="仿宋" w:hAnsi="仿宋" w:eastAsia="仿宋" w:cs="宋体"/>
          <w:b/>
          <w:szCs w:val="32"/>
          <w:lang w:eastAsia="zh-CN"/>
        </w:rPr>
      </w:pPr>
      <w:r>
        <w:rPr>
          <w:rFonts w:hint="eastAsia" w:ascii="仿宋" w:hAnsi="仿宋" w:eastAsia="仿宋" w:cs="宋体"/>
          <w:b/>
          <w:szCs w:val="32"/>
          <w:lang w:eastAsia="zh-CN"/>
        </w:rPr>
        <w:t>2.程序</w:t>
      </w:r>
    </w:p>
    <w:p>
      <w:pPr>
        <w:spacing w:line="600" w:lineRule="exact"/>
        <w:ind w:firstLine="632" w:firstLineChars="200"/>
        <w:jc w:val="both"/>
        <w:textAlignment w:val="baseline"/>
        <w:rPr>
          <w:rFonts w:ascii="仿宋" w:hAnsi="仿宋" w:eastAsia="仿宋" w:cs="宋体"/>
          <w:szCs w:val="32"/>
          <w:lang w:eastAsia="zh-CN"/>
        </w:rPr>
      </w:pPr>
      <w:r>
        <w:rPr>
          <w:rFonts w:hint="eastAsia" w:ascii="仿宋" w:hAnsi="仿宋" w:eastAsia="仿宋" w:cs="宋体"/>
          <w:szCs w:val="32"/>
          <w:lang w:eastAsia="zh-CN"/>
        </w:rPr>
        <w:t>（1）专业学位硕士研究生论文评阅专家由系（院）提名，研究生处负责审核确定最终名单。学生通过答辩资格审查后，须经至少2名与论文相关学科领域的论文评阅人盲审评阅，论文评阅人应</w:t>
      </w:r>
      <w:r>
        <w:rPr>
          <w:rFonts w:hint="eastAsia" w:ascii="仿宋" w:hAnsi="仿宋" w:eastAsia="仿宋" w:cs="宋体"/>
          <w:bCs/>
          <w:szCs w:val="32"/>
          <w:lang w:eastAsia="zh-CN"/>
        </w:rPr>
        <w:t>具有副高级（含）以上职称或相当职称的</w:t>
      </w:r>
      <w:r>
        <w:rPr>
          <w:rFonts w:hint="eastAsia" w:ascii="仿宋" w:hAnsi="仿宋" w:eastAsia="仿宋" w:cs="宋体"/>
          <w:szCs w:val="32"/>
          <w:lang w:eastAsia="zh-CN"/>
        </w:rPr>
        <w:t>专家评阅，外单位来自相关行业领域的专家至少1名。</w:t>
      </w:r>
    </w:p>
    <w:p>
      <w:pPr>
        <w:pStyle w:val="11"/>
        <w:widowControl/>
        <w:shd w:val="clear" w:color="auto" w:fill="FFFFFF"/>
        <w:spacing w:beforeAutospacing="0" w:afterAutospacing="0" w:line="600" w:lineRule="exact"/>
        <w:ind w:firstLine="632" w:firstLineChars="200"/>
        <w:jc w:val="both"/>
        <w:textAlignment w:val="baseline"/>
        <w:rPr>
          <w:rFonts w:ascii="仿宋" w:hAnsi="仿宋" w:eastAsia="仿宋" w:cs="宋体"/>
          <w:sz w:val="32"/>
          <w:szCs w:val="32"/>
        </w:rPr>
      </w:pPr>
      <w:r>
        <w:rPr>
          <w:rFonts w:hint="eastAsia" w:ascii="仿宋" w:hAnsi="仿宋" w:eastAsia="仿宋" w:cs="宋体"/>
          <w:sz w:val="32"/>
          <w:szCs w:val="32"/>
        </w:rPr>
        <w:t>（2）研究生处指定专人向评阅专家送交聘书及评阅材料（论文、评阅书等），评阅时间不少于10天。</w:t>
      </w:r>
      <w:r>
        <w:rPr>
          <w:rFonts w:hint="eastAsia" w:ascii="仿宋" w:hAnsi="仿宋" w:eastAsia="仿宋"/>
          <w:sz w:val="32"/>
          <w:szCs w:val="32"/>
        </w:rPr>
        <w:t>论文评阅人应从专业学位硕士研究生论文基本要求等方面审查论文质量，对论文是否达到专业学位硕士研究生的学术水平，论文是否可提交答辩等提出意见，在答辩前填写</w:t>
      </w:r>
      <w:r>
        <w:rPr>
          <w:rFonts w:hint="eastAsia" w:ascii="仿宋" w:hAnsi="仿宋" w:eastAsia="仿宋" w:cs="宋体"/>
          <w:sz w:val="32"/>
          <w:szCs w:val="32"/>
        </w:rPr>
        <w:t>《中国劳动关系学院硕士学位论文评阅书》</w:t>
      </w:r>
      <w:r>
        <w:rPr>
          <w:rFonts w:hint="eastAsia" w:ascii="仿宋" w:hAnsi="仿宋" w:eastAsia="仿宋"/>
          <w:sz w:val="32"/>
          <w:szCs w:val="32"/>
        </w:rPr>
        <w:t>，送交研究生处。学位申请人的导师</w:t>
      </w:r>
      <w:r>
        <w:rPr>
          <w:rFonts w:ascii="仿宋" w:hAnsi="仿宋" w:eastAsia="仿宋"/>
          <w:sz w:val="32"/>
          <w:szCs w:val="32"/>
        </w:rPr>
        <w:t>不能作为</w:t>
      </w:r>
      <w:r>
        <w:rPr>
          <w:rFonts w:hint="eastAsia" w:ascii="仿宋" w:hAnsi="仿宋" w:eastAsia="仿宋"/>
          <w:sz w:val="32"/>
          <w:szCs w:val="32"/>
        </w:rPr>
        <w:t>申请人</w:t>
      </w:r>
      <w:r>
        <w:rPr>
          <w:rFonts w:ascii="仿宋" w:hAnsi="仿宋" w:eastAsia="仿宋"/>
          <w:sz w:val="32"/>
          <w:szCs w:val="32"/>
        </w:rPr>
        <w:t>论文</w:t>
      </w:r>
      <w:r>
        <w:rPr>
          <w:rFonts w:hint="eastAsia" w:ascii="仿宋" w:hAnsi="仿宋" w:eastAsia="仿宋"/>
          <w:sz w:val="32"/>
          <w:szCs w:val="32"/>
        </w:rPr>
        <w:t>的</w:t>
      </w:r>
      <w:r>
        <w:rPr>
          <w:rFonts w:ascii="仿宋" w:hAnsi="仿宋" w:eastAsia="仿宋"/>
          <w:sz w:val="32"/>
          <w:szCs w:val="32"/>
        </w:rPr>
        <w:t>评阅人。</w:t>
      </w:r>
    </w:p>
    <w:p>
      <w:pPr>
        <w:spacing w:line="600" w:lineRule="exact"/>
        <w:ind w:firstLine="632" w:firstLineChars="200"/>
        <w:jc w:val="both"/>
        <w:textAlignment w:val="baseline"/>
        <w:rPr>
          <w:rFonts w:ascii="仿宋" w:hAnsi="仿宋" w:eastAsia="仿宋" w:cs="宋体"/>
          <w:szCs w:val="32"/>
          <w:lang w:eastAsia="zh-CN"/>
        </w:rPr>
      </w:pPr>
      <w:r>
        <w:rPr>
          <w:rFonts w:hint="eastAsia" w:ascii="仿宋" w:hAnsi="仿宋" w:eastAsia="仿宋" w:cs="宋体"/>
          <w:szCs w:val="32"/>
          <w:lang w:eastAsia="zh-CN"/>
        </w:rPr>
        <w:t>（3）若有1名评阅人的评阅意见为不同意答辩，须增聘1名评阅人进行评阅；若累计有2名评阅人的评阅意见为不同意答辩，须重新修改论文，重新进行评阅程序，评阅人为原评阅人。学位申请人须延期答辩或者办理延期毕业手续。</w:t>
      </w:r>
    </w:p>
    <w:p>
      <w:pPr>
        <w:spacing w:line="600" w:lineRule="exact"/>
        <w:ind w:firstLine="632" w:firstLineChars="200"/>
        <w:jc w:val="both"/>
        <w:textAlignment w:val="baseline"/>
        <w:rPr>
          <w:rFonts w:ascii="仿宋" w:hAnsi="仿宋" w:eastAsia="仿宋" w:cs="宋体"/>
          <w:szCs w:val="32"/>
          <w:lang w:eastAsia="zh-CN"/>
        </w:rPr>
      </w:pPr>
      <w:r>
        <w:rPr>
          <w:rFonts w:hint="eastAsia" w:ascii="仿宋" w:hAnsi="仿宋" w:eastAsia="仿宋" w:cs="宋体"/>
          <w:szCs w:val="32"/>
          <w:lang w:eastAsia="zh-CN"/>
        </w:rPr>
        <w:t>（4）评阅专家意见中有“限期修改后答辩”，由系（院）会同研究生处根据修改情况商议是否允许答辩。</w:t>
      </w:r>
    </w:p>
    <w:p>
      <w:pPr>
        <w:spacing w:line="600" w:lineRule="exact"/>
        <w:ind w:firstLine="632" w:firstLineChars="200"/>
        <w:jc w:val="both"/>
        <w:textAlignment w:val="baseline"/>
        <w:rPr>
          <w:rFonts w:ascii="仿宋" w:hAnsi="仿宋" w:eastAsia="仿宋" w:cs="宋体"/>
          <w:szCs w:val="32"/>
          <w:lang w:eastAsia="zh-CN"/>
        </w:rPr>
      </w:pPr>
      <w:r>
        <w:rPr>
          <w:rFonts w:hint="eastAsia" w:ascii="仿宋" w:hAnsi="仿宋" w:eastAsia="仿宋" w:cs="宋体"/>
          <w:szCs w:val="32"/>
          <w:lang w:eastAsia="zh-CN"/>
        </w:rPr>
        <w:t>（5）论文通过评阅后，系（院）填写《中国劳动关系学院硕士学位论文答辩审批表》并提交研究生处。</w:t>
      </w:r>
    </w:p>
    <w:p>
      <w:pPr>
        <w:spacing w:line="600" w:lineRule="exact"/>
        <w:ind w:firstLine="634" w:firstLineChars="200"/>
        <w:jc w:val="both"/>
        <w:textAlignment w:val="baseline"/>
        <w:rPr>
          <w:rFonts w:ascii="仿宋" w:hAnsi="仿宋" w:eastAsia="仿宋" w:cstheme="minorEastAsia"/>
          <w:b/>
          <w:bCs/>
          <w:szCs w:val="32"/>
          <w:lang w:eastAsia="zh-CN"/>
        </w:rPr>
      </w:pPr>
      <w:r>
        <w:rPr>
          <w:rFonts w:hint="eastAsia" w:ascii="仿宋" w:hAnsi="仿宋" w:eastAsia="仿宋" w:cstheme="minorEastAsia"/>
          <w:b/>
          <w:bCs/>
          <w:szCs w:val="32"/>
          <w:lang w:eastAsia="zh-CN"/>
        </w:rPr>
        <w:t>第十条  论文答辩</w:t>
      </w:r>
    </w:p>
    <w:p>
      <w:pPr>
        <w:spacing w:line="600" w:lineRule="exact"/>
        <w:ind w:firstLine="634" w:firstLineChars="200"/>
        <w:jc w:val="both"/>
        <w:textAlignment w:val="baseline"/>
        <w:rPr>
          <w:rFonts w:ascii="仿宋" w:hAnsi="仿宋" w:eastAsia="仿宋" w:cstheme="minorEastAsia"/>
          <w:b/>
          <w:bCs/>
          <w:szCs w:val="32"/>
          <w:lang w:eastAsia="zh-CN"/>
        </w:rPr>
      </w:pPr>
      <w:r>
        <w:rPr>
          <w:rFonts w:hint="eastAsia" w:ascii="仿宋" w:hAnsi="仿宋" w:eastAsia="仿宋" w:cstheme="minorEastAsia"/>
          <w:b/>
          <w:bCs/>
          <w:szCs w:val="32"/>
          <w:lang w:eastAsia="zh-CN"/>
        </w:rPr>
        <w:t>1.组织领导</w:t>
      </w:r>
    </w:p>
    <w:p>
      <w:pPr>
        <w:spacing w:line="600" w:lineRule="exact"/>
        <w:ind w:firstLine="632" w:firstLineChars="200"/>
        <w:jc w:val="both"/>
        <w:textAlignment w:val="baseline"/>
        <w:rPr>
          <w:rFonts w:ascii="仿宋" w:hAnsi="仿宋" w:eastAsia="仿宋" w:cstheme="minorEastAsia"/>
          <w:bCs/>
          <w:szCs w:val="32"/>
          <w:lang w:eastAsia="zh-CN"/>
        </w:rPr>
      </w:pPr>
      <w:r>
        <w:rPr>
          <w:rFonts w:hint="eastAsia" w:ascii="仿宋" w:hAnsi="仿宋" w:eastAsia="仿宋" w:cstheme="minorEastAsia"/>
          <w:bCs/>
          <w:szCs w:val="32"/>
          <w:lang w:eastAsia="zh-CN"/>
        </w:rPr>
        <w:t>硕士专业学位论文答辩工作由学校硕士学位评定分委员会领导，研究生处负责管理，各系（院）学位评定小组按照本办法规定开展本单位专业学位硕士研究生学位论文答辩工作。</w:t>
      </w:r>
    </w:p>
    <w:p>
      <w:pPr>
        <w:spacing w:line="600" w:lineRule="exact"/>
        <w:ind w:firstLine="634" w:firstLineChars="200"/>
        <w:jc w:val="both"/>
        <w:textAlignment w:val="baseline"/>
        <w:rPr>
          <w:rFonts w:ascii="仿宋" w:hAnsi="仿宋" w:eastAsia="仿宋" w:cstheme="minorEastAsia"/>
          <w:szCs w:val="32"/>
          <w:lang w:eastAsia="zh-CN"/>
        </w:rPr>
      </w:pPr>
      <w:r>
        <w:rPr>
          <w:rFonts w:hint="eastAsia" w:ascii="仿宋" w:hAnsi="仿宋" w:eastAsia="仿宋" w:cstheme="minorEastAsia"/>
          <w:b/>
          <w:bCs/>
          <w:szCs w:val="32"/>
          <w:lang w:eastAsia="zh-CN"/>
        </w:rPr>
        <w:t xml:space="preserve">2.答辩委员会的组成 </w:t>
      </w:r>
    </w:p>
    <w:p>
      <w:pPr>
        <w:snapToGrid w:val="0"/>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答辩委员具体人选由系（院）提议，硕士学位评定分委员会审核批准。专业学位硕士研究生论文答辩委员会由5至7名具有副教授（含）以上或相当职称专家组成，</w:t>
      </w:r>
      <w:r>
        <w:rPr>
          <w:rFonts w:hint="eastAsia" w:ascii="仿宋" w:hAnsi="仿宋" w:eastAsia="仿宋"/>
          <w:szCs w:val="32"/>
          <w:lang w:eastAsia="zh-CN"/>
        </w:rPr>
        <w:t>其中1人担任答辩委员会主席，其余为委员。答辩委员会成员中应有不少于1/3相关行业领域专家参加，论文评阅人可同时担任答辩委员会委员。硕士研究生导师不参加自己指导研究生的论文答辩委员会。</w:t>
      </w:r>
    </w:p>
    <w:p>
      <w:pPr>
        <w:spacing w:line="600" w:lineRule="exact"/>
        <w:ind w:firstLine="634" w:firstLineChars="200"/>
        <w:jc w:val="both"/>
        <w:textAlignment w:val="baseline"/>
        <w:rPr>
          <w:rFonts w:ascii="仿宋" w:hAnsi="仿宋" w:eastAsia="仿宋" w:cstheme="minorEastAsia"/>
          <w:szCs w:val="32"/>
          <w:lang w:eastAsia="zh-CN"/>
        </w:rPr>
      </w:pPr>
      <w:r>
        <w:rPr>
          <w:rFonts w:hint="eastAsia" w:ascii="仿宋" w:hAnsi="仿宋" w:eastAsia="仿宋" w:cstheme="minorEastAsia"/>
          <w:b/>
          <w:bCs/>
          <w:szCs w:val="32"/>
          <w:lang w:eastAsia="zh-CN"/>
        </w:rPr>
        <w:t xml:space="preserve">3.工作要求 </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1）答辩会前不少于7天，研究生处学位办指定专人向答辩委员送交聘书及答辩材料。答辩委员应认真审阅学位论文，预先了解论文的全文或内容摘要，并在答辩会上作出评述和提问；答辩委员不得委托他人或以通讯方式投票表决。</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（2）答辩会一般应公开举行（保密论文除外），事先公告答辩人、答辩会举行的时间、地点等，依照“专业学位硕士研究生论文答辩会议程”进行。</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（3）导师可列席答辩会并可介绍相关情况（答辩人的学习、实践、论文写作等），但在答辩委员会闭门讨论时须回避。</w:t>
      </w:r>
    </w:p>
    <w:p>
      <w:pPr>
        <w:spacing w:line="600" w:lineRule="exact"/>
        <w:ind w:firstLine="622" w:firstLineChars="196"/>
        <w:jc w:val="both"/>
        <w:textAlignment w:val="baseline"/>
        <w:rPr>
          <w:rFonts w:ascii="仿宋" w:hAnsi="仿宋" w:eastAsia="仿宋" w:cstheme="minorEastAsia"/>
          <w:b/>
          <w:bCs/>
          <w:szCs w:val="32"/>
          <w:lang w:eastAsia="zh-CN"/>
        </w:rPr>
      </w:pPr>
      <w:r>
        <w:rPr>
          <w:rFonts w:hint="eastAsia" w:ascii="仿宋" w:hAnsi="仿宋" w:eastAsia="仿宋" w:cstheme="minorEastAsia"/>
          <w:b/>
          <w:bCs/>
          <w:szCs w:val="32"/>
          <w:lang w:eastAsia="zh-CN"/>
        </w:rPr>
        <w:t>4.答辩程序</w:t>
      </w:r>
    </w:p>
    <w:p>
      <w:pPr>
        <w:spacing w:line="600" w:lineRule="exact"/>
        <w:ind w:firstLine="632" w:firstLineChars="200"/>
        <w:textAlignment w:val="baseline"/>
        <w:rPr>
          <w:rFonts w:ascii="仿宋" w:hAnsi="仿宋" w:eastAsia="仿宋" w:cstheme="minorEastAsia"/>
          <w:bCs/>
          <w:szCs w:val="32"/>
          <w:lang w:eastAsia="zh-CN"/>
        </w:rPr>
      </w:pPr>
      <w:r>
        <w:rPr>
          <w:rFonts w:hint="eastAsia" w:ascii="仿宋" w:hAnsi="仿宋" w:eastAsia="仿宋" w:cstheme="minorEastAsia"/>
          <w:bCs/>
          <w:szCs w:val="32"/>
          <w:lang w:eastAsia="zh-CN"/>
        </w:rPr>
        <w:t>（1）答辩秘书宣读硕士学位分委员会主任审批的答辩委员会主席及成员名单；</w:t>
      </w:r>
    </w:p>
    <w:p>
      <w:pPr>
        <w:spacing w:line="600" w:lineRule="exact"/>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 xml:space="preserve">    （2）答辩委员会主席宣布论文答辩开始，并宣读专业学位硕士研究生论文答辩要求和程序，并介绍答辩委员会专家的情况；</w:t>
      </w:r>
    </w:p>
    <w:p>
      <w:pPr>
        <w:spacing w:line="600" w:lineRule="exact"/>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 xml:space="preserve">    （3</w:t>
      </w:r>
      <w:r>
        <w:rPr>
          <w:rFonts w:ascii="仿宋" w:hAnsi="仿宋" w:eastAsia="仿宋" w:cstheme="minorEastAsia"/>
          <w:szCs w:val="32"/>
          <w:lang w:eastAsia="zh-CN"/>
        </w:rPr>
        <w:t>）</w:t>
      </w:r>
      <w:r>
        <w:rPr>
          <w:rFonts w:hint="eastAsia" w:ascii="仿宋" w:hAnsi="仿宋" w:eastAsia="仿宋" w:cstheme="minorEastAsia"/>
          <w:szCs w:val="32"/>
          <w:lang w:eastAsia="zh-CN"/>
        </w:rPr>
        <w:t>答辩秘书介绍申请人资格审查情况；</w:t>
      </w:r>
    </w:p>
    <w:p>
      <w:pPr>
        <w:spacing w:line="600" w:lineRule="exact"/>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 xml:space="preserve">    （4）学生报告自己学位论文的主要内容，包括论文选题目的意义、写作过程、主要内容等，时间不超过30分钟； </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（5）答辩委员与论文作者就论文内容进行现场问答；答辩委员会成员在答辩过程中应避免做引导性发言和结论性评价，时间不超过30分钟；</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（6）答辩委员会进行评议和投票，申请人及列席会议者暂时退场，内容应包括：</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对答辩内容、达到的专业水准进行评议；</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 xml:space="preserve">以无记名投票方式表决，获委员2/3以上（含）通过者，论文答辩被认定为通过。 </w:t>
      </w:r>
    </w:p>
    <w:p>
      <w:pPr>
        <w:spacing w:line="600" w:lineRule="exact"/>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 xml:space="preserve">   答辩委员会必须坚持严格的学位标准和实事求是的科学态度，严格把关，充分商议，从“论文的选题意义、应用价值、逻辑结构，论证方法、写作规范，论文体现的作者综合运用知识解决问题的能力，答辩人的报告水平及答辩能力，论文存在的不足及修改要求，投票表决结果”等方面形成“答辩委员会决议”；</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签署 “答辩委员会</w:t>
      </w:r>
      <w:r>
        <w:rPr>
          <w:rFonts w:hint="eastAsia" w:ascii="仿宋" w:hAnsi="仿宋" w:eastAsia="仿宋"/>
          <w:szCs w:val="32"/>
          <w:lang w:eastAsia="zh-CN"/>
        </w:rPr>
        <w:t>决议”，所有到会的答辩委员均应签字，报送硕士学位评定分委员会审核；</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 xml:space="preserve">（7）答辩委员会主席请论文作者重新入场并宣布表决结果。 </w:t>
      </w:r>
    </w:p>
    <w:p>
      <w:pPr>
        <w:spacing w:line="600" w:lineRule="exact"/>
        <w:ind w:firstLine="622" w:firstLineChars="196"/>
        <w:jc w:val="both"/>
        <w:textAlignment w:val="baseline"/>
        <w:rPr>
          <w:rFonts w:ascii="仿宋" w:hAnsi="仿宋" w:eastAsia="仿宋" w:cstheme="minorEastAsia"/>
          <w:b/>
          <w:szCs w:val="32"/>
          <w:lang w:eastAsia="zh-CN"/>
        </w:rPr>
      </w:pPr>
      <w:r>
        <w:rPr>
          <w:rFonts w:hint="eastAsia" w:ascii="仿宋" w:hAnsi="仿宋" w:eastAsia="仿宋" w:cstheme="minorEastAsia"/>
          <w:b/>
          <w:szCs w:val="32"/>
          <w:lang w:eastAsia="zh-CN"/>
        </w:rPr>
        <w:t>5.答辩秘书</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答辩委员会设答辩秘书1至2人，由系（院）指定担任，主要职责是：准备答辩会的相关材料，填写《中国劳动关系学院硕士学位论文答辩记录表》（重点是委员的提问、答辩人的回答、答辩委员会的简要决议），整理答辩人的《中国劳动关系学院硕士学位论文答辩决议书》、《中国劳动关系学院硕士学位论文答辩委员会表决票》等材料，内容准确，字迹工整。答辩秘书须在答辩后整理汇总答辩材料，在规定时间内报送各系（院）审核后交研究生处学位办存档。</w:t>
      </w:r>
    </w:p>
    <w:p>
      <w:pPr>
        <w:spacing w:line="600" w:lineRule="exact"/>
        <w:ind w:firstLine="634" w:firstLineChars="200"/>
        <w:jc w:val="both"/>
        <w:textAlignment w:val="baseline"/>
        <w:rPr>
          <w:rFonts w:ascii="仿宋" w:hAnsi="仿宋" w:eastAsia="仿宋" w:cstheme="minorEastAsia"/>
          <w:b/>
          <w:bCs/>
          <w:szCs w:val="32"/>
          <w:lang w:eastAsia="zh-CN"/>
        </w:rPr>
      </w:pPr>
      <w:r>
        <w:rPr>
          <w:rFonts w:hint="eastAsia" w:ascii="仿宋" w:hAnsi="仿宋" w:eastAsia="仿宋" w:cstheme="minorEastAsia"/>
          <w:b/>
          <w:bCs/>
          <w:szCs w:val="32"/>
          <w:lang w:eastAsia="zh-CN"/>
        </w:rPr>
        <w:t xml:space="preserve">6.论文答辩后修改与提交 </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（1）研究生处将对学生论文最终稿进行论文电子检测。</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（2）论文完成答辩后，学生均应按照答辩委员会的意见对论文进行修改，填写修改说明。论文修改完成，导师和系（院）终审合格，方可提交研究生处进行论文检测。</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 xml:space="preserve">（3）如答辩委员会评定结果为通过，学生修改论文后，应提交导师终审，并由导师在论文相应位置签名确认。 </w:t>
      </w:r>
    </w:p>
    <w:p>
      <w:pPr>
        <w:spacing w:line="600" w:lineRule="exact"/>
        <w:ind w:firstLine="632" w:firstLineChars="200"/>
        <w:jc w:val="both"/>
        <w:textAlignment w:val="baseline"/>
        <w:rPr>
          <w:rFonts w:ascii="仿宋" w:hAnsi="仿宋" w:eastAsia="仿宋" w:cstheme="minorEastAsia"/>
          <w:szCs w:val="32"/>
          <w:lang w:eastAsia="zh-CN"/>
        </w:rPr>
      </w:pPr>
      <w:r>
        <w:rPr>
          <w:rFonts w:hint="eastAsia" w:ascii="仿宋" w:hAnsi="仿宋" w:eastAsia="仿宋" w:cstheme="minorEastAsia"/>
          <w:szCs w:val="32"/>
          <w:lang w:eastAsia="zh-CN"/>
        </w:rPr>
        <w:t>（4）如答辩委员会评定结果为修改后通过，学生修改论文后，应填写《中国劳动关系学院硕士学位论文复审意见表》，提交导师和系（院）审核，审核通过的论文，经导师在论文相应位置签名确认后，可申请硕士专业学位；审核不通过的，应重新修改。修改完成者可在一年内申请第二次答辩，若仍末通过，则不再受理学位申请。</w:t>
      </w:r>
    </w:p>
    <w:p>
      <w:pPr>
        <w:snapToGrid w:val="0"/>
        <w:spacing w:line="600" w:lineRule="exact"/>
        <w:ind w:firstLine="632" w:firstLineChars="200"/>
        <w:jc w:val="both"/>
        <w:rPr>
          <w:rFonts w:ascii="仿宋" w:hAnsi="仿宋" w:eastAsia="仿宋" w:cstheme="minorEastAsia"/>
          <w:szCs w:val="32"/>
          <w:lang w:eastAsia="zh-CN"/>
        </w:rPr>
      </w:pPr>
      <w:r>
        <w:rPr>
          <w:rFonts w:hint="eastAsia" w:ascii="仿宋" w:hAnsi="仿宋" w:eastAsia="仿宋"/>
          <w:szCs w:val="32"/>
          <w:lang w:eastAsia="zh-CN"/>
        </w:rPr>
        <w:t>（5）凡在规定时间内不能进行论文答辩者，应事先提出申请，由导师和系（院）领导同意并签字后，报研究生处审批。同意延期答辩者，可延期于1年内进行答辩，否则将作为肄业处理。未提出申请或申请未获批准者，要按期答辩，否则作为肄业处理。</w:t>
      </w:r>
    </w:p>
    <w:p>
      <w:pPr>
        <w:spacing w:line="600" w:lineRule="exact"/>
        <w:ind w:firstLine="622" w:firstLineChars="196"/>
        <w:jc w:val="both"/>
        <w:rPr>
          <w:rFonts w:ascii="仿宋" w:hAnsi="仿宋" w:eastAsia="仿宋" w:cstheme="minorEastAsia"/>
          <w:b/>
          <w:bCs/>
          <w:szCs w:val="32"/>
          <w:lang w:eastAsia="zh-CN"/>
        </w:rPr>
      </w:pPr>
      <w:r>
        <w:rPr>
          <w:rFonts w:hint="eastAsia" w:ascii="仿宋" w:hAnsi="仿宋" w:eastAsia="仿宋" w:cstheme="minorEastAsia"/>
          <w:b/>
          <w:bCs/>
          <w:szCs w:val="32"/>
          <w:lang w:eastAsia="zh-CN"/>
        </w:rPr>
        <w:t>第十一条  优秀专业学位硕士研究生论文评选原则</w:t>
      </w:r>
    </w:p>
    <w:p>
      <w:pPr>
        <w:spacing w:line="600" w:lineRule="exact"/>
        <w:ind w:firstLine="622" w:firstLineChars="196"/>
        <w:jc w:val="both"/>
        <w:rPr>
          <w:rFonts w:ascii="仿宋" w:hAnsi="仿宋" w:eastAsia="仿宋" w:cstheme="minorEastAsia"/>
          <w:b/>
          <w:bCs/>
          <w:szCs w:val="32"/>
          <w:lang w:eastAsia="zh-CN"/>
        </w:rPr>
      </w:pPr>
      <w:r>
        <w:rPr>
          <w:rFonts w:hint="eastAsia" w:ascii="仿宋" w:hAnsi="仿宋" w:eastAsia="仿宋" w:cstheme="minorEastAsia"/>
          <w:b/>
          <w:bCs/>
          <w:szCs w:val="32"/>
          <w:lang w:eastAsia="zh-CN"/>
        </w:rPr>
        <w:t>评选原则：</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1.答辩后未修改、未获得导师终审批准的论文不得评定为优秀论文。</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2.优秀论文评定实行总量控制，按照论文总数的10%推荐。</w:t>
      </w:r>
    </w:p>
    <w:p>
      <w:pPr>
        <w:spacing w:line="600" w:lineRule="exact"/>
        <w:ind w:firstLine="632" w:firstLineChars="200"/>
        <w:jc w:val="both"/>
        <w:rPr>
          <w:rFonts w:ascii="仿宋" w:hAnsi="仿宋" w:eastAsia="仿宋" w:cstheme="minorEastAsia"/>
          <w:bCs/>
          <w:szCs w:val="32"/>
          <w:lang w:eastAsia="zh-CN"/>
        </w:rPr>
      </w:pPr>
      <w:r>
        <w:rPr>
          <w:rFonts w:hint="eastAsia" w:ascii="仿宋" w:hAnsi="仿宋" w:eastAsia="仿宋" w:cstheme="minorEastAsia"/>
          <w:szCs w:val="32"/>
          <w:lang w:eastAsia="zh-CN"/>
        </w:rPr>
        <w:t>3.优秀论文评定</w:t>
      </w:r>
      <w:r>
        <w:rPr>
          <w:rFonts w:hint="eastAsia" w:ascii="仿宋" w:hAnsi="仿宋" w:eastAsia="仿宋" w:cstheme="minorEastAsia"/>
          <w:bCs/>
          <w:szCs w:val="32"/>
          <w:lang w:eastAsia="zh-CN"/>
        </w:rPr>
        <w:t>由答辩委员会成员评选出优秀专业学位硕士研究生论文的名单，由</w:t>
      </w:r>
      <w:r>
        <w:rPr>
          <w:rFonts w:hint="eastAsia" w:ascii="仿宋" w:hAnsi="仿宋" w:eastAsia="仿宋" w:cstheme="minorEastAsia"/>
          <w:szCs w:val="32"/>
          <w:lang w:eastAsia="zh-CN"/>
        </w:rPr>
        <w:t>硕士学位评定分委员会审核，报校学位评定委员会批准通过。</w:t>
      </w:r>
    </w:p>
    <w:p>
      <w:pPr>
        <w:spacing w:line="600" w:lineRule="exact"/>
        <w:ind w:firstLine="622" w:firstLineChars="196"/>
        <w:jc w:val="both"/>
        <w:rPr>
          <w:rFonts w:ascii="仿宋" w:hAnsi="仿宋" w:eastAsia="仿宋" w:cstheme="minorEastAsia"/>
          <w:b/>
          <w:bCs/>
          <w:szCs w:val="32"/>
          <w:lang w:eastAsia="zh-CN"/>
        </w:rPr>
      </w:pPr>
      <w:r>
        <w:rPr>
          <w:rFonts w:hint="eastAsia" w:ascii="仿宋" w:hAnsi="仿宋" w:eastAsia="仿宋" w:cstheme="minorEastAsia"/>
          <w:b/>
          <w:bCs/>
          <w:szCs w:val="32"/>
          <w:lang w:eastAsia="zh-CN"/>
        </w:rPr>
        <w:t>第十二条  学位论文答辩报送材料及学位授予时间</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答辩结束后，各系（院）应在规定的时间内将下列相关材料送交研究生处。</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1.学生学位申请书。</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2.答辩委员会决议书。</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3.硕士学位论文复审意见表。</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4.答辩会记录。</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5.</w:t>
      </w:r>
      <w:r>
        <w:rPr>
          <w:rFonts w:hint="eastAsia" w:ascii="仿宋" w:hAnsi="仿宋" w:eastAsia="仿宋" w:cs="仿宋"/>
          <w:szCs w:val="32"/>
          <w:lang w:eastAsia="zh-CN"/>
        </w:rPr>
        <w:t>拟申请专业学位硕士研究生研究生名单数据库表。</w:t>
      </w:r>
    </w:p>
    <w:p>
      <w:pPr>
        <w:spacing w:line="600" w:lineRule="exact"/>
        <w:ind w:firstLine="634" w:firstLineChars="200"/>
        <w:jc w:val="both"/>
        <w:rPr>
          <w:rFonts w:ascii="仿宋" w:hAnsi="仿宋" w:eastAsia="仿宋" w:cstheme="minorEastAsia"/>
          <w:b/>
          <w:bCs/>
          <w:szCs w:val="32"/>
          <w:lang w:eastAsia="zh-CN"/>
        </w:rPr>
      </w:pPr>
      <w:r>
        <w:rPr>
          <w:rFonts w:hint="eastAsia" w:ascii="仿宋" w:hAnsi="仿宋" w:eastAsia="仿宋" w:cstheme="minorEastAsia"/>
          <w:b/>
          <w:bCs/>
          <w:szCs w:val="32"/>
          <w:lang w:eastAsia="zh-CN"/>
        </w:rPr>
        <w:t>第十三条  参加论文答辩并获通过的研究生应在规定时间内，将下列材料交研究生处。逾期不交答辩材料的研究生，留待下次学位评定委员会会议审核。</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1.根据论文答辩委员会的意见修改定稿的专业学位硕士研究生论文一式3份（并附电子文本）；</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2.《毕业研究生登记表》一式两份。</w:t>
      </w:r>
    </w:p>
    <w:p>
      <w:pPr>
        <w:pStyle w:val="25"/>
        <w:spacing w:line="600" w:lineRule="exact"/>
        <w:ind w:firstLine="634"/>
        <w:jc w:val="both"/>
        <w:rPr>
          <w:rFonts w:ascii="仿宋" w:hAnsi="仿宋" w:eastAsia="仿宋" w:cstheme="minorEastAsia"/>
          <w:szCs w:val="32"/>
          <w:lang w:eastAsia="zh-CN"/>
        </w:rPr>
      </w:pPr>
      <w:r>
        <w:rPr>
          <w:rFonts w:hint="eastAsia" w:ascii="仿宋" w:hAnsi="仿宋" w:eastAsia="仿宋" w:cstheme="minorEastAsia"/>
          <w:b/>
          <w:bCs/>
          <w:szCs w:val="32"/>
          <w:lang w:eastAsia="zh-CN"/>
        </w:rPr>
        <w:t>第十四条  研究生毕业论文答辩旁听注意事项</w:t>
      </w:r>
    </w:p>
    <w:p>
      <w:pPr>
        <w:spacing w:line="600" w:lineRule="exact"/>
        <w:ind w:firstLine="632" w:firstLineChars="200"/>
        <w:jc w:val="both"/>
        <w:rPr>
          <w:rFonts w:ascii="仿宋" w:hAnsi="仿宋" w:eastAsia="仿宋" w:cstheme="minorEastAsia"/>
          <w:szCs w:val="32"/>
          <w:lang w:eastAsia="zh-CN"/>
        </w:rPr>
      </w:pPr>
      <w:r>
        <w:rPr>
          <w:rFonts w:hint="eastAsia" w:ascii="仿宋" w:hAnsi="仿宋" w:eastAsia="仿宋" w:cstheme="minorEastAsia"/>
          <w:szCs w:val="32"/>
          <w:lang w:eastAsia="zh-CN"/>
        </w:rPr>
        <w:t>研究生论文答辩允许论文导师、其他教师和学生旁听。旁听人员应提前10分钟进入答辩地点。在答辩过程中，旁听者应按指定位置就座，关闭手机，保持安静。答辩开始后不得入场、不得走动。</w:t>
      </w:r>
    </w:p>
    <w:p>
      <w:pPr>
        <w:spacing w:line="600" w:lineRule="exact"/>
        <w:jc w:val="both"/>
        <w:rPr>
          <w:rFonts w:ascii="仿宋" w:hAnsi="仿宋" w:eastAsia="仿宋" w:cstheme="minorEastAsia"/>
          <w:szCs w:val="32"/>
          <w:lang w:eastAsia="zh-CN"/>
        </w:rPr>
      </w:pPr>
      <w:r>
        <w:rPr>
          <w:rFonts w:hint="eastAsia" w:ascii="仿宋" w:hAnsi="仿宋" w:eastAsia="仿宋" w:cstheme="minorEastAsia"/>
          <w:b/>
          <w:szCs w:val="32"/>
          <w:lang w:eastAsia="zh-CN"/>
        </w:rPr>
        <w:t xml:space="preserve">    第十五条  </w:t>
      </w:r>
      <w:r>
        <w:rPr>
          <w:rFonts w:hint="eastAsia" w:ascii="仿宋" w:hAnsi="仿宋" w:eastAsia="仿宋" w:cstheme="minorEastAsia"/>
          <w:szCs w:val="32"/>
          <w:lang w:eastAsia="zh-CN"/>
        </w:rPr>
        <w:t>本实施细则自公布之日起开始执行，由硕士学位评定分委员会委托研究生处负责解释。</w:t>
      </w:r>
    </w:p>
    <w:p>
      <w:pPr>
        <w:spacing w:line="600" w:lineRule="exact"/>
        <w:ind w:firstLine="632" w:firstLineChars="200"/>
        <w:jc w:val="both"/>
        <w:rPr>
          <w:rFonts w:ascii="仿宋" w:hAnsi="仿宋" w:eastAsia="仿宋" w:cstheme="minorEastAsia"/>
          <w:szCs w:val="32"/>
          <w:lang w:eastAsia="zh-CN"/>
        </w:rPr>
      </w:pPr>
    </w:p>
    <w:p>
      <w:pPr>
        <w:spacing w:line="600" w:lineRule="exact"/>
        <w:ind w:firstLine="632" w:firstLineChars="200"/>
        <w:jc w:val="both"/>
        <w:rPr>
          <w:rFonts w:ascii="仿宋" w:hAnsi="仿宋" w:eastAsia="仿宋" w:cstheme="minorEastAsia"/>
          <w:szCs w:val="32"/>
          <w:lang w:eastAsia="zh-CN"/>
        </w:rPr>
      </w:pPr>
    </w:p>
    <w:bookmarkEnd w:id="0"/>
    <w:sectPr>
      <w:footerReference r:id="rId3" w:type="default"/>
      <w:footerReference r:id="rId4" w:type="even"/>
      <w:pgSz w:w="11906" w:h="16838"/>
      <w:pgMar w:top="1871" w:right="1531" w:bottom="1871" w:left="1531" w:header="851" w:footer="992" w:gutter="0"/>
      <w:pgNumType w:fmt="numberInDash"/>
      <w:cols w:space="0" w:num="1"/>
      <w:docGrid w:type="linesAndChars" w:linePitch="31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2370"/>
    </w:sdtPr>
    <w:sdtEndPr>
      <w:rPr>
        <w:rFonts w:ascii="仿宋" w:hAnsi="仿宋" w:eastAsia="仿宋"/>
        <w:sz w:val="28"/>
        <w:szCs w:val="28"/>
      </w:rPr>
    </w:sdtEndPr>
    <w:sdtContent>
      <w:p>
        <w:pPr>
          <w:pStyle w:val="9"/>
          <w:ind w:right="180"/>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15 -</w:t>
        </w:r>
        <w:r>
          <w:rPr>
            <w:rFonts w:ascii="仿宋" w:hAnsi="仿宋" w:eastAsia="仿宋"/>
            <w:sz w:val="28"/>
            <w:szCs w:val="28"/>
          </w:rPr>
          <w:fldChar w:fldCharType="end"/>
        </w:r>
      </w:p>
    </w:sdtContent>
  </w:sdt>
  <w:p>
    <w:pPr>
      <w:pStyle w:val="9"/>
      <w:ind w:firstLine="4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14 -</w:t>
    </w:r>
    <w:r>
      <w:rPr>
        <w:rFonts w:ascii="宋体" w:hAnsi="宋体"/>
        <w:sz w:val="2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76CF"/>
    <w:rsid w:val="0000170D"/>
    <w:rsid w:val="00002405"/>
    <w:rsid w:val="00022A21"/>
    <w:rsid w:val="00023B82"/>
    <w:rsid w:val="0004454E"/>
    <w:rsid w:val="00050BC0"/>
    <w:rsid w:val="00066195"/>
    <w:rsid w:val="00070B30"/>
    <w:rsid w:val="0007216A"/>
    <w:rsid w:val="000803F5"/>
    <w:rsid w:val="000842FB"/>
    <w:rsid w:val="000A095A"/>
    <w:rsid w:val="000A53F4"/>
    <w:rsid w:val="000B3C99"/>
    <w:rsid w:val="000C216B"/>
    <w:rsid w:val="00116A10"/>
    <w:rsid w:val="0012530D"/>
    <w:rsid w:val="00135BC2"/>
    <w:rsid w:val="0014163F"/>
    <w:rsid w:val="00143A6D"/>
    <w:rsid w:val="00161049"/>
    <w:rsid w:val="00163136"/>
    <w:rsid w:val="00164202"/>
    <w:rsid w:val="00174AC3"/>
    <w:rsid w:val="001A3891"/>
    <w:rsid w:val="001A4940"/>
    <w:rsid w:val="001C764F"/>
    <w:rsid w:val="001D0068"/>
    <w:rsid w:val="001D08C3"/>
    <w:rsid w:val="001E1F10"/>
    <w:rsid w:val="001F0F80"/>
    <w:rsid w:val="001F16A6"/>
    <w:rsid w:val="002008CC"/>
    <w:rsid w:val="00202AE8"/>
    <w:rsid w:val="00226D35"/>
    <w:rsid w:val="00231D0C"/>
    <w:rsid w:val="00232C31"/>
    <w:rsid w:val="002336FE"/>
    <w:rsid w:val="002400FA"/>
    <w:rsid w:val="00265906"/>
    <w:rsid w:val="00282657"/>
    <w:rsid w:val="00284137"/>
    <w:rsid w:val="00291D0A"/>
    <w:rsid w:val="002B76DF"/>
    <w:rsid w:val="002C11D1"/>
    <w:rsid w:val="002E063B"/>
    <w:rsid w:val="002F3255"/>
    <w:rsid w:val="002F3D62"/>
    <w:rsid w:val="00307570"/>
    <w:rsid w:val="00326B8C"/>
    <w:rsid w:val="00337F34"/>
    <w:rsid w:val="003508D1"/>
    <w:rsid w:val="00351E7E"/>
    <w:rsid w:val="0036215E"/>
    <w:rsid w:val="00364392"/>
    <w:rsid w:val="00367A98"/>
    <w:rsid w:val="00382106"/>
    <w:rsid w:val="00392EE3"/>
    <w:rsid w:val="003B5024"/>
    <w:rsid w:val="003B7548"/>
    <w:rsid w:val="003C1583"/>
    <w:rsid w:val="003C495A"/>
    <w:rsid w:val="003C5D65"/>
    <w:rsid w:val="003D2CFE"/>
    <w:rsid w:val="003E5651"/>
    <w:rsid w:val="00416D3E"/>
    <w:rsid w:val="00426618"/>
    <w:rsid w:val="00427067"/>
    <w:rsid w:val="00434614"/>
    <w:rsid w:val="00445783"/>
    <w:rsid w:val="0045283F"/>
    <w:rsid w:val="00464583"/>
    <w:rsid w:val="00471E31"/>
    <w:rsid w:val="00472DEE"/>
    <w:rsid w:val="00477537"/>
    <w:rsid w:val="00483D9B"/>
    <w:rsid w:val="004867CE"/>
    <w:rsid w:val="004C38F0"/>
    <w:rsid w:val="004D0104"/>
    <w:rsid w:val="004D2FED"/>
    <w:rsid w:val="004E3325"/>
    <w:rsid w:val="004E5A18"/>
    <w:rsid w:val="004F2E0F"/>
    <w:rsid w:val="004F2F3B"/>
    <w:rsid w:val="004F49B1"/>
    <w:rsid w:val="004F4AE6"/>
    <w:rsid w:val="005031DA"/>
    <w:rsid w:val="00507712"/>
    <w:rsid w:val="00510146"/>
    <w:rsid w:val="0051125A"/>
    <w:rsid w:val="005235D8"/>
    <w:rsid w:val="00523E4C"/>
    <w:rsid w:val="0053574B"/>
    <w:rsid w:val="00535D15"/>
    <w:rsid w:val="0054279A"/>
    <w:rsid w:val="00552E94"/>
    <w:rsid w:val="00557EB6"/>
    <w:rsid w:val="00560A0A"/>
    <w:rsid w:val="00563989"/>
    <w:rsid w:val="00574A8A"/>
    <w:rsid w:val="00582E33"/>
    <w:rsid w:val="005971D4"/>
    <w:rsid w:val="005A4346"/>
    <w:rsid w:val="005A5A70"/>
    <w:rsid w:val="005A743A"/>
    <w:rsid w:val="005B3805"/>
    <w:rsid w:val="005B56D3"/>
    <w:rsid w:val="005B6273"/>
    <w:rsid w:val="005C4BC3"/>
    <w:rsid w:val="005D160A"/>
    <w:rsid w:val="005E1A2B"/>
    <w:rsid w:val="005F60FF"/>
    <w:rsid w:val="006015B1"/>
    <w:rsid w:val="006055A2"/>
    <w:rsid w:val="00630311"/>
    <w:rsid w:val="0063444D"/>
    <w:rsid w:val="0063642F"/>
    <w:rsid w:val="00636EE3"/>
    <w:rsid w:val="00661B73"/>
    <w:rsid w:val="006645CF"/>
    <w:rsid w:val="00665DCE"/>
    <w:rsid w:val="00672626"/>
    <w:rsid w:val="00684A9A"/>
    <w:rsid w:val="006A3D8C"/>
    <w:rsid w:val="006B0E77"/>
    <w:rsid w:val="006D39EC"/>
    <w:rsid w:val="006D5BA8"/>
    <w:rsid w:val="006F042E"/>
    <w:rsid w:val="006F2CB7"/>
    <w:rsid w:val="006F6CED"/>
    <w:rsid w:val="00710F1B"/>
    <w:rsid w:val="00731ACE"/>
    <w:rsid w:val="00741B25"/>
    <w:rsid w:val="00764A2A"/>
    <w:rsid w:val="007811FB"/>
    <w:rsid w:val="007832D4"/>
    <w:rsid w:val="0078508A"/>
    <w:rsid w:val="00785E85"/>
    <w:rsid w:val="007970BE"/>
    <w:rsid w:val="007B0354"/>
    <w:rsid w:val="007C1986"/>
    <w:rsid w:val="007D1C81"/>
    <w:rsid w:val="007E1EDD"/>
    <w:rsid w:val="007F6CB6"/>
    <w:rsid w:val="00803371"/>
    <w:rsid w:val="00812F9E"/>
    <w:rsid w:val="00824CE8"/>
    <w:rsid w:val="0083646A"/>
    <w:rsid w:val="00837921"/>
    <w:rsid w:val="00843E1A"/>
    <w:rsid w:val="00847BB1"/>
    <w:rsid w:val="008554D0"/>
    <w:rsid w:val="00866E89"/>
    <w:rsid w:val="0087383C"/>
    <w:rsid w:val="00883B4C"/>
    <w:rsid w:val="00894431"/>
    <w:rsid w:val="008A5F90"/>
    <w:rsid w:val="008B23E4"/>
    <w:rsid w:val="008B270F"/>
    <w:rsid w:val="008E0C6C"/>
    <w:rsid w:val="008E2629"/>
    <w:rsid w:val="008E3A9E"/>
    <w:rsid w:val="008F6EFE"/>
    <w:rsid w:val="0090676D"/>
    <w:rsid w:val="00915C5A"/>
    <w:rsid w:val="00923A3C"/>
    <w:rsid w:val="009721B9"/>
    <w:rsid w:val="00975E09"/>
    <w:rsid w:val="009A082E"/>
    <w:rsid w:val="009B6F7D"/>
    <w:rsid w:val="009C15CD"/>
    <w:rsid w:val="009D3581"/>
    <w:rsid w:val="009E0CA0"/>
    <w:rsid w:val="009F326E"/>
    <w:rsid w:val="00A04899"/>
    <w:rsid w:val="00A136A9"/>
    <w:rsid w:val="00A20FF3"/>
    <w:rsid w:val="00A35838"/>
    <w:rsid w:val="00A41820"/>
    <w:rsid w:val="00A41CF2"/>
    <w:rsid w:val="00A52D90"/>
    <w:rsid w:val="00A667A8"/>
    <w:rsid w:val="00A66F1B"/>
    <w:rsid w:val="00A9597A"/>
    <w:rsid w:val="00AB2B44"/>
    <w:rsid w:val="00AB467F"/>
    <w:rsid w:val="00AC06D6"/>
    <w:rsid w:val="00AC1E06"/>
    <w:rsid w:val="00AC3C13"/>
    <w:rsid w:val="00AC41E5"/>
    <w:rsid w:val="00AE577C"/>
    <w:rsid w:val="00AF4C43"/>
    <w:rsid w:val="00B02AD4"/>
    <w:rsid w:val="00B0345A"/>
    <w:rsid w:val="00B1271B"/>
    <w:rsid w:val="00B1286A"/>
    <w:rsid w:val="00B2285B"/>
    <w:rsid w:val="00B23C0D"/>
    <w:rsid w:val="00B26B86"/>
    <w:rsid w:val="00B32B4A"/>
    <w:rsid w:val="00B43BD1"/>
    <w:rsid w:val="00B45938"/>
    <w:rsid w:val="00B67F8F"/>
    <w:rsid w:val="00B928AD"/>
    <w:rsid w:val="00BA473E"/>
    <w:rsid w:val="00BB2AB2"/>
    <w:rsid w:val="00BB3BE3"/>
    <w:rsid w:val="00BB55A9"/>
    <w:rsid w:val="00BC0330"/>
    <w:rsid w:val="00BC1DD1"/>
    <w:rsid w:val="00BD08AC"/>
    <w:rsid w:val="00BD1B97"/>
    <w:rsid w:val="00BD64E5"/>
    <w:rsid w:val="00BD656E"/>
    <w:rsid w:val="00BE0E01"/>
    <w:rsid w:val="00BE1918"/>
    <w:rsid w:val="00BF7ECD"/>
    <w:rsid w:val="00C02B09"/>
    <w:rsid w:val="00C02C85"/>
    <w:rsid w:val="00C16BB9"/>
    <w:rsid w:val="00C17D9C"/>
    <w:rsid w:val="00C2656C"/>
    <w:rsid w:val="00C30006"/>
    <w:rsid w:val="00C42E07"/>
    <w:rsid w:val="00C52215"/>
    <w:rsid w:val="00C52513"/>
    <w:rsid w:val="00C53D1D"/>
    <w:rsid w:val="00C67D62"/>
    <w:rsid w:val="00C8231C"/>
    <w:rsid w:val="00C93E2C"/>
    <w:rsid w:val="00C953B0"/>
    <w:rsid w:val="00C95D76"/>
    <w:rsid w:val="00CA22F1"/>
    <w:rsid w:val="00CC564D"/>
    <w:rsid w:val="00CD52F9"/>
    <w:rsid w:val="00CE05EA"/>
    <w:rsid w:val="00D02027"/>
    <w:rsid w:val="00D135BC"/>
    <w:rsid w:val="00D13685"/>
    <w:rsid w:val="00D32F4B"/>
    <w:rsid w:val="00D335C7"/>
    <w:rsid w:val="00D56C7E"/>
    <w:rsid w:val="00D761B3"/>
    <w:rsid w:val="00D77AB6"/>
    <w:rsid w:val="00D80520"/>
    <w:rsid w:val="00D910F1"/>
    <w:rsid w:val="00D94FC7"/>
    <w:rsid w:val="00DB5D83"/>
    <w:rsid w:val="00DB77EB"/>
    <w:rsid w:val="00DC37DF"/>
    <w:rsid w:val="00DD5E71"/>
    <w:rsid w:val="00DE41FC"/>
    <w:rsid w:val="00DE6FD4"/>
    <w:rsid w:val="00DF5009"/>
    <w:rsid w:val="00DF674A"/>
    <w:rsid w:val="00DF7F4C"/>
    <w:rsid w:val="00E00EB3"/>
    <w:rsid w:val="00E23966"/>
    <w:rsid w:val="00E359CD"/>
    <w:rsid w:val="00E37706"/>
    <w:rsid w:val="00E37A28"/>
    <w:rsid w:val="00E41AF3"/>
    <w:rsid w:val="00E56681"/>
    <w:rsid w:val="00E574EA"/>
    <w:rsid w:val="00E834CB"/>
    <w:rsid w:val="00E85499"/>
    <w:rsid w:val="00E878E0"/>
    <w:rsid w:val="00EA24FA"/>
    <w:rsid w:val="00EB5DAA"/>
    <w:rsid w:val="00EB6BAB"/>
    <w:rsid w:val="00EC21B1"/>
    <w:rsid w:val="00ED387E"/>
    <w:rsid w:val="00ED7DEB"/>
    <w:rsid w:val="00EE5275"/>
    <w:rsid w:val="00EE56A9"/>
    <w:rsid w:val="00F00F4E"/>
    <w:rsid w:val="00F02D69"/>
    <w:rsid w:val="00F03795"/>
    <w:rsid w:val="00F26A68"/>
    <w:rsid w:val="00F717B9"/>
    <w:rsid w:val="00F809AB"/>
    <w:rsid w:val="00F82DDC"/>
    <w:rsid w:val="00F832D1"/>
    <w:rsid w:val="00F85384"/>
    <w:rsid w:val="00F9528D"/>
    <w:rsid w:val="00F96881"/>
    <w:rsid w:val="00FB2341"/>
    <w:rsid w:val="00FB2EE9"/>
    <w:rsid w:val="00FB630B"/>
    <w:rsid w:val="00FC26F4"/>
    <w:rsid w:val="00FD5A23"/>
    <w:rsid w:val="00FE34D4"/>
    <w:rsid w:val="00FE47DB"/>
    <w:rsid w:val="00FE76CF"/>
    <w:rsid w:val="00FF2317"/>
    <w:rsid w:val="036D420A"/>
    <w:rsid w:val="04F8737D"/>
    <w:rsid w:val="0D0F024B"/>
    <w:rsid w:val="0DFA7EE8"/>
    <w:rsid w:val="0E9C5117"/>
    <w:rsid w:val="148065B7"/>
    <w:rsid w:val="16EF24E6"/>
    <w:rsid w:val="186B491E"/>
    <w:rsid w:val="1CFB2A9A"/>
    <w:rsid w:val="23660692"/>
    <w:rsid w:val="2856558C"/>
    <w:rsid w:val="298936D1"/>
    <w:rsid w:val="2A06220A"/>
    <w:rsid w:val="2AB969DB"/>
    <w:rsid w:val="34F37FCA"/>
    <w:rsid w:val="3D1871B6"/>
    <w:rsid w:val="3EEA6DE6"/>
    <w:rsid w:val="43F45346"/>
    <w:rsid w:val="4AA71197"/>
    <w:rsid w:val="4F704D18"/>
    <w:rsid w:val="4FB022D7"/>
    <w:rsid w:val="527A5432"/>
    <w:rsid w:val="52FC3A10"/>
    <w:rsid w:val="54FE010F"/>
    <w:rsid w:val="55681E3D"/>
    <w:rsid w:val="591458BE"/>
    <w:rsid w:val="5D8E2AF4"/>
    <w:rsid w:val="6173762F"/>
    <w:rsid w:val="62BD5600"/>
    <w:rsid w:val="63A311B4"/>
    <w:rsid w:val="65C365D0"/>
    <w:rsid w:val="68700A14"/>
    <w:rsid w:val="68BF05AA"/>
    <w:rsid w:val="6927496D"/>
    <w:rsid w:val="692F4DD6"/>
    <w:rsid w:val="6D2E5DA8"/>
    <w:rsid w:val="6D947179"/>
    <w:rsid w:val="71B47716"/>
    <w:rsid w:val="7A1F7C3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黑体"/>
      <w:sz w:val="32"/>
      <w:szCs w:val="22"/>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48"/>
    <w:unhideWhenUsed/>
    <w:uiPriority w:val="99"/>
    <w:pPr>
      <w:ind w:firstLine="420" w:firstLineChars="100"/>
    </w:pPr>
  </w:style>
  <w:style w:type="paragraph" w:styleId="4">
    <w:name w:val="Body Text"/>
    <w:basedOn w:val="1"/>
    <w:link w:val="47"/>
    <w:unhideWhenUsed/>
    <w:uiPriority w:val="99"/>
    <w:pPr>
      <w:spacing w:after="120"/>
    </w:pPr>
  </w:style>
  <w:style w:type="paragraph" w:styleId="5">
    <w:name w:val="Body Text Indent"/>
    <w:basedOn w:val="1"/>
    <w:link w:val="26"/>
    <w:uiPriority w:val="0"/>
    <w:pPr>
      <w:adjustRightInd w:val="0"/>
      <w:spacing w:line="312" w:lineRule="atLeast"/>
      <w:ind w:left="-51" w:leftChars="-51" w:hanging="107" w:hangingChars="51"/>
      <w:jc w:val="center"/>
      <w:textAlignment w:val="baseline"/>
    </w:pPr>
    <w:rPr>
      <w:rFonts w:cs="Times New Roman"/>
      <w:sz w:val="21"/>
      <w:szCs w:val="20"/>
      <w:lang w:eastAsia="zh-CN"/>
    </w:rPr>
  </w:style>
  <w:style w:type="paragraph" w:styleId="6">
    <w:name w:val="Plain Text"/>
    <w:basedOn w:val="1"/>
    <w:link w:val="21"/>
    <w:unhideWhenUsed/>
    <w:qFormat/>
    <w:uiPriority w:val="99"/>
    <w:pPr>
      <w:jc w:val="both"/>
    </w:pPr>
    <w:rPr>
      <w:rFonts w:hint="eastAsia" w:ascii="宋体" w:hAnsi="Courier New" w:cs="Times New Roman"/>
      <w:kern w:val="2"/>
      <w:sz w:val="21"/>
      <w:szCs w:val="20"/>
      <w:lang w:eastAsia="zh-CN"/>
    </w:rPr>
  </w:style>
  <w:style w:type="paragraph" w:styleId="7">
    <w:name w:val="Body Text Indent 2"/>
    <w:basedOn w:val="1"/>
    <w:link w:val="27"/>
    <w:qFormat/>
    <w:uiPriority w:val="0"/>
    <w:pPr>
      <w:adjustRightInd w:val="0"/>
      <w:spacing w:line="312" w:lineRule="atLeast"/>
      <w:ind w:firstLine="71" w:firstLineChars="34"/>
      <w:jc w:val="center"/>
      <w:textAlignment w:val="baseline"/>
    </w:pPr>
    <w:rPr>
      <w:rFonts w:cs="Times New Roman"/>
      <w:sz w:val="21"/>
      <w:szCs w:val="20"/>
      <w:lang w:eastAsia="zh-CN"/>
    </w:rPr>
  </w:style>
  <w:style w:type="paragraph" w:styleId="8">
    <w:name w:val="Balloon Text"/>
    <w:basedOn w:val="1"/>
    <w:link w:val="24"/>
    <w:unhideWhenUsed/>
    <w:qFormat/>
    <w:uiPriority w:val="99"/>
    <w:rPr>
      <w:sz w:val="18"/>
      <w:szCs w:val="18"/>
    </w:rPr>
  </w:style>
  <w:style w:type="paragraph" w:styleId="9">
    <w:name w:val="footer"/>
    <w:basedOn w:val="1"/>
    <w:link w:val="22"/>
    <w:unhideWhenUsed/>
    <w:uiPriority w:val="99"/>
    <w:pPr>
      <w:tabs>
        <w:tab w:val="center" w:pos="4153"/>
        <w:tab w:val="right" w:pos="8306"/>
      </w:tabs>
      <w:snapToGrid w:val="0"/>
    </w:pPr>
    <w:rPr>
      <w:sz w:val="18"/>
    </w:rPr>
  </w:style>
  <w:style w:type="paragraph" w:styleId="10">
    <w:name w:val="header"/>
    <w:basedOn w:val="1"/>
    <w:link w:val="23"/>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unhideWhenUsed/>
    <w:qFormat/>
    <w:uiPriority w:val="99"/>
    <w:pPr>
      <w:spacing w:beforeAutospacing="1" w:afterAutospacing="1"/>
    </w:pPr>
    <w:rPr>
      <w:rFonts w:cs="Times New Roman"/>
      <w:sz w:val="24"/>
      <w:lang w:eastAsia="zh-CN"/>
    </w:rPr>
  </w:style>
  <w:style w:type="character" w:styleId="13">
    <w:name w:val="Strong"/>
    <w:basedOn w:val="12"/>
    <w:qFormat/>
    <w:uiPriority w:val="22"/>
    <w:rPr>
      <w:b/>
    </w:rPr>
  </w:style>
  <w:style w:type="character" w:styleId="14">
    <w:name w:val="FollowedHyperlink"/>
    <w:basedOn w:val="12"/>
    <w:unhideWhenUsed/>
    <w:qFormat/>
    <w:uiPriority w:val="99"/>
    <w:rPr>
      <w:color w:val="000000"/>
      <w:u w:val="none"/>
    </w:rPr>
  </w:style>
  <w:style w:type="character" w:styleId="15">
    <w:name w:val="Hyperlink"/>
    <w:basedOn w:val="12"/>
    <w:unhideWhenUsed/>
    <w:uiPriority w:val="99"/>
    <w:rPr>
      <w:color w:val="000000"/>
      <w:u w:val="none"/>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p0"/>
    <w:basedOn w:val="1"/>
    <w:qFormat/>
    <w:uiPriority w:val="0"/>
    <w:pPr>
      <w:widowControl/>
    </w:pPr>
    <w:rPr>
      <w:rFonts w:ascii="Calibri" w:hAnsi="Calibri" w:cs="Calibri"/>
      <w:szCs w:val="21"/>
    </w:rPr>
  </w:style>
  <w:style w:type="paragraph" w:customStyle="1" w:styleId="19">
    <w:name w:val="Default"/>
    <w:qFormat/>
    <w:uiPriority w:val="0"/>
    <w:pPr>
      <w:widowControl w:val="0"/>
      <w:autoSpaceDE w:val="0"/>
      <w:autoSpaceDN w:val="0"/>
      <w:adjustRightInd w:val="0"/>
    </w:pPr>
    <w:rPr>
      <w:rFonts w:ascii="黑体" w:eastAsia="黑体" w:cs="黑体" w:hAnsiTheme="majorHAnsi"/>
      <w:color w:val="000000"/>
      <w:sz w:val="24"/>
      <w:szCs w:val="24"/>
      <w:lang w:val="en-US" w:eastAsia="en-US" w:bidi="ar-SA"/>
    </w:rPr>
  </w:style>
  <w:style w:type="paragraph" w:customStyle="1" w:styleId="20">
    <w:name w:val="p15"/>
    <w:basedOn w:val="1"/>
    <w:qFormat/>
    <w:uiPriority w:val="0"/>
    <w:pPr>
      <w:widowControl/>
      <w:spacing w:before="100" w:after="100"/>
    </w:pPr>
    <w:rPr>
      <w:rFonts w:hint="eastAsia" w:ascii="宋体" w:hAnsi="宋体" w:cs="Times New Roman"/>
      <w:sz w:val="24"/>
      <w:szCs w:val="24"/>
      <w:lang w:eastAsia="zh-CN"/>
    </w:rPr>
  </w:style>
  <w:style w:type="character" w:customStyle="1" w:styleId="21">
    <w:name w:val="纯文本 Char"/>
    <w:basedOn w:val="12"/>
    <w:link w:val="6"/>
    <w:qFormat/>
    <w:uiPriority w:val="0"/>
    <w:rPr>
      <w:rFonts w:hint="eastAsia" w:ascii="宋体" w:hAnsi="Courier New" w:eastAsia="宋体" w:cs="宋体"/>
      <w:kern w:val="2"/>
      <w:sz w:val="21"/>
      <w:szCs w:val="21"/>
    </w:rPr>
  </w:style>
  <w:style w:type="character" w:customStyle="1" w:styleId="22">
    <w:name w:val="页脚 Char"/>
    <w:basedOn w:val="12"/>
    <w:link w:val="9"/>
    <w:qFormat/>
    <w:uiPriority w:val="99"/>
    <w:rPr>
      <w:rFonts w:hint="eastAsia" w:ascii="仿宋_GB2312" w:eastAsia="仿宋_GB2312" w:cs="仿宋_GB2312"/>
      <w:kern w:val="2"/>
      <w:sz w:val="18"/>
      <w:szCs w:val="18"/>
    </w:rPr>
  </w:style>
  <w:style w:type="character" w:customStyle="1" w:styleId="23">
    <w:name w:val="页眉 Char"/>
    <w:basedOn w:val="12"/>
    <w:link w:val="10"/>
    <w:qFormat/>
    <w:uiPriority w:val="0"/>
    <w:rPr>
      <w:rFonts w:hint="eastAsia" w:ascii="仿宋_GB2312" w:eastAsia="仿宋_GB2312" w:cs="仿宋_GB2312"/>
      <w:kern w:val="2"/>
      <w:sz w:val="18"/>
      <w:szCs w:val="18"/>
    </w:rPr>
  </w:style>
  <w:style w:type="character" w:customStyle="1" w:styleId="24">
    <w:name w:val="批注框文本 Char"/>
    <w:basedOn w:val="12"/>
    <w:link w:val="8"/>
    <w:semiHidden/>
    <w:qFormat/>
    <w:uiPriority w:val="99"/>
    <w:rPr>
      <w:rFonts w:cs="黑体"/>
      <w:sz w:val="18"/>
      <w:szCs w:val="18"/>
      <w:lang w:eastAsia="en-US"/>
    </w:rPr>
  </w:style>
  <w:style w:type="paragraph" w:customStyle="1" w:styleId="25">
    <w:name w:val="列出段落1"/>
    <w:basedOn w:val="1"/>
    <w:unhideWhenUsed/>
    <w:qFormat/>
    <w:uiPriority w:val="99"/>
    <w:pPr>
      <w:ind w:firstLine="420" w:firstLineChars="200"/>
    </w:pPr>
  </w:style>
  <w:style w:type="character" w:customStyle="1" w:styleId="26">
    <w:name w:val="正文文本缩进 Char"/>
    <w:basedOn w:val="12"/>
    <w:link w:val="5"/>
    <w:qFormat/>
    <w:uiPriority w:val="0"/>
    <w:rPr>
      <w:sz w:val="21"/>
    </w:rPr>
  </w:style>
  <w:style w:type="character" w:customStyle="1" w:styleId="27">
    <w:name w:val="正文文本缩进 2 Char"/>
    <w:basedOn w:val="12"/>
    <w:link w:val="7"/>
    <w:uiPriority w:val="0"/>
    <w:rPr>
      <w:sz w:val="21"/>
    </w:rPr>
  </w:style>
  <w:style w:type="character" w:customStyle="1" w:styleId="28">
    <w:name w:val="xxxtlist4"/>
    <w:basedOn w:val="12"/>
    <w:qFormat/>
    <w:uiPriority w:val="0"/>
  </w:style>
  <w:style w:type="character" w:customStyle="1" w:styleId="29">
    <w:name w:val="xxxtlist15"/>
    <w:basedOn w:val="12"/>
    <w:uiPriority w:val="0"/>
  </w:style>
  <w:style w:type="character" w:customStyle="1" w:styleId="30">
    <w:name w:val="xxxtlist14"/>
    <w:basedOn w:val="12"/>
    <w:qFormat/>
    <w:uiPriority w:val="0"/>
  </w:style>
  <w:style w:type="character" w:customStyle="1" w:styleId="31">
    <w:name w:val="xxxtlist7"/>
    <w:basedOn w:val="12"/>
    <w:qFormat/>
    <w:uiPriority w:val="0"/>
  </w:style>
  <w:style w:type="character" w:customStyle="1" w:styleId="32">
    <w:name w:val="xxxtlist3"/>
    <w:basedOn w:val="12"/>
    <w:qFormat/>
    <w:uiPriority w:val="0"/>
  </w:style>
  <w:style w:type="character" w:customStyle="1" w:styleId="33">
    <w:name w:val="xxxtlist5"/>
    <w:basedOn w:val="12"/>
    <w:qFormat/>
    <w:uiPriority w:val="0"/>
  </w:style>
  <w:style w:type="character" w:customStyle="1" w:styleId="34">
    <w:name w:val="xxxtlist12"/>
    <w:basedOn w:val="12"/>
    <w:qFormat/>
    <w:uiPriority w:val="0"/>
  </w:style>
  <w:style w:type="character" w:customStyle="1" w:styleId="35">
    <w:name w:val="xxxtlist1"/>
    <w:basedOn w:val="12"/>
    <w:qFormat/>
    <w:uiPriority w:val="0"/>
  </w:style>
  <w:style w:type="character" w:customStyle="1" w:styleId="36">
    <w:name w:val="xxxtlist2"/>
    <w:basedOn w:val="12"/>
    <w:uiPriority w:val="0"/>
  </w:style>
  <w:style w:type="character" w:customStyle="1" w:styleId="37">
    <w:name w:val="xxxtlist6"/>
    <w:basedOn w:val="12"/>
    <w:qFormat/>
    <w:uiPriority w:val="0"/>
  </w:style>
  <w:style w:type="character" w:customStyle="1" w:styleId="38">
    <w:name w:val="xxxtlist8"/>
    <w:basedOn w:val="12"/>
    <w:qFormat/>
    <w:uiPriority w:val="0"/>
  </w:style>
  <w:style w:type="character" w:customStyle="1" w:styleId="39">
    <w:name w:val="xxxtlist11"/>
    <w:basedOn w:val="12"/>
    <w:qFormat/>
    <w:uiPriority w:val="0"/>
  </w:style>
  <w:style w:type="character" w:customStyle="1" w:styleId="40">
    <w:name w:val="xxxtlist9"/>
    <w:basedOn w:val="12"/>
    <w:qFormat/>
    <w:uiPriority w:val="0"/>
  </w:style>
  <w:style w:type="character" w:customStyle="1" w:styleId="41">
    <w:name w:val="xxxtlist10"/>
    <w:basedOn w:val="12"/>
    <w:qFormat/>
    <w:uiPriority w:val="0"/>
  </w:style>
  <w:style w:type="character" w:customStyle="1" w:styleId="42">
    <w:name w:val="xxxtlist13"/>
    <w:basedOn w:val="12"/>
    <w:qFormat/>
    <w:uiPriority w:val="0"/>
  </w:style>
  <w:style w:type="character" w:customStyle="1" w:styleId="43">
    <w:name w:val="xxxtlist16"/>
    <w:basedOn w:val="12"/>
    <w:uiPriority w:val="0"/>
  </w:style>
  <w:style w:type="character" w:customStyle="1" w:styleId="44">
    <w:name w:val="xxxtlist17"/>
    <w:basedOn w:val="12"/>
    <w:qFormat/>
    <w:uiPriority w:val="0"/>
  </w:style>
  <w:style w:type="character" w:customStyle="1" w:styleId="45">
    <w:name w:val="xxxtlist18"/>
    <w:basedOn w:val="12"/>
    <w:qFormat/>
    <w:uiPriority w:val="0"/>
  </w:style>
  <w:style w:type="character" w:customStyle="1" w:styleId="46">
    <w:name w:val="xxxtlist19"/>
    <w:basedOn w:val="12"/>
    <w:uiPriority w:val="0"/>
  </w:style>
  <w:style w:type="character" w:customStyle="1" w:styleId="47">
    <w:name w:val="正文文本 Char"/>
    <w:basedOn w:val="12"/>
    <w:link w:val="4"/>
    <w:semiHidden/>
    <w:uiPriority w:val="99"/>
    <w:rPr>
      <w:rFonts w:cs="黑体"/>
      <w:sz w:val="22"/>
      <w:szCs w:val="22"/>
      <w:lang w:eastAsia="en-US"/>
    </w:rPr>
  </w:style>
  <w:style w:type="character" w:customStyle="1" w:styleId="48">
    <w:name w:val="正文首行缩进 Char"/>
    <w:basedOn w:val="47"/>
    <w:link w:val="3"/>
    <w:semiHidden/>
    <w:uiPriority w:val="99"/>
    <w:rPr>
      <w:rFonts w:cs="黑体"/>
      <w:sz w:val="22"/>
      <w:szCs w:val="22"/>
      <w:lang w:eastAsia="en-US"/>
    </w:rPr>
  </w:style>
  <w:style w:type="paragraph" w:customStyle="1" w:styleId="49">
    <w:name w:val="List Paragraph"/>
    <w:basedOn w:val="1"/>
    <w:qFormat/>
    <w:uiPriority w:val="34"/>
    <w:pPr>
      <w:ind w:firstLine="420" w:firstLineChars="200"/>
      <w:jc w:val="both"/>
    </w:pPr>
    <w:rPr>
      <w:rFonts w:asciiTheme="minorHAnsi" w:hAnsiTheme="minorHAnsi" w:eastAsiaTheme="minorEastAsia" w:cstheme="minorBidi"/>
      <w:kern w:val="2"/>
      <w:sz w:val="21"/>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FB444-EFBA-4966-B7F5-615896224AF0}">
  <ds:schemaRefs/>
</ds:datastoreItem>
</file>

<file path=docProps/app.xml><?xml version="1.0" encoding="utf-8"?>
<Properties xmlns="http://schemas.openxmlformats.org/officeDocument/2006/extended-properties" xmlns:vt="http://schemas.openxmlformats.org/officeDocument/2006/docPropsVTypes">
  <Template>Normal</Template>
  <Pages>15</Pages>
  <Words>1000</Words>
  <Characters>5702</Characters>
  <Lines>47</Lines>
  <Paragraphs>13</Paragraphs>
  <TotalTime>0</TotalTime>
  <ScaleCrop>false</ScaleCrop>
  <LinksUpToDate>false</LinksUpToDate>
  <CharactersWithSpaces>6689</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2016-08-03T12:11:00Z</dcterms:created>
  <dc:creator>xiao xinqiao</dc:creator>
  <cp:lastModifiedBy>Administrator</cp:lastModifiedBy>
  <cp:lastPrinted>2016-12-14T07:05:00Z</cp:lastPrinted>
  <dcterms:modified xsi:type="dcterms:W3CDTF">2017-01-15T13:49:53Z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