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7F9" w:rsidRDefault="00B67B0B">
      <w:pPr>
        <w:spacing w:line="500" w:lineRule="exact"/>
        <w:ind w:firstLineChars="200" w:firstLine="723"/>
        <w:jc w:val="both"/>
        <w:textAlignment w:val="baseline"/>
        <w:rPr>
          <w:rFonts w:ascii="黑体" w:eastAsia="黑体" w:hAnsi="黑体"/>
          <w:b/>
          <w:sz w:val="36"/>
          <w:szCs w:val="36"/>
          <w:lang w:eastAsia="zh-CN"/>
        </w:rPr>
      </w:pPr>
      <w:bookmarkStart w:id="0" w:name="_GoBack"/>
      <w:r>
        <w:rPr>
          <w:rFonts w:ascii="黑体" w:eastAsia="黑体" w:hAnsi="黑体" w:hint="eastAsia"/>
          <w:b/>
          <w:sz w:val="36"/>
          <w:szCs w:val="36"/>
          <w:lang w:eastAsia="zh-CN"/>
        </w:rPr>
        <w:t>公共管理硕士专业学位研究生指导性培养方案</w:t>
      </w:r>
    </w:p>
    <w:bookmarkEnd w:id="0"/>
    <w:p w:rsidR="003E67F9" w:rsidRDefault="003E67F9">
      <w:pPr>
        <w:spacing w:line="500" w:lineRule="exact"/>
        <w:ind w:firstLineChars="200" w:firstLine="640"/>
        <w:jc w:val="both"/>
        <w:textAlignment w:val="baseline"/>
        <w:rPr>
          <w:rFonts w:ascii="黑体" w:eastAsia="黑体" w:hAnsi="黑体"/>
          <w:sz w:val="32"/>
          <w:szCs w:val="32"/>
          <w:lang w:eastAsia="zh-CN"/>
        </w:rPr>
      </w:pPr>
    </w:p>
    <w:p w:rsidR="003E67F9" w:rsidRDefault="00B67B0B">
      <w:pPr>
        <w:spacing w:line="500" w:lineRule="exact"/>
        <w:ind w:firstLineChars="200" w:firstLine="480"/>
        <w:jc w:val="both"/>
        <w:textAlignment w:val="baseline"/>
        <w:rPr>
          <w:rFonts w:ascii="仿宋" w:eastAsia="仿宋" w:hAnsi="仿宋" w:cs="华文仿宋"/>
          <w:sz w:val="24"/>
          <w:szCs w:val="24"/>
          <w:lang w:eastAsia="zh-CN"/>
        </w:rPr>
      </w:pPr>
      <w:r>
        <w:rPr>
          <w:rFonts w:ascii="仿宋" w:eastAsia="仿宋" w:hAnsi="仿宋" w:cs="华文仿宋" w:hint="eastAsia"/>
          <w:sz w:val="24"/>
          <w:szCs w:val="24"/>
          <w:lang w:eastAsia="zh-CN"/>
        </w:rPr>
        <w:t>公共管理硕士（</w:t>
      </w:r>
      <w:r>
        <w:rPr>
          <w:rFonts w:ascii="仿宋" w:eastAsia="仿宋" w:hAnsi="仿宋" w:cs="华文仿宋" w:hint="eastAsia"/>
          <w:sz w:val="24"/>
          <w:szCs w:val="24"/>
          <w:lang w:eastAsia="zh-CN"/>
        </w:rPr>
        <w:t>MPA</w:t>
      </w:r>
      <w:r>
        <w:rPr>
          <w:rFonts w:ascii="仿宋" w:eastAsia="仿宋" w:hAnsi="仿宋" w:cs="华文仿宋" w:hint="eastAsia"/>
          <w:sz w:val="24"/>
          <w:szCs w:val="24"/>
          <w:lang w:eastAsia="zh-CN"/>
        </w:rPr>
        <w:t>）专业学位研究生教育是为适应不断发展的公共管理现代化、科学化、专业化的迫切需求，完善公共管理人才培养体系，创新公共管理人才培养模式，提高公共管理人才培养质量而设立的。</w:t>
      </w:r>
    </w:p>
    <w:p w:rsidR="003E67F9" w:rsidRDefault="00B67B0B">
      <w:pPr>
        <w:spacing w:line="500" w:lineRule="exact"/>
        <w:ind w:firstLineChars="200" w:firstLine="482"/>
        <w:jc w:val="both"/>
        <w:textAlignment w:val="baseline"/>
        <w:outlineLvl w:val="0"/>
        <w:rPr>
          <w:rFonts w:ascii="仿宋" w:eastAsia="仿宋" w:hAnsi="仿宋" w:cs="华文仿宋"/>
          <w:b/>
          <w:bCs/>
          <w:sz w:val="24"/>
          <w:szCs w:val="24"/>
          <w:lang w:eastAsia="zh-CN"/>
        </w:rPr>
      </w:pPr>
      <w:r>
        <w:rPr>
          <w:rFonts w:ascii="仿宋" w:eastAsia="仿宋" w:hAnsi="仿宋" w:cs="华文仿宋" w:hint="eastAsia"/>
          <w:b/>
          <w:bCs/>
          <w:sz w:val="24"/>
          <w:szCs w:val="24"/>
          <w:lang w:eastAsia="zh-CN"/>
        </w:rPr>
        <w:t>一、培养目标</w:t>
      </w:r>
    </w:p>
    <w:p w:rsidR="003E67F9" w:rsidRDefault="00B67B0B">
      <w:pPr>
        <w:spacing w:line="500" w:lineRule="exact"/>
        <w:ind w:firstLineChars="200" w:firstLine="480"/>
        <w:jc w:val="both"/>
        <w:textAlignment w:val="baseline"/>
        <w:rPr>
          <w:rFonts w:ascii="仿宋" w:eastAsia="仿宋" w:hAnsi="仿宋" w:cs="华文仿宋"/>
          <w:sz w:val="24"/>
          <w:szCs w:val="24"/>
          <w:lang w:eastAsia="zh-CN"/>
        </w:rPr>
      </w:pPr>
      <w:r>
        <w:rPr>
          <w:rFonts w:ascii="仿宋" w:eastAsia="仿宋" w:hAnsi="仿宋" w:cs="华文仿宋" w:hint="eastAsia"/>
          <w:sz w:val="24"/>
          <w:szCs w:val="24"/>
          <w:lang w:eastAsia="zh-CN"/>
        </w:rPr>
        <w:t>培养具备良好的政治思想素质和职业道德素养，掌握系统的公共管理理论、知识和方法，具备从事公共管理与公共政策分析的能力，能够综合运用管理、政治、经济、法律、现代科技等方面知识和科学研究方法解决公共管理实际问题的德才兼备的高层次、应用型、复合型公共管理专门人才。</w:t>
      </w:r>
    </w:p>
    <w:p w:rsidR="003E67F9" w:rsidRDefault="00B67B0B">
      <w:pPr>
        <w:spacing w:line="500" w:lineRule="exact"/>
        <w:ind w:firstLineChars="200" w:firstLine="482"/>
        <w:jc w:val="both"/>
        <w:textAlignment w:val="baseline"/>
        <w:outlineLvl w:val="0"/>
        <w:rPr>
          <w:rFonts w:ascii="仿宋" w:eastAsia="仿宋" w:hAnsi="仿宋" w:cs="华文仿宋"/>
          <w:b/>
          <w:bCs/>
          <w:sz w:val="24"/>
          <w:szCs w:val="24"/>
          <w:lang w:eastAsia="zh-CN"/>
        </w:rPr>
      </w:pPr>
      <w:r>
        <w:rPr>
          <w:rFonts w:ascii="仿宋" w:eastAsia="仿宋" w:hAnsi="仿宋" w:cs="华文仿宋" w:hint="eastAsia"/>
          <w:b/>
          <w:bCs/>
          <w:sz w:val="24"/>
          <w:szCs w:val="24"/>
          <w:lang w:eastAsia="zh-CN"/>
        </w:rPr>
        <w:t>二、招生类型及报考资格</w:t>
      </w:r>
    </w:p>
    <w:p w:rsidR="003E67F9" w:rsidRDefault="00B67B0B">
      <w:pPr>
        <w:spacing w:line="500" w:lineRule="exact"/>
        <w:ind w:firstLineChars="200" w:firstLine="480"/>
        <w:jc w:val="both"/>
        <w:textAlignment w:val="baseline"/>
        <w:rPr>
          <w:rFonts w:ascii="仿宋" w:eastAsia="仿宋" w:hAnsi="仿宋" w:cs="华文仿宋"/>
          <w:sz w:val="24"/>
          <w:szCs w:val="24"/>
          <w:lang w:eastAsia="zh-CN"/>
        </w:rPr>
      </w:pPr>
      <w:r>
        <w:rPr>
          <w:rFonts w:ascii="仿宋" w:eastAsia="仿宋" w:hAnsi="仿宋" w:cs="华文仿宋" w:hint="eastAsia"/>
          <w:sz w:val="24"/>
          <w:szCs w:val="24"/>
          <w:lang w:eastAsia="zh-CN"/>
        </w:rPr>
        <w:t>招生类型分为“全日制”和“在职攻读”两类，“全日制”学生通过“全国硕士研究生统一入学考试”招收，“在职攻读”学生通过“在职人员攻读硕士学位全国联考”招收。</w:t>
      </w:r>
    </w:p>
    <w:p w:rsidR="003E67F9" w:rsidRDefault="00B67B0B">
      <w:pPr>
        <w:spacing w:line="500" w:lineRule="exact"/>
        <w:ind w:firstLineChars="200" w:firstLine="480"/>
        <w:jc w:val="both"/>
        <w:textAlignment w:val="baseline"/>
        <w:rPr>
          <w:rFonts w:ascii="仿宋" w:eastAsia="仿宋" w:hAnsi="仿宋" w:cs="华文仿宋"/>
          <w:sz w:val="24"/>
          <w:szCs w:val="24"/>
          <w:lang w:eastAsia="zh-CN"/>
        </w:rPr>
      </w:pPr>
      <w:r>
        <w:rPr>
          <w:rFonts w:ascii="仿宋" w:eastAsia="仿宋" w:hAnsi="仿宋" w:cs="华文仿宋" w:hint="eastAsia"/>
          <w:sz w:val="24"/>
          <w:szCs w:val="24"/>
          <w:lang w:eastAsia="zh-CN"/>
        </w:rPr>
        <w:t>报考资格以教育行政管理部门当年有关文件为准。一般要求具有大学本科学历和三年（含三年）以上实际工作经历。</w:t>
      </w:r>
      <w:r>
        <w:rPr>
          <w:rFonts w:ascii="仿宋" w:eastAsia="仿宋" w:hAnsi="仿宋" w:cs="华文仿宋" w:hint="eastAsia"/>
          <w:sz w:val="24"/>
          <w:szCs w:val="24"/>
          <w:lang w:eastAsia="zh-CN"/>
        </w:rPr>
        <w:t xml:space="preserve"> </w:t>
      </w:r>
    </w:p>
    <w:p w:rsidR="003E67F9" w:rsidRDefault="00B67B0B">
      <w:pPr>
        <w:spacing w:line="500" w:lineRule="exact"/>
        <w:ind w:firstLineChars="200" w:firstLine="482"/>
        <w:jc w:val="both"/>
        <w:textAlignment w:val="baseline"/>
        <w:outlineLvl w:val="0"/>
        <w:rPr>
          <w:rFonts w:ascii="仿宋" w:eastAsia="仿宋" w:hAnsi="仿宋" w:cs="华文仿宋"/>
          <w:b/>
          <w:bCs/>
          <w:sz w:val="24"/>
          <w:szCs w:val="24"/>
          <w:lang w:eastAsia="zh-CN"/>
        </w:rPr>
      </w:pPr>
      <w:r>
        <w:rPr>
          <w:rFonts w:ascii="仿宋" w:eastAsia="仿宋" w:hAnsi="仿宋" w:cs="华文仿宋" w:hint="eastAsia"/>
          <w:b/>
          <w:bCs/>
          <w:sz w:val="24"/>
          <w:szCs w:val="24"/>
          <w:lang w:eastAsia="zh-CN"/>
        </w:rPr>
        <w:t>三、学习方式与年限</w:t>
      </w:r>
    </w:p>
    <w:p w:rsidR="003E67F9" w:rsidRDefault="00B67B0B">
      <w:pPr>
        <w:spacing w:line="500" w:lineRule="exact"/>
        <w:ind w:firstLineChars="200" w:firstLine="480"/>
        <w:jc w:val="both"/>
        <w:textAlignment w:val="baseline"/>
        <w:rPr>
          <w:rFonts w:ascii="仿宋" w:eastAsia="仿宋" w:hAnsi="仿宋" w:cs="华文仿宋"/>
          <w:sz w:val="24"/>
          <w:szCs w:val="24"/>
          <w:lang w:eastAsia="zh-CN"/>
        </w:rPr>
      </w:pPr>
      <w:r>
        <w:rPr>
          <w:rFonts w:ascii="仿宋" w:eastAsia="仿宋" w:hAnsi="仿宋" w:cs="华文仿宋" w:hint="eastAsia"/>
          <w:sz w:val="24"/>
          <w:szCs w:val="24"/>
          <w:lang w:eastAsia="zh-CN"/>
        </w:rPr>
        <w:t>入学的学生可以选择“脱产”或“非脱产”方式进行学习。具体学习方式，可以由各培养院校根据实际情况安排。</w:t>
      </w:r>
    </w:p>
    <w:p w:rsidR="003E67F9" w:rsidRDefault="00B67B0B">
      <w:pPr>
        <w:spacing w:line="500" w:lineRule="exact"/>
        <w:ind w:firstLineChars="200" w:firstLine="480"/>
        <w:jc w:val="both"/>
        <w:textAlignment w:val="baseline"/>
        <w:rPr>
          <w:rFonts w:ascii="仿宋" w:eastAsia="仿宋" w:hAnsi="仿宋" w:cs="华文仿宋"/>
          <w:sz w:val="24"/>
          <w:szCs w:val="24"/>
          <w:lang w:eastAsia="zh-CN"/>
        </w:rPr>
      </w:pPr>
      <w:r>
        <w:rPr>
          <w:rFonts w:ascii="仿宋" w:eastAsia="仿宋" w:hAnsi="仿宋" w:cs="华文仿宋" w:hint="eastAsia"/>
          <w:sz w:val="24"/>
          <w:szCs w:val="24"/>
          <w:lang w:eastAsia="zh-CN"/>
        </w:rPr>
        <w:t>学习年限为</w:t>
      </w:r>
      <w:r>
        <w:rPr>
          <w:rFonts w:ascii="仿宋" w:eastAsia="仿宋" w:hAnsi="仿宋" w:cs="华文仿宋" w:hint="eastAsia"/>
          <w:sz w:val="24"/>
          <w:szCs w:val="24"/>
          <w:lang w:eastAsia="zh-CN"/>
        </w:rPr>
        <w:t>2</w:t>
      </w:r>
      <w:r>
        <w:rPr>
          <w:rFonts w:ascii="仿宋" w:eastAsia="仿宋" w:hAnsi="仿宋" w:cs="华文仿宋" w:hint="eastAsia"/>
          <w:sz w:val="24"/>
          <w:szCs w:val="24"/>
          <w:lang w:eastAsia="zh-CN"/>
        </w:rPr>
        <w:t>至</w:t>
      </w:r>
      <w:r>
        <w:rPr>
          <w:rFonts w:ascii="仿宋" w:eastAsia="仿宋" w:hAnsi="仿宋" w:cs="华文仿宋" w:hint="eastAsia"/>
          <w:sz w:val="24"/>
          <w:szCs w:val="24"/>
          <w:lang w:eastAsia="zh-CN"/>
        </w:rPr>
        <w:t>4</w:t>
      </w:r>
      <w:r>
        <w:rPr>
          <w:rFonts w:ascii="仿宋" w:eastAsia="仿宋" w:hAnsi="仿宋" w:cs="华文仿宋" w:hint="eastAsia"/>
          <w:sz w:val="24"/>
          <w:szCs w:val="24"/>
          <w:lang w:eastAsia="zh-CN"/>
        </w:rPr>
        <w:t>年。“非脱产”学习年限一般不少于</w:t>
      </w:r>
      <w:r>
        <w:rPr>
          <w:rFonts w:ascii="仿宋" w:eastAsia="仿宋" w:hAnsi="仿宋" w:cs="华文仿宋" w:hint="eastAsia"/>
          <w:sz w:val="24"/>
          <w:szCs w:val="24"/>
          <w:lang w:eastAsia="zh-CN"/>
        </w:rPr>
        <w:t>2.5</w:t>
      </w:r>
      <w:r>
        <w:rPr>
          <w:rFonts w:ascii="仿宋" w:eastAsia="仿宋" w:hAnsi="仿宋" w:cs="华文仿宋" w:hint="eastAsia"/>
          <w:sz w:val="24"/>
          <w:szCs w:val="24"/>
          <w:lang w:eastAsia="zh-CN"/>
        </w:rPr>
        <w:t>年。</w:t>
      </w:r>
    </w:p>
    <w:p w:rsidR="003E67F9" w:rsidRDefault="00B67B0B">
      <w:pPr>
        <w:spacing w:line="500" w:lineRule="exact"/>
        <w:ind w:firstLineChars="200" w:firstLine="482"/>
        <w:jc w:val="both"/>
        <w:textAlignment w:val="baseline"/>
        <w:outlineLvl w:val="0"/>
        <w:rPr>
          <w:rFonts w:ascii="仿宋" w:eastAsia="仿宋" w:hAnsi="仿宋" w:cs="华文仿宋"/>
          <w:b/>
          <w:bCs/>
          <w:sz w:val="24"/>
          <w:szCs w:val="24"/>
          <w:lang w:eastAsia="zh-CN"/>
        </w:rPr>
      </w:pPr>
      <w:r>
        <w:rPr>
          <w:rFonts w:ascii="仿宋" w:eastAsia="仿宋" w:hAnsi="仿宋" w:cs="华文仿宋" w:hint="eastAsia"/>
          <w:b/>
          <w:bCs/>
          <w:sz w:val="24"/>
          <w:szCs w:val="24"/>
          <w:lang w:eastAsia="zh-CN"/>
        </w:rPr>
        <w:t>四、学分要求与课程设置</w:t>
      </w:r>
    </w:p>
    <w:p w:rsidR="003E67F9" w:rsidRDefault="00B67B0B">
      <w:pPr>
        <w:spacing w:line="500" w:lineRule="exact"/>
        <w:ind w:firstLineChars="200" w:firstLine="480"/>
        <w:jc w:val="both"/>
        <w:textAlignment w:val="baseline"/>
        <w:rPr>
          <w:rFonts w:ascii="仿宋" w:eastAsia="仿宋" w:hAnsi="仿宋" w:cs="华文仿宋"/>
          <w:sz w:val="24"/>
          <w:szCs w:val="24"/>
          <w:lang w:eastAsia="zh-CN"/>
        </w:rPr>
      </w:pPr>
      <w:r>
        <w:rPr>
          <w:rFonts w:ascii="仿宋" w:eastAsia="仿宋" w:hAnsi="仿宋" w:cs="华文仿宋" w:hint="eastAsia"/>
          <w:sz w:val="24"/>
          <w:szCs w:val="24"/>
          <w:lang w:eastAsia="zh-CN"/>
        </w:rPr>
        <w:t>学生培养实行学分制，</w:t>
      </w:r>
      <w:r>
        <w:rPr>
          <w:rFonts w:ascii="仿宋" w:eastAsia="仿宋" w:hAnsi="仿宋" w:cs="华文仿宋" w:hint="eastAsia"/>
          <w:sz w:val="24"/>
          <w:szCs w:val="24"/>
          <w:lang w:eastAsia="zh-CN"/>
        </w:rPr>
        <w:t>总学分不少于</w:t>
      </w:r>
      <w:r>
        <w:rPr>
          <w:rFonts w:ascii="仿宋" w:eastAsia="仿宋" w:hAnsi="仿宋" w:cs="华文仿宋" w:hint="eastAsia"/>
          <w:sz w:val="24"/>
          <w:szCs w:val="24"/>
          <w:lang w:eastAsia="zh-CN"/>
        </w:rPr>
        <w:t>36</w:t>
      </w:r>
      <w:r>
        <w:rPr>
          <w:rFonts w:ascii="仿宋" w:eastAsia="仿宋" w:hAnsi="仿宋" w:cs="华文仿宋" w:hint="eastAsia"/>
          <w:sz w:val="24"/>
          <w:szCs w:val="24"/>
          <w:lang w:eastAsia="zh-CN"/>
        </w:rPr>
        <w:t>学分。</w:t>
      </w:r>
    </w:p>
    <w:p w:rsidR="003E67F9" w:rsidRDefault="00B67B0B">
      <w:pPr>
        <w:spacing w:line="500" w:lineRule="exact"/>
        <w:ind w:firstLineChars="200" w:firstLine="480"/>
        <w:jc w:val="both"/>
        <w:textAlignment w:val="baseline"/>
        <w:rPr>
          <w:rFonts w:ascii="仿宋" w:eastAsia="仿宋" w:hAnsi="仿宋" w:cs="华文仿宋"/>
          <w:sz w:val="24"/>
          <w:szCs w:val="24"/>
          <w:lang w:eastAsia="zh-CN"/>
        </w:rPr>
      </w:pPr>
      <w:r>
        <w:rPr>
          <w:rFonts w:ascii="仿宋" w:eastAsia="仿宋" w:hAnsi="仿宋" w:cs="华文仿宋" w:hint="eastAsia"/>
          <w:sz w:val="24"/>
          <w:szCs w:val="24"/>
          <w:lang w:eastAsia="zh-CN"/>
        </w:rPr>
        <w:t>课程设置突出理论与实践相结合的原则，分为核心课、专业方向必修课、选修课和社会实践四方面基本模块。其中，核心课不少于</w:t>
      </w:r>
      <w:r>
        <w:rPr>
          <w:rFonts w:ascii="仿宋" w:eastAsia="仿宋" w:hAnsi="仿宋" w:cs="华文仿宋" w:hint="eastAsia"/>
          <w:sz w:val="24"/>
          <w:szCs w:val="24"/>
          <w:lang w:eastAsia="zh-CN"/>
        </w:rPr>
        <w:t>17</w:t>
      </w:r>
      <w:r>
        <w:rPr>
          <w:rFonts w:ascii="仿宋" w:eastAsia="仿宋" w:hAnsi="仿宋" w:cs="华文仿宋" w:hint="eastAsia"/>
          <w:sz w:val="24"/>
          <w:szCs w:val="24"/>
          <w:lang w:eastAsia="zh-CN"/>
        </w:rPr>
        <w:t>学分，专业方向必修课不少于</w:t>
      </w:r>
      <w:r>
        <w:rPr>
          <w:rFonts w:ascii="仿宋" w:eastAsia="仿宋" w:hAnsi="仿宋" w:cs="华文仿宋" w:hint="eastAsia"/>
          <w:sz w:val="24"/>
          <w:szCs w:val="24"/>
          <w:lang w:eastAsia="zh-CN"/>
        </w:rPr>
        <w:t>8</w:t>
      </w:r>
      <w:r>
        <w:rPr>
          <w:rFonts w:ascii="仿宋" w:eastAsia="仿宋" w:hAnsi="仿宋" w:cs="华文仿宋" w:hint="eastAsia"/>
          <w:sz w:val="24"/>
          <w:szCs w:val="24"/>
          <w:lang w:eastAsia="zh-CN"/>
        </w:rPr>
        <w:t>学分，选修课不少于</w:t>
      </w:r>
      <w:r>
        <w:rPr>
          <w:rFonts w:ascii="仿宋" w:eastAsia="仿宋" w:hAnsi="仿宋" w:cs="华文仿宋" w:hint="eastAsia"/>
          <w:sz w:val="24"/>
          <w:szCs w:val="24"/>
          <w:lang w:eastAsia="zh-CN"/>
        </w:rPr>
        <w:t>9</w:t>
      </w:r>
      <w:r>
        <w:rPr>
          <w:rFonts w:ascii="仿宋" w:eastAsia="仿宋" w:hAnsi="仿宋" w:cs="华文仿宋" w:hint="eastAsia"/>
          <w:sz w:val="24"/>
          <w:szCs w:val="24"/>
          <w:lang w:eastAsia="zh-CN"/>
        </w:rPr>
        <w:t>学分，社会实践为</w:t>
      </w:r>
      <w:r>
        <w:rPr>
          <w:rFonts w:ascii="仿宋" w:eastAsia="仿宋" w:hAnsi="仿宋" w:cs="华文仿宋" w:hint="eastAsia"/>
          <w:sz w:val="24"/>
          <w:szCs w:val="24"/>
          <w:lang w:eastAsia="zh-CN"/>
        </w:rPr>
        <w:t>2</w:t>
      </w:r>
      <w:r>
        <w:rPr>
          <w:rFonts w:ascii="仿宋" w:eastAsia="仿宋" w:hAnsi="仿宋" w:cs="华文仿宋" w:hint="eastAsia"/>
          <w:sz w:val="24"/>
          <w:szCs w:val="24"/>
          <w:lang w:eastAsia="zh-CN"/>
        </w:rPr>
        <w:t>学分。课程学习中，每个学分学习时间不少于</w:t>
      </w:r>
      <w:r>
        <w:rPr>
          <w:rFonts w:ascii="仿宋" w:eastAsia="仿宋" w:hAnsi="仿宋" w:cs="华文仿宋" w:hint="eastAsia"/>
          <w:sz w:val="24"/>
          <w:szCs w:val="24"/>
          <w:lang w:eastAsia="zh-CN"/>
        </w:rPr>
        <w:t>16</w:t>
      </w:r>
      <w:r>
        <w:rPr>
          <w:rFonts w:ascii="仿宋" w:eastAsia="仿宋" w:hAnsi="仿宋" w:cs="华文仿宋" w:hint="eastAsia"/>
          <w:sz w:val="24"/>
          <w:szCs w:val="24"/>
          <w:lang w:eastAsia="zh-CN"/>
        </w:rPr>
        <w:t>课时。</w:t>
      </w:r>
    </w:p>
    <w:p w:rsidR="003E67F9" w:rsidRDefault="00B67B0B">
      <w:pPr>
        <w:spacing w:line="500" w:lineRule="exact"/>
        <w:ind w:firstLineChars="200" w:firstLine="480"/>
        <w:jc w:val="both"/>
        <w:textAlignment w:val="baseline"/>
        <w:rPr>
          <w:rFonts w:ascii="仿宋" w:eastAsia="仿宋" w:hAnsi="仿宋" w:cs="华文仿宋"/>
          <w:sz w:val="24"/>
          <w:szCs w:val="24"/>
          <w:lang w:eastAsia="zh-CN"/>
        </w:rPr>
      </w:pPr>
      <w:r>
        <w:rPr>
          <w:rFonts w:ascii="仿宋" w:eastAsia="仿宋" w:hAnsi="仿宋" w:cs="华文仿宋" w:hint="eastAsia"/>
          <w:sz w:val="24"/>
          <w:szCs w:val="24"/>
          <w:lang w:eastAsia="zh-CN"/>
        </w:rPr>
        <w:t>1.</w:t>
      </w:r>
      <w:r>
        <w:rPr>
          <w:rFonts w:ascii="仿宋" w:eastAsia="仿宋" w:hAnsi="仿宋" w:cs="华文仿宋" w:hint="eastAsia"/>
          <w:sz w:val="24"/>
          <w:szCs w:val="24"/>
          <w:lang w:eastAsia="zh-CN"/>
        </w:rPr>
        <w:t>核心课是学生必修课程。“核心课程目录”共列</w:t>
      </w:r>
      <w:r>
        <w:rPr>
          <w:rFonts w:ascii="仿宋" w:eastAsia="仿宋" w:hAnsi="仿宋" w:cs="华文仿宋" w:hint="eastAsia"/>
          <w:sz w:val="24"/>
          <w:szCs w:val="24"/>
          <w:lang w:eastAsia="zh-CN"/>
        </w:rPr>
        <w:t>12</w:t>
      </w:r>
      <w:r>
        <w:rPr>
          <w:rFonts w:ascii="仿宋" w:eastAsia="仿宋" w:hAnsi="仿宋" w:cs="华文仿宋" w:hint="eastAsia"/>
          <w:sz w:val="24"/>
          <w:szCs w:val="24"/>
          <w:lang w:eastAsia="zh-CN"/>
        </w:rPr>
        <w:t>门课，其中，“社会</w:t>
      </w:r>
      <w:r>
        <w:rPr>
          <w:rFonts w:ascii="仿宋" w:eastAsia="仿宋" w:hAnsi="仿宋" w:cs="华文仿宋" w:hint="eastAsia"/>
          <w:sz w:val="24"/>
          <w:szCs w:val="24"/>
          <w:lang w:eastAsia="zh-CN"/>
        </w:rPr>
        <w:lastRenderedPageBreak/>
        <w:t>主义建设理论与实践”和“外国语”为学位教育必设课程；“公共管理”和“公共政策分析”是本专业必设核心课程；其他核心课程，由各培养院校从“核心课程目录”中选择开设。</w:t>
      </w:r>
    </w:p>
    <w:p w:rsidR="003E67F9" w:rsidRDefault="00B67B0B">
      <w:pPr>
        <w:ind w:firstLineChars="200" w:firstLine="480"/>
        <w:jc w:val="center"/>
        <w:textAlignment w:val="baseline"/>
        <w:rPr>
          <w:rFonts w:ascii="仿宋" w:eastAsia="仿宋" w:hAnsi="仿宋" w:cs="华文仿宋"/>
          <w:sz w:val="24"/>
          <w:szCs w:val="24"/>
        </w:rPr>
      </w:pPr>
      <w:r>
        <w:rPr>
          <w:rFonts w:ascii="仿宋" w:eastAsia="仿宋" w:hAnsi="仿宋" w:cs="华文仿宋" w:hint="eastAsia"/>
          <w:sz w:val="24"/>
          <w:szCs w:val="24"/>
        </w:rPr>
        <w:t>核心课程目录</w:t>
      </w:r>
    </w:p>
    <w:tbl>
      <w:tblPr>
        <w:tblW w:w="8333"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962"/>
        <w:gridCol w:w="3118"/>
        <w:gridCol w:w="2127"/>
        <w:gridCol w:w="2126"/>
      </w:tblGrid>
      <w:tr w:rsidR="003E67F9">
        <w:trPr>
          <w:trHeight w:hRule="exact" w:val="510"/>
          <w:jc w:val="center"/>
        </w:trPr>
        <w:tc>
          <w:tcPr>
            <w:tcW w:w="962" w:type="dxa"/>
            <w:vAlign w:val="center"/>
          </w:tcPr>
          <w:p w:rsidR="003E67F9" w:rsidRDefault="00B67B0B">
            <w:pPr>
              <w:ind w:firstLineChars="100" w:firstLine="210"/>
              <w:jc w:val="both"/>
              <w:textAlignment w:val="baseline"/>
              <w:rPr>
                <w:rFonts w:ascii="仿宋" w:eastAsia="仿宋" w:hAnsi="仿宋" w:cs="华文仿宋"/>
                <w:caps/>
                <w:sz w:val="21"/>
                <w:szCs w:val="21"/>
              </w:rPr>
            </w:pPr>
            <w:r>
              <w:rPr>
                <w:rFonts w:ascii="仿宋" w:eastAsia="仿宋" w:hAnsi="仿宋" w:cs="华文仿宋" w:hint="eastAsia"/>
                <w:caps/>
                <w:sz w:val="21"/>
                <w:szCs w:val="21"/>
              </w:rPr>
              <w:t>序号</w:t>
            </w:r>
          </w:p>
        </w:tc>
        <w:tc>
          <w:tcPr>
            <w:tcW w:w="3118" w:type="dxa"/>
            <w:vAlign w:val="center"/>
          </w:tcPr>
          <w:p w:rsidR="003E67F9" w:rsidRDefault="00B67B0B">
            <w:pPr>
              <w:ind w:firstLineChars="200" w:firstLine="420"/>
              <w:jc w:val="both"/>
              <w:textAlignment w:val="baseline"/>
              <w:rPr>
                <w:rFonts w:ascii="仿宋" w:eastAsia="仿宋" w:hAnsi="仿宋" w:cs="华文仿宋"/>
                <w:caps/>
                <w:sz w:val="21"/>
                <w:szCs w:val="21"/>
              </w:rPr>
            </w:pPr>
            <w:r>
              <w:rPr>
                <w:rFonts w:ascii="仿宋" w:eastAsia="仿宋" w:hAnsi="仿宋" w:cs="华文仿宋" w:hint="eastAsia"/>
                <w:caps/>
                <w:sz w:val="21"/>
                <w:szCs w:val="21"/>
              </w:rPr>
              <w:t>课程名称</w:t>
            </w:r>
          </w:p>
        </w:tc>
        <w:tc>
          <w:tcPr>
            <w:tcW w:w="2127" w:type="dxa"/>
            <w:vAlign w:val="center"/>
          </w:tcPr>
          <w:p w:rsidR="003E67F9" w:rsidRDefault="00B67B0B">
            <w:pPr>
              <w:ind w:firstLineChars="200" w:firstLine="420"/>
              <w:jc w:val="both"/>
              <w:textAlignment w:val="baseline"/>
              <w:rPr>
                <w:rFonts w:ascii="仿宋" w:eastAsia="仿宋" w:hAnsi="仿宋" w:cs="华文仿宋"/>
                <w:caps/>
                <w:sz w:val="21"/>
                <w:szCs w:val="21"/>
              </w:rPr>
            </w:pPr>
            <w:r>
              <w:rPr>
                <w:rFonts w:ascii="仿宋" w:eastAsia="仿宋" w:hAnsi="仿宋" w:cs="华文仿宋" w:hint="eastAsia"/>
                <w:caps/>
                <w:sz w:val="21"/>
                <w:szCs w:val="21"/>
              </w:rPr>
              <w:t>课程类别</w:t>
            </w:r>
          </w:p>
        </w:tc>
        <w:tc>
          <w:tcPr>
            <w:tcW w:w="2126" w:type="dxa"/>
            <w:vAlign w:val="center"/>
          </w:tcPr>
          <w:p w:rsidR="003E67F9" w:rsidRDefault="00B67B0B">
            <w:pPr>
              <w:ind w:firstLineChars="50" w:firstLine="105"/>
              <w:textAlignment w:val="baseline"/>
              <w:rPr>
                <w:rFonts w:ascii="仿宋" w:eastAsia="仿宋" w:hAnsi="仿宋" w:cs="华文仿宋"/>
                <w:caps/>
                <w:sz w:val="21"/>
                <w:szCs w:val="21"/>
              </w:rPr>
            </w:pPr>
            <w:r>
              <w:rPr>
                <w:rFonts w:ascii="仿宋" w:eastAsia="仿宋" w:hAnsi="仿宋" w:cs="华文仿宋" w:hint="eastAsia"/>
                <w:caps/>
                <w:sz w:val="21"/>
                <w:szCs w:val="21"/>
              </w:rPr>
              <w:t>建议最低学分</w:t>
            </w:r>
          </w:p>
        </w:tc>
      </w:tr>
      <w:tr w:rsidR="003E67F9">
        <w:trPr>
          <w:trHeight w:hRule="exact" w:val="510"/>
          <w:jc w:val="center"/>
        </w:trPr>
        <w:tc>
          <w:tcPr>
            <w:tcW w:w="962" w:type="dxa"/>
            <w:vAlign w:val="center"/>
          </w:tcPr>
          <w:p w:rsidR="003E67F9" w:rsidRDefault="00B67B0B">
            <w:pPr>
              <w:ind w:firstLineChars="200" w:firstLine="420"/>
              <w:jc w:val="both"/>
              <w:textAlignment w:val="baseline"/>
              <w:rPr>
                <w:rFonts w:ascii="仿宋" w:eastAsia="仿宋" w:hAnsi="仿宋" w:cs="华文仿宋"/>
                <w:sz w:val="21"/>
                <w:szCs w:val="21"/>
              </w:rPr>
            </w:pPr>
            <w:r>
              <w:rPr>
                <w:rFonts w:ascii="仿宋" w:eastAsia="仿宋" w:hAnsi="仿宋" w:cs="华文仿宋" w:hint="eastAsia"/>
                <w:sz w:val="21"/>
                <w:szCs w:val="21"/>
              </w:rPr>
              <w:t>1</w:t>
            </w:r>
          </w:p>
        </w:tc>
        <w:tc>
          <w:tcPr>
            <w:tcW w:w="3118" w:type="dxa"/>
            <w:vAlign w:val="center"/>
          </w:tcPr>
          <w:p w:rsidR="003E67F9" w:rsidRDefault="00B67B0B">
            <w:pPr>
              <w:ind w:firstLineChars="200" w:firstLine="420"/>
              <w:jc w:val="both"/>
              <w:textAlignment w:val="baseline"/>
              <w:rPr>
                <w:rFonts w:ascii="仿宋" w:eastAsia="仿宋" w:hAnsi="仿宋" w:cs="华文仿宋"/>
                <w:sz w:val="21"/>
                <w:szCs w:val="21"/>
                <w:lang w:eastAsia="zh-CN"/>
              </w:rPr>
            </w:pPr>
            <w:r>
              <w:rPr>
                <w:rFonts w:ascii="仿宋" w:eastAsia="仿宋" w:hAnsi="仿宋" w:cs="华文仿宋" w:hint="eastAsia"/>
                <w:sz w:val="21"/>
                <w:szCs w:val="21"/>
                <w:lang w:eastAsia="zh-CN"/>
              </w:rPr>
              <w:t>社会主义建设理论与实践</w:t>
            </w:r>
          </w:p>
        </w:tc>
        <w:tc>
          <w:tcPr>
            <w:tcW w:w="2127" w:type="dxa"/>
            <w:vAlign w:val="center"/>
          </w:tcPr>
          <w:p w:rsidR="003E67F9" w:rsidRDefault="00B67B0B">
            <w:pPr>
              <w:ind w:firstLineChars="200" w:firstLine="420"/>
              <w:jc w:val="both"/>
              <w:textAlignment w:val="baseline"/>
              <w:rPr>
                <w:rFonts w:ascii="仿宋" w:eastAsia="仿宋" w:hAnsi="仿宋" w:cs="华文仿宋"/>
                <w:sz w:val="21"/>
                <w:szCs w:val="21"/>
              </w:rPr>
            </w:pPr>
            <w:r>
              <w:rPr>
                <w:rFonts w:ascii="仿宋" w:eastAsia="仿宋" w:hAnsi="仿宋" w:cs="华文仿宋" w:hint="eastAsia"/>
                <w:sz w:val="21"/>
                <w:szCs w:val="21"/>
              </w:rPr>
              <w:t>学位教育必设</w:t>
            </w:r>
          </w:p>
        </w:tc>
        <w:tc>
          <w:tcPr>
            <w:tcW w:w="2126" w:type="dxa"/>
            <w:vAlign w:val="center"/>
          </w:tcPr>
          <w:p w:rsidR="003E67F9" w:rsidRDefault="00B67B0B">
            <w:pPr>
              <w:ind w:firstLineChars="200" w:firstLine="420"/>
              <w:jc w:val="both"/>
              <w:textAlignment w:val="baseline"/>
              <w:rPr>
                <w:rFonts w:ascii="仿宋" w:eastAsia="仿宋" w:hAnsi="仿宋" w:cs="华文仿宋"/>
                <w:sz w:val="21"/>
                <w:szCs w:val="21"/>
              </w:rPr>
            </w:pPr>
            <w:r>
              <w:rPr>
                <w:rFonts w:ascii="仿宋" w:eastAsia="仿宋" w:hAnsi="仿宋" w:cs="华文仿宋" w:hint="eastAsia"/>
                <w:sz w:val="21"/>
                <w:szCs w:val="21"/>
              </w:rPr>
              <w:t>2</w:t>
            </w:r>
          </w:p>
        </w:tc>
      </w:tr>
      <w:tr w:rsidR="003E67F9">
        <w:trPr>
          <w:trHeight w:hRule="exact" w:val="510"/>
          <w:jc w:val="center"/>
        </w:trPr>
        <w:tc>
          <w:tcPr>
            <w:tcW w:w="962" w:type="dxa"/>
            <w:vAlign w:val="center"/>
          </w:tcPr>
          <w:p w:rsidR="003E67F9" w:rsidRDefault="00B67B0B">
            <w:pPr>
              <w:ind w:firstLineChars="200" w:firstLine="420"/>
              <w:jc w:val="both"/>
              <w:textAlignment w:val="baseline"/>
              <w:rPr>
                <w:rFonts w:ascii="仿宋" w:eastAsia="仿宋" w:hAnsi="仿宋" w:cs="华文仿宋"/>
                <w:sz w:val="21"/>
                <w:szCs w:val="21"/>
              </w:rPr>
            </w:pPr>
            <w:r>
              <w:rPr>
                <w:rFonts w:ascii="仿宋" w:eastAsia="仿宋" w:hAnsi="仿宋" w:cs="华文仿宋" w:hint="eastAsia"/>
                <w:sz w:val="21"/>
                <w:szCs w:val="21"/>
              </w:rPr>
              <w:t>2</w:t>
            </w:r>
          </w:p>
        </w:tc>
        <w:tc>
          <w:tcPr>
            <w:tcW w:w="3118" w:type="dxa"/>
            <w:vAlign w:val="center"/>
          </w:tcPr>
          <w:p w:rsidR="003E67F9" w:rsidRDefault="00B67B0B">
            <w:pPr>
              <w:ind w:firstLineChars="200" w:firstLine="420"/>
              <w:jc w:val="both"/>
              <w:textAlignment w:val="baseline"/>
              <w:rPr>
                <w:rFonts w:ascii="仿宋" w:eastAsia="仿宋" w:hAnsi="仿宋" w:cs="华文仿宋"/>
                <w:sz w:val="21"/>
                <w:szCs w:val="21"/>
              </w:rPr>
            </w:pPr>
            <w:r>
              <w:rPr>
                <w:rFonts w:ascii="仿宋" w:eastAsia="仿宋" w:hAnsi="仿宋" w:cs="华文仿宋" w:hint="eastAsia"/>
                <w:sz w:val="21"/>
                <w:szCs w:val="21"/>
              </w:rPr>
              <w:t>外国语</w:t>
            </w:r>
          </w:p>
        </w:tc>
        <w:tc>
          <w:tcPr>
            <w:tcW w:w="2127" w:type="dxa"/>
            <w:vAlign w:val="center"/>
          </w:tcPr>
          <w:p w:rsidR="003E67F9" w:rsidRDefault="00B67B0B">
            <w:pPr>
              <w:ind w:firstLineChars="200" w:firstLine="420"/>
              <w:jc w:val="both"/>
              <w:textAlignment w:val="baseline"/>
              <w:rPr>
                <w:rFonts w:ascii="仿宋" w:eastAsia="仿宋" w:hAnsi="仿宋" w:cs="华文仿宋"/>
                <w:sz w:val="21"/>
                <w:szCs w:val="21"/>
              </w:rPr>
            </w:pPr>
            <w:r>
              <w:rPr>
                <w:rFonts w:ascii="仿宋" w:eastAsia="仿宋" w:hAnsi="仿宋" w:cs="华文仿宋" w:hint="eastAsia"/>
                <w:sz w:val="21"/>
                <w:szCs w:val="21"/>
              </w:rPr>
              <w:t>学位教育必设</w:t>
            </w:r>
          </w:p>
        </w:tc>
        <w:tc>
          <w:tcPr>
            <w:tcW w:w="2126" w:type="dxa"/>
            <w:vAlign w:val="center"/>
          </w:tcPr>
          <w:p w:rsidR="003E67F9" w:rsidRDefault="00B67B0B">
            <w:pPr>
              <w:ind w:firstLineChars="200" w:firstLine="420"/>
              <w:jc w:val="both"/>
              <w:textAlignment w:val="baseline"/>
              <w:rPr>
                <w:rFonts w:ascii="仿宋" w:eastAsia="仿宋" w:hAnsi="仿宋" w:cs="华文仿宋"/>
                <w:sz w:val="21"/>
                <w:szCs w:val="21"/>
              </w:rPr>
            </w:pPr>
            <w:r>
              <w:rPr>
                <w:rFonts w:ascii="仿宋" w:eastAsia="仿宋" w:hAnsi="仿宋" w:cs="华文仿宋" w:hint="eastAsia"/>
                <w:sz w:val="21"/>
                <w:szCs w:val="21"/>
              </w:rPr>
              <w:t>2</w:t>
            </w:r>
          </w:p>
        </w:tc>
      </w:tr>
      <w:tr w:rsidR="003E67F9">
        <w:trPr>
          <w:trHeight w:hRule="exact" w:val="510"/>
          <w:jc w:val="center"/>
        </w:trPr>
        <w:tc>
          <w:tcPr>
            <w:tcW w:w="962" w:type="dxa"/>
            <w:vAlign w:val="center"/>
          </w:tcPr>
          <w:p w:rsidR="003E67F9" w:rsidRDefault="00B67B0B">
            <w:pPr>
              <w:ind w:firstLineChars="200" w:firstLine="420"/>
              <w:jc w:val="both"/>
              <w:textAlignment w:val="baseline"/>
              <w:rPr>
                <w:rFonts w:ascii="仿宋" w:eastAsia="仿宋" w:hAnsi="仿宋" w:cs="华文仿宋"/>
                <w:sz w:val="21"/>
                <w:szCs w:val="21"/>
              </w:rPr>
            </w:pPr>
            <w:r>
              <w:rPr>
                <w:rFonts w:ascii="仿宋" w:eastAsia="仿宋" w:hAnsi="仿宋" w:cs="华文仿宋" w:hint="eastAsia"/>
                <w:sz w:val="21"/>
                <w:szCs w:val="21"/>
              </w:rPr>
              <w:t>3</w:t>
            </w:r>
          </w:p>
        </w:tc>
        <w:tc>
          <w:tcPr>
            <w:tcW w:w="3118" w:type="dxa"/>
            <w:vAlign w:val="center"/>
          </w:tcPr>
          <w:p w:rsidR="003E67F9" w:rsidRDefault="00B67B0B">
            <w:pPr>
              <w:ind w:firstLineChars="200" w:firstLine="420"/>
              <w:jc w:val="both"/>
              <w:textAlignment w:val="baseline"/>
              <w:rPr>
                <w:rFonts w:ascii="仿宋" w:eastAsia="仿宋" w:hAnsi="仿宋" w:cs="华文仿宋"/>
                <w:sz w:val="21"/>
                <w:szCs w:val="21"/>
              </w:rPr>
            </w:pPr>
            <w:r>
              <w:rPr>
                <w:rFonts w:ascii="仿宋" w:eastAsia="仿宋" w:hAnsi="仿宋" w:cs="华文仿宋" w:hint="eastAsia"/>
                <w:sz w:val="21"/>
                <w:szCs w:val="21"/>
              </w:rPr>
              <w:t>公共管理</w:t>
            </w:r>
          </w:p>
        </w:tc>
        <w:tc>
          <w:tcPr>
            <w:tcW w:w="2127" w:type="dxa"/>
            <w:vAlign w:val="center"/>
          </w:tcPr>
          <w:p w:rsidR="003E67F9" w:rsidRDefault="00B67B0B">
            <w:pPr>
              <w:ind w:firstLineChars="200" w:firstLine="420"/>
              <w:jc w:val="both"/>
              <w:textAlignment w:val="baseline"/>
              <w:rPr>
                <w:rFonts w:ascii="仿宋" w:eastAsia="仿宋" w:hAnsi="仿宋" w:cs="华文仿宋"/>
                <w:sz w:val="21"/>
                <w:szCs w:val="21"/>
              </w:rPr>
            </w:pPr>
            <w:r>
              <w:rPr>
                <w:rFonts w:ascii="仿宋" w:eastAsia="仿宋" w:hAnsi="仿宋" w:cs="华文仿宋" w:hint="eastAsia"/>
                <w:sz w:val="21"/>
                <w:szCs w:val="21"/>
              </w:rPr>
              <w:t>专业必设</w:t>
            </w:r>
          </w:p>
        </w:tc>
        <w:tc>
          <w:tcPr>
            <w:tcW w:w="2126" w:type="dxa"/>
            <w:vAlign w:val="center"/>
          </w:tcPr>
          <w:p w:rsidR="003E67F9" w:rsidRDefault="00B67B0B">
            <w:pPr>
              <w:ind w:firstLineChars="200" w:firstLine="420"/>
              <w:jc w:val="both"/>
              <w:textAlignment w:val="baseline"/>
              <w:rPr>
                <w:rFonts w:ascii="仿宋" w:eastAsia="仿宋" w:hAnsi="仿宋" w:cs="华文仿宋"/>
                <w:sz w:val="21"/>
                <w:szCs w:val="21"/>
              </w:rPr>
            </w:pPr>
            <w:r>
              <w:rPr>
                <w:rFonts w:ascii="仿宋" w:eastAsia="仿宋" w:hAnsi="仿宋" w:cs="华文仿宋" w:hint="eastAsia"/>
                <w:sz w:val="21"/>
                <w:szCs w:val="21"/>
              </w:rPr>
              <w:t>3</w:t>
            </w:r>
          </w:p>
        </w:tc>
      </w:tr>
      <w:tr w:rsidR="003E67F9">
        <w:trPr>
          <w:trHeight w:hRule="exact" w:val="510"/>
          <w:jc w:val="center"/>
        </w:trPr>
        <w:tc>
          <w:tcPr>
            <w:tcW w:w="962" w:type="dxa"/>
            <w:vAlign w:val="center"/>
          </w:tcPr>
          <w:p w:rsidR="003E67F9" w:rsidRDefault="00B67B0B">
            <w:pPr>
              <w:ind w:firstLineChars="200" w:firstLine="420"/>
              <w:jc w:val="both"/>
              <w:textAlignment w:val="baseline"/>
              <w:rPr>
                <w:rFonts w:ascii="仿宋" w:eastAsia="仿宋" w:hAnsi="仿宋" w:cs="华文仿宋"/>
                <w:sz w:val="21"/>
                <w:szCs w:val="21"/>
              </w:rPr>
            </w:pPr>
            <w:r>
              <w:rPr>
                <w:rFonts w:ascii="仿宋" w:eastAsia="仿宋" w:hAnsi="仿宋" w:cs="华文仿宋" w:hint="eastAsia"/>
                <w:sz w:val="21"/>
                <w:szCs w:val="21"/>
              </w:rPr>
              <w:t>4</w:t>
            </w:r>
          </w:p>
        </w:tc>
        <w:tc>
          <w:tcPr>
            <w:tcW w:w="3118" w:type="dxa"/>
            <w:vAlign w:val="center"/>
          </w:tcPr>
          <w:p w:rsidR="003E67F9" w:rsidRDefault="00B67B0B">
            <w:pPr>
              <w:ind w:firstLineChars="200" w:firstLine="420"/>
              <w:jc w:val="both"/>
              <w:textAlignment w:val="baseline"/>
              <w:rPr>
                <w:rFonts w:ascii="仿宋" w:eastAsia="仿宋" w:hAnsi="仿宋" w:cs="华文仿宋"/>
                <w:sz w:val="21"/>
                <w:szCs w:val="21"/>
              </w:rPr>
            </w:pPr>
            <w:r>
              <w:rPr>
                <w:rFonts w:ascii="仿宋" w:eastAsia="仿宋" w:hAnsi="仿宋" w:cs="华文仿宋" w:hint="eastAsia"/>
                <w:sz w:val="21"/>
                <w:szCs w:val="21"/>
              </w:rPr>
              <w:t>公共政策分析</w:t>
            </w:r>
          </w:p>
        </w:tc>
        <w:tc>
          <w:tcPr>
            <w:tcW w:w="2127" w:type="dxa"/>
            <w:vAlign w:val="center"/>
          </w:tcPr>
          <w:p w:rsidR="003E67F9" w:rsidRDefault="00B67B0B">
            <w:pPr>
              <w:ind w:firstLineChars="200" w:firstLine="420"/>
              <w:jc w:val="both"/>
              <w:textAlignment w:val="baseline"/>
              <w:rPr>
                <w:rFonts w:ascii="仿宋" w:eastAsia="仿宋" w:hAnsi="仿宋" w:cs="华文仿宋"/>
                <w:sz w:val="21"/>
                <w:szCs w:val="21"/>
              </w:rPr>
            </w:pPr>
            <w:r>
              <w:rPr>
                <w:rFonts w:ascii="仿宋" w:eastAsia="仿宋" w:hAnsi="仿宋" w:cs="华文仿宋" w:hint="eastAsia"/>
                <w:sz w:val="21"/>
                <w:szCs w:val="21"/>
              </w:rPr>
              <w:t>专业必设</w:t>
            </w:r>
          </w:p>
        </w:tc>
        <w:tc>
          <w:tcPr>
            <w:tcW w:w="2126" w:type="dxa"/>
            <w:vAlign w:val="center"/>
          </w:tcPr>
          <w:p w:rsidR="003E67F9" w:rsidRDefault="00B67B0B">
            <w:pPr>
              <w:ind w:firstLineChars="200" w:firstLine="420"/>
              <w:jc w:val="both"/>
              <w:textAlignment w:val="baseline"/>
              <w:rPr>
                <w:rFonts w:ascii="仿宋" w:eastAsia="仿宋" w:hAnsi="仿宋" w:cs="华文仿宋"/>
                <w:sz w:val="21"/>
                <w:szCs w:val="21"/>
              </w:rPr>
            </w:pPr>
            <w:r>
              <w:rPr>
                <w:rFonts w:ascii="仿宋" w:eastAsia="仿宋" w:hAnsi="仿宋" w:cs="华文仿宋" w:hint="eastAsia"/>
                <w:sz w:val="21"/>
                <w:szCs w:val="21"/>
              </w:rPr>
              <w:t>2</w:t>
            </w:r>
          </w:p>
        </w:tc>
      </w:tr>
      <w:tr w:rsidR="003E67F9">
        <w:trPr>
          <w:trHeight w:hRule="exact" w:val="510"/>
          <w:jc w:val="center"/>
        </w:trPr>
        <w:tc>
          <w:tcPr>
            <w:tcW w:w="962" w:type="dxa"/>
            <w:vAlign w:val="center"/>
          </w:tcPr>
          <w:p w:rsidR="003E67F9" w:rsidRDefault="00B67B0B">
            <w:pPr>
              <w:ind w:firstLineChars="200" w:firstLine="420"/>
              <w:jc w:val="both"/>
              <w:textAlignment w:val="baseline"/>
              <w:rPr>
                <w:rFonts w:ascii="仿宋" w:eastAsia="仿宋" w:hAnsi="仿宋" w:cs="华文仿宋"/>
                <w:sz w:val="21"/>
                <w:szCs w:val="21"/>
              </w:rPr>
            </w:pPr>
            <w:r>
              <w:rPr>
                <w:rFonts w:ascii="仿宋" w:eastAsia="仿宋" w:hAnsi="仿宋" w:cs="华文仿宋" w:hint="eastAsia"/>
                <w:sz w:val="21"/>
                <w:szCs w:val="21"/>
              </w:rPr>
              <w:t>5</w:t>
            </w:r>
          </w:p>
        </w:tc>
        <w:tc>
          <w:tcPr>
            <w:tcW w:w="3118" w:type="dxa"/>
            <w:vAlign w:val="center"/>
          </w:tcPr>
          <w:p w:rsidR="003E67F9" w:rsidRDefault="00B67B0B">
            <w:pPr>
              <w:ind w:firstLineChars="200" w:firstLine="420"/>
              <w:jc w:val="both"/>
              <w:textAlignment w:val="baseline"/>
              <w:rPr>
                <w:rFonts w:ascii="仿宋" w:eastAsia="仿宋" w:hAnsi="仿宋" w:cs="华文仿宋"/>
                <w:sz w:val="21"/>
                <w:szCs w:val="21"/>
              </w:rPr>
            </w:pPr>
            <w:r>
              <w:rPr>
                <w:rFonts w:ascii="仿宋" w:eastAsia="仿宋" w:hAnsi="仿宋" w:cs="华文仿宋" w:hint="eastAsia"/>
                <w:sz w:val="21"/>
                <w:szCs w:val="21"/>
              </w:rPr>
              <w:t>政治学</w:t>
            </w:r>
          </w:p>
        </w:tc>
        <w:tc>
          <w:tcPr>
            <w:tcW w:w="2127" w:type="dxa"/>
            <w:vAlign w:val="center"/>
          </w:tcPr>
          <w:p w:rsidR="003E67F9" w:rsidRDefault="00B67B0B">
            <w:pPr>
              <w:ind w:firstLineChars="200" w:firstLine="420"/>
              <w:jc w:val="both"/>
              <w:textAlignment w:val="baseline"/>
              <w:rPr>
                <w:rFonts w:ascii="仿宋" w:eastAsia="仿宋" w:hAnsi="仿宋" w:cs="华文仿宋"/>
                <w:sz w:val="21"/>
                <w:szCs w:val="21"/>
              </w:rPr>
            </w:pPr>
            <w:r>
              <w:rPr>
                <w:rFonts w:ascii="仿宋" w:eastAsia="仿宋" w:hAnsi="仿宋" w:cs="华文仿宋" w:hint="eastAsia"/>
                <w:sz w:val="21"/>
                <w:szCs w:val="21"/>
              </w:rPr>
              <w:t>选设</w:t>
            </w:r>
          </w:p>
        </w:tc>
        <w:tc>
          <w:tcPr>
            <w:tcW w:w="2126" w:type="dxa"/>
            <w:vAlign w:val="center"/>
          </w:tcPr>
          <w:p w:rsidR="003E67F9" w:rsidRDefault="00B67B0B">
            <w:pPr>
              <w:ind w:firstLineChars="200" w:firstLine="420"/>
              <w:jc w:val="both"/>
              <w:textAlignment w:val="baseline"/>
              <w:rPr>
                <w:rFonts w:ascii="仿宋" w:eastAsia="仿宋" w:hAnsi="仿宋" w:cs="华文仿宋"/>
                <w:sz w:val="21"/>
                <w:szCs w:val="21"/>
              </w:rPr>
            </w:pPr>
            <w:r>
              <w:rPr>
                <w:rFonts w:ascii="仿宋" w:eastAsia="仿宋" w:hAnsi="仿宋" w:cs="华文仿宋" w:hint="eastAsia"/>
                <w:sz w:val="21"/>
                <w:szCs w:val="21"/>
              </w:rPr>
              <w:t>2</w:t>
            </w:r>
          </w:p>
        </w:tc>
      </w:tr>
      <w:tr w:rsidR="003E67F9">
        <w:trPr>
          <w:trHeight w:hRule="exact" w:val="510"/>
          <w:jc w:val="center"/>
        </w:trPr>
        <w:tc>
          <w:tcPr>
            <w:tcW w:w="962" w:type="dxa"/>
            <w:vAlign w:val="center"/>
          </w:tcPr>
          <w:p w:rsidR="003E67F9" w:rsidRDefault="00B67B0B">
            <w:pPr>
              <w:ind w:firstLineChars="200" w:firstLine="420"/>
              <w:jc w:val="both"/>
              <w:textAlignment w:val="baseline"/>
              <w:rPr>
                <w:rFonts w:ascii="仿宋" w:eastAsia="仿宋" w:hAnsi="仿宋" w:cs="华文仿宋"/>
                <w:sz w:val="21"/>
                <w:szCs w:val="21"/>
              </w:rPr>
            </w:pPr>
            <w:r>
              <w:rPr>
                <w:rFonts w:ascii="仿宋" w:eastAsia="仿宋" w:hAnsi="仿宋" w:cs="华文仿宋" w:hint="eastAsia"/>
                <w:sz w:val="21"/>
                <w:szCs w:val="21"/>
              </w:rPr>
              <w:t>6</w:t>
            </w:r>
          </w:p>
        </w:tc>
        <w:tc>
          <w:tcPr>
            <w:tcW w:w="3118" w:type="dxa"/>
            <w:vAlign w:val="center"/>
          </w:tcPr>
          <w:p w:rsidR="003E67F9" w:rsidRDefault="00B67B0B">
            <w:pPr>
              <w:ind w:firstLineChars="200" w:firstLine="420"/>
              <w:jc w:val="both"/>
              <w:textAlignment w:val="baseline"/>
              <w:rPr>
                <w:rFonts w:ascii="仿宋" w:eastAsia="仿宋" w:hAnsi="仿宋" w:cs="华文仿宋"/>
                <w:sz w:val="21"/>
                <w:szCs w:val="21"/>
              </w:rPr>
            </w:pPr>
            <w:r>
              <w:rPr>
                <w:rFonts w:ascii="仿宋" w:eastAsia="仿宋" w:hAnsi="仿宋" w:cs="华文仿宋" w:hint="eastAsia"/>
                <w:sz w:val="21"/>
                <w:szCs w:val="21"/>
              </w:rPr>
              <w:t>公共经济学</w:t>
            </w:r>
          </w:p>
        </w:tc>
        <w:tc>
          <w:tcPr>
            <w:tcW w:w="2127" w:type="dxa"/>
            <w:vAlign w:val="center"/>
          </w:tcPr>
          <w:p w:rsidR="003E67F9" w:rsidRDefault="00B67B0B">
            <w:pPr>
              <w:ind w:firstLineChars="200" w:firstLine="420"/>
              <w:jc w:val="both"/>
              <w:textAlignment w:val="baseline"/>
              <w:rPr>
                <w:rFonts w:ascii="仿宋" w:eastAsia="仿宋" w:hAnsi="仿宋" w:cs="华文仿宋"/>
                <w:sz w:val="21"/>
                <w:szCs w:val="21"/>
              </w:rPr>
            </w:pPr>
            <w:r>
              <w:rPr>
                <w:rFonts w:ascii="仿宋" w:eastAsia="仿宋" w:hAnsi="仿宋" w:cs="华文仿宋" w:hint="eastAsia"/>
                <w:sz w:val="21"/>
                <w:szCs w:val="21"/>
              </w:rPr>
              <w:t>选设</w:t>
            </w:r>
          </w:p>
        </w:tc>
        <w:tc>
          <w:tcPr>
            <w:tcW w:w="2126" w:type="dxa"/>
            <w:vAlign w:val="center"/>
          </w:tcPr>
          <w:p w:rsidR="003E67F9" w:rsidRDefault="00B67B0B">
            <w:pPr>
              <w:ind w:firstLineChars="200" w:firstLine="420"/>
              <w:jc w:val="both"/>
              <w:textAlignment w:val="baseline"/>
              <w:rPr>
                <w:rFonts w:ascii="仿宋" w:eastAsia="仿宋" w:hAnsi="仿宋" w:cs="华文仿宋"/>
                <w:sz w:val="21"/>
                <w:szCs w:val="21"/>
              </w:rPr>
            </w:pPr>
            <w:r>
              <w:rPr>
                <w:rFonts w:ascii="仿宋" w:eastAsia="仿宋" w:hAnsi="仿宋" w:cs="华文仿宋" w:hint="eastAsia"/>
                <w:sz w:val="21"/>
                <w:szCs w:val="21"/>
              </w:rPr>
              <w:t>3</w:t>
            </w:r>
          </w:p>
        </w:tc>
      </w:tr>
      <w:tr w:rsidR="003E67F9">
        <w:trPr>
          <w:trHeight w:hRule="exact" w:val="510"/>
          <w:jc w:val="center"/>
        </w:trPr>
        <w:tc>
          <w:tcPr>
            <w:tcW w:w="962" w:type="dxa"/>
            <w:tcBorders>
              <w:bottom w:val="single" w:sz="4" w:space="0" w:color="auto"/>
            </w:tcBorders>
            <w:vAlign w:val="center"/>
          </w:tcPr>
          <w:p w:rsidR="003E67F9" w:rsidRDefault="00B67B0B">
            <w:pPr>
              <w:ind w:firstLineChars="200" w:firstLine="420"/>
              <w:jc w:val="both"/>
              <w:textAlignment w:val="baseline"/>
              <w:rPr>
                <w:rFonts w:ascii="仿宋" w:eastAsia="仿宋" w:hAnsi="仿宋" w:cs="华文仿宋"/>
                <w:sz w:val="21"/>
                <w:szCs w:val="21"/>
              </w:rPr>
            </w:pPr>
            <w:r>
              <w:rPr>
                <w:rFonts w:ascii="仿宋" w:eastAsia="仿宋" w:hAnsi="仿宋" w:cs="华文仿宋" w:hint="eastAsia"/>
                <w:sz w:val="21"/>
                <w:szCs w:val="21"/>
              </w:rPr>
              <w:t>7</w:t>
            </w:r>
          </w:p>
        </w:tc>
        <w:tc>
          <w:tcPr>
            <w:tcW w:w="3118" w:type="dxa"/>
            <w:tcBorders>
              <w:bottom w:val="single" w:sz="4" w:space="0" w:color="auto"/>
            </w:tcBorders>
            <w:vAlign w:val="center"/>
          </w:tcPr>
          <w:p w:rsidR="003E67F9" w:rsidRDefault="00B67B0B">
            <w:pPr>
              <w:ind w:firstLineChars="200" w:firstLine="420"/>
              <w:jc w:val="both"/>
              <w:textAlignment w:val="baseline"/>
              <w:rPr>
                <w:rFonts w:ascii="仿宋" w:eastAsia="仿宋" w:hAnsi="仿宋" w:cs="华文仿宋"/>
                <w:sz w:val="21"/>
                <w:szCs w:val="21"/>
              </w:rPr>
            </w:pPr>
            <w:r>
              <w:rPr>
                <w:rFonts w:ascii="仿宋" w:eastAsia="仿宋" w:hAnsi="仿宋" w:cs="华文仿宋" w:hint="eastAsia"/>
                <w:sz w:val="21"/>
                <w:szCs w:val="21"/>
              </w:rPr>
              <w:t>宪法与行政法</w:t>
            </w:r>
          </w:p>
        </w:tc>
        <w:tc>
          <w:tcPr>
            <w:tcW w:w="2127" w:type="dxa"/>
            <w:tcBorders>
              <w:bottom w:val="single" w:sz="4" w:space="0" w:color="auto"/>
            </w:tcBorders>
            <w:vAlign w:val="center"/>
          </w:tcPr>
          <w:p w:rsidR="003E67F9" w:rsidRDefault="00B67B0B">
            <w:pPr>
              <w:ind w:firstLineChars="200" w:firstLine="420"/>
              <w:jc w:val="both"/>
              <w:textAlignment w:val="baseline"/>
              <w:rPr>
                <w:rFonts w:ascii="仿宋" w:eastAsia="仿宋" w:hAnsi="仿宋" w:cs="华文仿宋"/>
                <w:sz w:val="21"/>
                <w:szCs w:val="21"/>
              </w:rPr>
            </w:pPr>
            <w:r>
              <w:rPr>
                <w:rFonts w:ascii="仿宋" w:eastAsia="仿宋" w:hAnsi="仿宋" w:cs="华文仿宋" w:hint="eastAsia"/>
                <w:sz w:val="21"/>
                <w:szCs w:val="21"/>
              </w:rPr>
              <w:t>选设</w:t>
            </w:r>
          </w:p>
        </w:tc>
        <w:tc>
          <w:tcPr>
            <w:tcW w:w="2126" w:type="dxa"/>
            <w:tcBorders>
              <w:bottom w:val="single" w:sz="4" w:space="0" w:color="auto"/>
            </w:tcBorders>
            <w:vAlign w:val="center"/>
          </w:tcPr>
          <w:p w:rsidR="003E67F9" w:rsidRDefault="00B67B0B">
            <w:pPr>
              <w:ind w:firstLineChars="200" w:firstLine="420"/>
              <w:jc w:val="both"/>
              <w:textAlignment w:val="baseline"/>
              <w:rPr>
                <w:rFonts w:ascii="仿宋" w:eastAsia="仿宋" w:hAnsi="仿宋" w:cs="华文仿宋"/>
                <w:sz w:val="21"/>
                <w:szCs w:val="21"/>
              </w:rPr>
            </w:pPr>
            <w:r>
              <w:rPr>
                <w:rFonts w:ascii="仿宋" w:eastAsia="仿宋" w:hAnsi="仿宋" w:cs="华文仿宋" w:hint="eastAsia"/>
                <w:sz w:val="21"/>
                <w:szCs w:val="21"/>
              </w:rPr>
              <w:t>2</w:t>
            </w:r>
          </w:p>
        </w:tc>
      </w:tr>
      <w:tr w:rsidR="003E67F9">
        <w:trPr>
          <w:trHeight w:hRule="exact" w:val="510"/>
          <w:jc w:val="center"/>
        </w:trPr>
        <w:tc>
          <w:tcPr>
            <w:tcW w:w="962" w:type="dxa"/>
            <w:tcBorders>
              <w:top w:val="single" w:sz="4" w:space="0" w:color="auto"/>
            </w:tcBorders>
            <w:vAlign w:val="center"/>
          </w:tcPr>
          <w:p w:rsidR="003E67F9" w:rsidRDefault="00B67B0B">
            <w:pPr>
              <w:ind w:firstLineChars="200" w:firstLine="420"/>
              <w:jc w:val="both"/>
              <w:textAlignment w:val="baseline"/>
              <w:rPr>
                <w:rFonts w:ascii="仿宋" w:eastAsia="仿宋" w:hAnsi="仿宋" w:cs="华文仿宋"/>
                <w:sz w:val="21"/>
                <w:szCs w:val="21"/>
              </w:rPr>
            </w:pPr>
            <w:r>
              <w:rPr>
                <w:rFonts w:ascii="仿宋" w:eastAsia="仿宋" w:hAnsi="仿宋" w:cs="华文仿宋" w:hint="eastAsia"/>
                <w:sz w:val="21"/>
                <w:szCs w:val="21"/>
              </w:rPr>
              <w:t>8</w:t>
            </w:r>
          </w:p>
        </w:tc>
        <w:tc>
          <w:tcPr>
            <w:tcW w:w="3118" w:type="dxa"/>
            <w:tcBorders>
              <w:top w:val="single" w:sz="4" w:space="0" w:color="auto"/>
            </w:tcBorders>
            <w:vAlign w:val="center"/>
          </w:tcPr>
          <w:p w:rsidR="003E67F9" w:rsidRDefault="00B67B0B">
            <w:pPr>
              <w:ind w:firstLineChars="200" w:firstLine="420"/>
              <w:jc w:val="both"/>
              <w:textAlignment w:val="baseline"/>
              <w:rPr>
                <w:rFonts w:ascii="仿宋" w:eastAsia="仿宋" w:hAnsi="仿宋" w:cs="华文仿宋"/>
                <w:sz w:val="21"/>
                <w:szCs w:val="21"/>
              </w:rPr>
            </w:pPr>
            <w:r>
              <w:rPr>
                <w:rFonts w:ascii="仿宋" w:eastAsia="仿宋" w:hAnsi="仿宋" w:cs="华文仿宋" w:hint="eastAsia"/>
                <w:sz w:val="21"/>
                <w:szCs w:val="21"/>
              </w:rPr>
              <w:t>非营利组织管理</w:t>
            </w:r>
          </w:p>
        </w:tc>
        <w:tc>
          <w:tcPr>
            <w:tcW w:w="2127" w:type="dxa"/>
            <w:tcBorders>
              <w:top w:val="single" w:sz="4" w:space="0" w:color="auto"/>
            </w:tcBorders>
            <w:vAlign w:val="center"/>
          </w:tcPr>
          <w:p w:rsidR="003E67F9" w:rsidRDefault="00B67B0B">
            <w:pPr>
              <w:ind w:firstLineChars="200" w:firstLine="420"/>
              <w:jc w:val="both"/>
              <w:textAlignment w:val="baseline"/>
              <w:rPr>
                <w:rFonts w:ascii="仿宋" w:eastAsia="仿宋" w:hAnsi="仿宋" w:cs="华文仿宋"/>
                <w:sz w:val="21"/>
                <w:szCs w:val="21"/>
              </w:rPr>
            </w:pPr>
            <w:r>
              <w:rPr>
                <w:rFonts w:ascii="仿宋" w:eastAsia="仿宋" w:hAnsi="仿宋" w:cs="华文仿宋" w:hint="eastAsia"/>
                <w:sz w:val="21"/>
                <w:szCs w:val="21"/>
              </w:rPr>
              <w:t>选设</w:t>
            </w:r>
          </w:p>
        </w:tc>
        <w:tc>
          <w:tcPr>
            <w:tcW w:w="2126" w:type="dxa"/>
            <w:tcBorders>
              <w:top w:val="single" w:sz="4" w:space="0" w:color="auto"/>
            </w:tcBorders>
            <w:vAlign w:val="center"/>
          </w:tcPr>
          <w:p w:rsidR="003E67F9" w:rsidRDefault="00B67B0B">
            <w:pPr>
              <w:ind w:firstLineChars="200" w:firstLine="420"/>
              <w:jc w:val="both"/>
              <w:textAlignment w:val="baseline"/>
              <w:rPr>
                <w:rFonts w:ascii="仿宋" w:eastAsia="仿宋" w:hAnsi="仿宋" w:cs="华文仿宋"/>
                <w:sz w:val="21"/>
                <w:szCs w:val="21"/>
              </w:rPr>
            </w:pPr>
            <w:r>
              <w:rPr>
                <w:rFonts w:ascii="仿宋" w:eastAsia="仿宋" w:hAnsi="仿宋" w:cs="华文仿宋" w:hint="eastAsia"/>
                <w:sz w:val="21"/>
                <w:szCs w:val="21"/>
              </w:rPr>
              <w:t>2</w:t>
            </w:r>
          </w:p>
        </w:tc>
      </w:tr>
      <w:tr w:rsidR="003E67F9">
        <w:trPr>
          <w:trHeight w:hRule="exact" w:val="510"/>
          <w:jc w:val="center"/>
        </w:trPr>
        <w:tc>
          <w:tcPr>
            <w:tcW w:w="962" w:type="dxa"/>
            <w:vAlign w:val="center"/>
          </w:tcPr>
          <w:p w:rsidR="003E67F9" w:rsidRDefault="00B67B0B">
            <w:pPr>
              <w:ind w:firstLineChars="200" w:firstLine="420"/>
              <w:jc w:val="both"/>
              <w:textAlignment w:val="baseline"/>
              <w:rPr>
                <w:rFonts w:ascii="仿宋" w:eastAsia="仿宋" w:hAnsi="仿宋" w:cs="华文仿宋"/>
                <w:sz w:val="21"/>
                <w:szCs w:val="21"/>
              </w:rPr>
            </w:pPr>
            <w:r>
              <w:rPr>
                <w:rFonts w:ascii="仿宋" w:eastAsia="仿宋" w:hAnsi="仿宋" w:cs="华文仿宋" w:hint="eastAsia"/>
                <w:sz w:val="21"/>
                <w:szCs w:val="21"/>
              </w:rPr>
              <w:t>9</w:t>
            </w:r>
          </w:p>
        </w:tc>
        <w:tc>
          <w:tcPr>
            <w:tcW w:w="3118" w:type="dxa"/>
            <w:vAlign w:val="center"/>
          </w:tcPr>
          <w:p w:rsidR="003E67F9" w:rsidRDefault="00B67B0B">
            <w:pPr>
              <w:ind w:firstLineChars="200" w:firstLine="420"/>
              <w:jc w:val="both"/>
              <w:textAlignment w:val="baseline"/>
              <w:rPr>
                <w:rFonts w:ascii="仿宋" w:eastAsia="仿宋" w:hAnsi="仿宋" w:cs="华文仿宋"/>
                <w:sz w:val="21"/>
                <w:szCs w:val="21"/>
              </w:rPr>
            </w:pPr>
            <w:r>
              <w:rPr>
                <w:rFonts w:ascii="仿宋" w:eastAsia="仿宋" w:hAnsi="仿宋" w:cs="华文仿宋" w:hint="eastAsia"/>
                <w:sz w:val="21"/>
                <w:szCs w:val="21"/>
              </w:rPr>
              <w:t>公共伦理</w:t>
            </w:r>
          </w:p>
        </w:tc>
        <w:tc>
          <w:tcPr>
            <w:tcW w:w="2127" w:type="dxa"/>
            <w:vAlign w:val="center"/>
          </w:tcPr>
          <w:p w:rsidR="003E67F9" w:rsidRDefault="00B67B0B">
            <w:pPr>
              <w:ind w:firstLineChars="200" w:firstLine="420"/>
              <w:jc w:val="both"/>
              <w:textAlignment w:val="baseline"/>
              <w:rPr>
                <w:rFonts w:ascii="仿宋" w:eastAsia="仿宋" w:hAnsi="仿宋" w:cs="华文仿宋"/>
                <w:sz w:val="21"/>
                <w:szCs w:val="21"/>
              </w:rPr>
            </w:pPr>
            <w:r>
              <w:rPr>
                <w:rFonts w:ascii="仿宋" w:eastAsia="仿宋" w:hAnsi="仿宋" w:cs="华文仿宋" w:hint="eastAsia"/>
                <w:sz w:val="21"/>
                <w:szCs w:val="21"/>
              </w:rPr>
              <w:t>选设</w:t>
            </w:r>
          </w:p>
        </w:tc>
        <w:tc>
          <w:tcPr>
            <w:tcW w:w="2126" w:type="dxa"/>
            <w:vAlign w:val="center"/>
          </w:tcPr>
          <w:p w:rsidR="003E67F9" w:rsidRDefault="00B67B0B">
            <w:pPr>
              <w:ind w:firstLineChars="200" w:firstLine="420"/>
              <w:jc w:val="both"/>
              <w:textAlignment w:val="baseline"/>
              <w:rPr>
                <w:rFonts w:ascii="仿宋" w:eastAsia="仿宋" w:hAnsi="仿宋" w:cs="华文仿宋"/>
                <w:sz w:val="21"/>
                <w:szCs w:val="21"/>
              </w:rPr>
            </w:pPr>
            <w:r>
              <w:rPr>
                <w:rFonts w:ascii="仿宋" w:eastAsia="仿宋" w:hAnsi="仿宋" w:cs="华文仿宋" w:hint="eastAsia"/>
                <w:sz w:val="21"/>
                <w:szCs w:val="21"/>
              </w:rPr>
              <w:t>2</w:t>
            </w:r>
          </w:p>
        </w:tc>
      </w:tr>
      <w:tr w:rsidR="003E67F9">
        <w:trPr>
          <w:trHeight w:hRule="exact" w:val="510"/>
          <w:jc w:val="center"/>
        </w:trPr>
        <w:tc>
          <w:tcPr>
            <w:tcW w:w="962" w:type="dxa"/>
            <w:vAlign w:val="center"/>
          </w:tcPr>
          <w:p w:rsidR="003E67F9" w:rsidRDefault="00B67B0B">
            <w:pPr>
              <w:ind w:firstLineChars="200" w:firstLine="420"/>
              <w:jc w:val="both"/>
              <w:textAlignment w:val="baseline"/>
              <w:rPr>
                <w:rFonts w:ascii="仿宋" w:eastAsia="仿宋" w:hAnsi="仿宋" w:cs="华文仿宋"/>
                <w:sz w:val="21"/>
                <w:szCs w:val="21"/>
              </w:rPr>
            </w:pPr>
            <w:r>
              <w:rPr>
                <w:rFonts w:ascii="仿宋" w:eastAsia="仿宋" w:hAnsi="仿宋" w:cs="华文仿宋" w:hint="eastAsia"/>
                <w:sz w:val="21"/>
                <w:szCs w:val="21"/>
              </w:rPr>
              <w:t>10</w:t>
            </w:r>
          </w:p>
        </w:tc>
        <w:tc>
          <w:tcPr>
            <w:tcW w:w="3118" w:type="dxa"/>
            <w:vAlign w:val="center"/>
          </w:tcPr>
          <w:p w:rsidR="003E67F9" w:rsidRDefault="00B67B0B">
            <w:pPr>
              <w:ind w:firstLineChars="200" w:firstLine="420"/>
              <w:jc w:val="both"/>
              <w:textAlignment w:val="baseline"/>
              <w:rPr>
                <w:rFonts w:ascii="仿宋" w:eastAsia="仿宋" w:hAnsi="仿宋" w:cs="华文仿宋"/>
                <w:sz w:val="21"/>
                <w:szCs w:val="21"/>
              </w:rPr>
            </w:pPr>
            <w:r>
              <w:rPr>
                <w:rFonts w:ascii="仿宋" w:eastAsia="仿宋" w:hAnsi="仿宋" w:cs="华文仿宋" w:hint="eastAsia"/>
                <w:sz w:val="21"/>
                <w:szCs w:val="21"/>
              </w:rPr>
              <w:t>社会研究方法</w:t>
            </w:r>
          </w:p>
        </w:tc>
        <w:tc>
          <w:tcPr>
            <w:tcW w:w="2127" w:type="dxa"/>
            <w:vAlign w:val="center"/>
          </w:tcPr>
          <w:p w:rsidR="003E67F9" w:rsidRDefault="00B67B0B">
            <w:pPr>
              <w:ind w:firstLineChars="200" w:firstLine="420"/>
              <w:jc w:val="both"/>
              <w:textAlignment w:val="baseline"/>
              <w:rPr>
                <w:rFonts w:ascii="仿宋" w:eastAsia="仿宋" w:hAnsi="仿宋" w:cs="华文仿宋"/>
                <w:sz w:val="21"/>
                <w:szCs w:val="21"/>
              </w:rPr>
            </w:pPr>
            <w:r>
              <w:rPr>
                <w:rFonts w:ascii="仿宋" w:eastAsia="仿宋" w:hAnsi="仿宋" w:cs="华文仿宋" w:hint="eastAsia"/>
                <w:sz w:val="21"/>
                <w:szCs w:val="21"/>
              </w:rPr>
              <w:t>选设</w:t>
            </w:r>
          </w:p>
        </w:tc>
        <w:tc>
          <w:tcPr>
            <w:tcW w:w="2126" w:type="dxa"/>
            <w:vAlign w:val="center"/>
          </w:tcPr>
          <w:p w:rsidR="003E67F9" w:rsidRDefault="00B67B0B">
            <w:pPr>
              <w:ind w:firstLineChars="200" w:firstLine="420"/>
              <w:jc w:val="both"/>
              <w:textAlignment w:val="baseline"/>
              <w:rPr>
                <w:rFonts w:ascii="仿宋" w:eastAsia="仿宋" w:hAnsi="仿宋" w:cs="华文仿宋"/>
                <w:sz w:val="21"/>
                <w:szCs w:val="21"/>
              </w:rPr>
            </w:pPr>
            <w:r>
              <w:rPr>
                <w:rFonts w:ascii="仿宋" w:eastAsia="仿宋" w:hAnsi="仿宋" w:cs="华文仿宋" w:hint="eastAsia"/>
                <w:sz w:val="21"/>
                <w:szCs w:val="21"/>
              </w:rPr>
              <w:t>2</w:t>
            </w:r>
          </w:p>
        </w:tc>
      </w:tr>
      <w:tr w:rsidR="003E67F9">
        <w:trPr>
          <w:trHeight w:hRule="exact" w:val="510"/>
          <w:jc w:val="center"/>
        </w:trPr>
        <w:tc>
          <w:tcPr>
            <w:tcW w:w="962" w:type="dxa"/>
            <w:vAlign w:val="center"/>
          </w:tcPr>
          <w:p w:rsidR="003E67F9" w:rsidRDefault="00B67B0B">
            <w:pPr>
              <w:ind w:firstLineChars="200" w:firstLine="420"/>
              <w:jc w:val="both"/>
              <w:textAlignment w:val="baseline"/>
              <w:rPr>
                <w:rFonts w:ascii="仿宋" w:eastAsia="仿宋" w:hAnsi="仿宋" w:cs="华文仿宋"/>
                <w:sz w:val="21"/>
                <w:szCs w:val="21"/>
              </w:rPr>
            </w:pPr>
            <w:r>
              <w:rPr>
                <w:rFonts w:ascii="仿宋" w:eastAsia="仿宋" w:hAnsi="仿宋" w:cs="华文仿宋" w:hint="eastAsia"/>
                <w:sz w:val="21"/>
                <w:szCs w:val="21"/>
              </w:rPr>
              <w:t>11</w:t>
            </w:r>
          </w:p>
        </w:tc>
        <w:tc>
          <w:tcPr>
            <w:tcW w:w="3118" w:type="dxa"/>
            <w:vAlign w:val="center"/>
          </w:tcPr>
          <w:p w:rsidR="003E67F9" w:rsidRDefault="00B67B0B">
            <w:pPr>
              <w:ind w:firstLineChars="200" w:firstLine="420"/>
              <w:jc w:val="both"/>
              <w:textAlignment w:val="baseline"/>
              <w:rPr>
                <w:rFonts w:ascii="仿宋" w:eastAsia="仿宋" w:hAnsi="仿宋" w:cs="华文仿宋"/>
                <w:sz w:val="21"/>
                <w:szCs w:val="21"/>
              </w:rPr>
            </w:pPr>
            <w:r>
              <w:rPr>
                <w:rFonts w:ascii="仿宋" w:eastAsia="仿宋" w:hAnsi="仿宋" w:cs="华文仿宋" w:hint="eastAsia"/>
                <w:sz w:val="21"/>
                <w:szCs w:val="21"/>
              </w:rPr>
              <w:t>电子政务</w:t>
            </w:r>
          </w:p>
        </w:tc>
        <w:tc>
          <w:tcPr>
            <w:tcW w:w="2127" w:type="dxa"/>
            <w:vAlign w:val="center"/>
          </w:tcPr>
          <w:p w:rsidR="003E67F9" w:rsidRDefault="00B67B0B">
            <w:pPr>
              <w:ind w:firstLineChars="200" w:firstLine="420"/>
              <w:jc w:val="both"/>
              <w:textAlignment w:val="baseline"/>
              <w:rPr>
                <w:rFonts w:ascii="仿宋" w:eastAsia="仿宋" w:hAnsi="仿宋" w:cs="华文仿宋"/>
                <w:sz w:val="21"/>
                <w:szCs w:val="21"/>
              </w:rPr>
            </w:pPr>
            <w:r>
              <w:rPr>
                <w:rFonts w:ascii="仿宋" w:eastAsia="仿宋" w:hAnsi="仿宋" w:cs="华文仿宋" w:hint="eastAsia"/>
                <w:sz w:val="21"/>
                <w:szCs w:val="21"/>
              </w:rPr>
              <w:t>选设</w:t>
            </w:r>
          </w:p>
        </w:tc>
        <w:tc>
          <w:tcPr>
            <w:tcW w:w="2126" w:type="dxa"/>
            <w:vAlign w:val="center"/>
          </w:tcPr>
          <w:p w:rsidR="003E67F9" w:rsidRDefault="00B67B0B">
            <w:pPr>
              <w:ind w:firstLineChars="200" w:firstLine="420"/>
              <w:jc w:val="both"/>
              <w:textAlignment w:val="baseline"/>
              <w:rPr>
                <w:rFonts w:ascii="仿宋" w:eastAsia="仿宋" w:hAnsi="仿宋" w:cs="华文仿宋"/>
                <w:sz w:val="21"/>
                <w:szCs w:val="21"/>
              </w:rPr>
            </w:pPr>
            <w:r>
              <w:rPr>
                <w:rFonts w:ascii="仿宋" w:eastAsia="仿宋" w:hAnsi="仿宋" w:cs="华文仿宋" w:hint="eastAsia"/>
                <w:sz w:val="21"/>
                <w:szCs w:val="21"/>
              </w:rPr>
              <w:t>2</w:t>
            </w:r>
          </w:p>
        </w:tc>
      </w:tr>
      <w:tr w:rsidR="003E67F9">
        <w:trPr>
          <w:trHeight w:hRule="exact" w:val="510"/>
          <w:jc w:val="center"/>
        </w:trPr>
        <w:tc>
          <w:tcPr>
            <w:tcW w:w="962" w:type="dxa"/>
            <w:vAlign w:val="center"/>
          </w:tcPr>
          <w:p w:rsidR="003E67F9" w:rsidRDefault="00B67B0B">
            <w:pPr>
              <w:ind w:firstLineChars="200" w:firstLine="420"/>
              <w:jc w:val="both"/>
              <w:textAlignment w:val="baseline"/>
              <w:rPr>
                <w:rFonts w:ascii="仿宋" w:eastAsia="仿宋" w:hAnsi="仿宋" w:cs="华文仿宋"/>
                <w:sz w:val="21"/>
                <w:szCs w:val="21"/>
              </w:rPr>
            </w:pPr>
            <w:r>
              <w:rPr>
                <w:rFonts w:ascii="仿宋" w:eastAsia="仿宋" w:hAnsi="仿宋" w:cs="华文仿宋" w:hint="eastAsia"/>
                <w:sz w:val="21"/>
                <w:szCs w:val="21"/>
              </w:rPr>
              <w:t>12</w:t>
            </w:r>
          </w:p>
        </w:tc>
        <w:tc>
          <w:tcPr>
            <w:tcW w:w="3118" w:type="dxa"/>
            <w:vAlign w:val="center"/>
          </w:tcPr>
          <w:p w:rsidR="003E67F9" w:rsidRDefault="00B67B0B">
            <w:pPr>
              <w:ind w:firstLineChars="200" w:firstLine="420"/>
              <w:jc w:val="both"/>
              <w:textAlignment w:val="baseline"/>
              <w:rPr>
                <w:rFonts w:ascii="仿宋" w:eastAsia="仿宋" w:hAnsi="仿宋" w:cs="华文仿宋"/>
                <w:sz w:val="21"/>
                <w:szCs w:val="21"/>
              </w:rPr>
            </w:pPr>
            <w:r>
              <w:rPr>
                <w:rFonts w:ascii="仿宋" w:eastAsia="仿宋" w:hAnsi="仿宋" w:cs="华文仿宋" w:hint="eastAsia"/>
                <w:sz w:val="21"/>
                <w:szCs w:val="21"/>
              </w:rPr>
              <w:t>公文写作</w:t>
            </w:r>
          </w:p>
        </w:tc>
        <w:tc>
          <w:tcPr>
            <w:tcW w:w="2127" w:type="dxa"/>
            <w:vAlign w:val="center"/>
          </w:tcPr>
          <w:p w:rsidR="003E67F9" w:rsidRDefault="00B67B0B">
            <w:pPr>
              <w:ind w:firstLineChars="200" w:firstLine="420"/>
              <w:jc w:val="both"/>
              <w:textAlignment w:val="baseline"/>
              <w:rPr>
                <w:rFonts w:ascii="仿宋" w:eastAsia="仿宋" w:hAnsi="仿宋" w:cs="华文仿宋"/>
                <w:sz w:val="21"/>
                <w:szCs w:val="21"/>
              </w:rPr>
            </w:pPr>
            <w:r>
              <w:rPr>
                <w:rFonts w:ascii="仿宋" w:eastAsia="仿宋" w:hAnsi="仿宋" w:cs="华文仿宋" w:hint="eastAsia"/>
                <w:sz w:val="21"/>
                <w:szCs w:val="21"/>
              </w:rPr>
              <w:t>选设</w:t>
            </w:r>
          </w:p>
        </w:tc>
        <w:tc>
          <w:tcPr>
            <w:tcW w:w="2126" w:type="dxa"/>
            <w:vAlign w:val="center"/>
          </w:tcPr>
          <w:p w:rsidR="003E67F9" w:rsidRDefault="00B67B0B">
            <w:pPr>
              <w:ind w:firstLineChars="200" w:firstLine="420"/>
              <w:jc w:val="both"/>
              <w:textAlignment w:val="baseline"/>
              <w:rPr>
                <w:rFonts w:ascii="仿宋" w:eastAsia="仿宋" w:hAnsi="仿宋" w:cs="华文仿宋"/>
                <w:sz w:val="21"/>
                <w:szCs w:val="21"/>
              </w:rPr>
            </w:pPr>
            <w:r>
              <w:rPr>
                <w:rFonts w:ascii="仿宋" w:eastAsia="仿宋" w:hAnsi="仿宋" w:cs="华文仿宋" w:hint="eastAsia"/>
                <w:sz w:val="21"/>
                <w:szCs w:val="21"/>
              </w:rPr>
              <w:t>2</w:t>
            </w:r>
          </w:p>
        </w:tc>
      </w:tr>
    </w:tbl>
    <w:p w:rsidR="003E67F9" w:rsidRDefault="00B67B0B">
      <w:pPr>
        <w:spacing w:line="500" w:lineRule="exact"/>
        <w:ind w:firstLineChars="200" w:firstLine="480"/>
        <w:jc w:val="both"/>
        <w:textAlignment w:val="baseline"/>
        <w:rPr>
          <w:rFonts w:ascii="仿宋" w:eastAsia="仿宋" w:hAnsi="仿宋" w:cs="华文仿宋"/>
          <w:sz w:val="24"/>
          <w:szCs w:val="24"/>
          <w:lang w:eastAsia="zh-CN"/>
        </w:rPr>
      </w:pPr>
      <w:r>
        <w:rPr>
          <w:rFonts w:ascii="仿宋" w:eastAsia="仿宋" w:hAnsi="仿宋" w:cs="华文仿宋" w:hint="eastAsia"/>
          <w:sz w:val="24"/>
          <w:szCs w:val="24"/>
          <w:lang w:eastAsia="zh-CN"/>
        </w:rPr>
        <w:t>2.</w:t>
      </w:r>
      <w:r>
        <w:rPr>
          <w:rFonts w:ascii="仿宋" w:eastAsia="仿宋" w:hAnsi="仿宋" w:cs="华文仿宋" w:hint="eastAsia"/>
          <w:sz w:val="24"/>
          <w:szCs w:val="24"/>
          <w:lang w:eastAsia="zh-CN"/>
        </w:rPr>
        <w:t>专业方向必修课和选修课由各培养院校根据公共管理学科范畴、院校自身办学特色和社会公共管理事业对于人才的培养需求，自行设计和设置。</w:t>
      </w:r>
    </w:p>
    <w:p w:rsidR="003E67F9" w:rsidRDefault="00B67B0B">
      <w:pPr>
        <w:spacing w:line="500" w:lineRule="exact"/>
        <w:ind w:firstLineChars="200" w:firstLine="480"/>
        <w:jc w:val="both"/>
        <w:textAlignment w:val="baseline"/>
        <w:rPr>
          <w:rFonts w:ascii="仿宋" w:eastAsia="仿宋" w:hAnsi="仿宋" w:cs="华文仿宋"/>
          <w:sz w:val="24"/>
          <w:szCs w:val="24"/>
          <w:lang w:eastAsia="zh-CN"/>
        </w:rPr>
      </w:pPr>
      <w:r>
        <w:rPr>
          <w:rFonts w:ascii="仿宋" w:eastAsia="仿宋" w:hAnsi="仿宋" w:cs="华文仿宋" w:hint="eastAsia"/>
          <w:sz w:val="24"/>
          <w:szCs w:val="24"/>
          <w:lang w:eastAsia="zh-CN"/>
        </w:rPr>
        <w:t>3.</w:t>
      </w:r>
      <w:r>
        <w:rPr>
          <w:rFonts w:ascii="仿宋" w:eastAsia="仿宋" w:hAnsi="仿宋" w:cs="华文仿宋" w:hint="eastAsia"/>
          <w:sz w:val="24"/>
          <w:szCs w:val="24"/>
          <w:lang w:eastAsia="zh-CN"/>
        </w:rPr>
        <w:t>社会实践时间为三个月。社会实践应在教师的指导下进行，社会实践结束后，学生须提交社会实践报告。对于社会实践报告的具体要求，由各培养院校自行制定，总体上应致力于培养学生学以致用的素养和能力。各培养院校应安排缺乏公共管理实际工作经验的学生到政府部门或非政府公共机构进行社会实践。</w:t>
      </w:r>
    </w:p>
    <w:p w:rsidR="003E67F9" w:rsidRDefault="00B67B0B">
      <w:pPr>
        <w:spacing w:line="500" w:lineRule="exact"/>
        <w:ind w:firstLineChars="200" w:firstLine="482"/>
        <w:jc w:val="both"/>
        <w:textAlignment w:val="baseline"/>
        <w:rPr>
          <w:rFonts w:ascii="仿宋" w:eastAsia="仿宋" w:hAnsi="仿宋" w:cs="华文仿宋"/>
          <w:b/>
          <w:bCs/>
          <w:sz w:val="24"/>
          <w:szCs w:val="24"/>
          <w:lang w:eastAsia="zh-CN"/>
        </w:rPr>
      </w:pPr>
      <w:r>
        <w:rPr>
          <w:rFonts w:ascii="仿宋" w:eastAsia="仿宋" w:hAnsi="仿宋" w:cs="华文仿宋" w:hint="eastAsia"/>
          <w:b/>
          <w:bCs/>
          <w:sz w:val="24"/>
          <w:szCs w:val="24"/>
          <w:lang w:eastAsia="zh-CN"/>
        </w:rPr>
        <w:t>五、师资队伍</w:t>
      </w:r>
    </w:p>
    <w:p w:rsidR="003E67F9" w:rsidRDefault="00B67B0B">
      <w:pPr>
        <w:spacing w:line="500" w:lineRule="exact"/>
        <w:ind w:firstLineChars="200" w:firstLine="480"/>
        <w:jc w:val="both"/>
        <w:textAlignment w:val="baseline"/>
        <w:rPr>
          <w:rFonts w:ascii="仿宋" w:eastAsia="仿宋" w:hAnsi="仿宋" w:cs="华文仿宋"/>
          <w:sz w:val="24"/>
          <w:szCs w:val="24"/>
          <w:lang w:eastAsia="zh-CN"/>
        </w:rPr>
      </w:pPr>
      <w:r>
        <w:rPr>
          <w:rFonts w:ascii="仿宋" w:eastAsia="仿宋" w:hAnsi="仿宋" w:cs="华文仿宋" w:hint="eastAsia"/>
          <w:sz w:val="24"/>
          <w:szCs w:val="24"/>
          <w:lang w:eastAsia="zh-CN"/>
        </w:rPr>
        <w:t>各培养院校应逐步建立“双师型”师资队伍，即专职教师和兼职教师队伍。</w:t>
      </w:r>
    </w:p>
    <w:p w:rsidR="003E67F9" w:rsidRDefault="00B67B0B">
      <w:pPr>
        <w:spacing w:line="500" w:lineRule="exact"/>
        <w:ind w:firstLineChars="200" w:firstLine="480"/>
        <w:jc w:val="both"/>
        <w:textAlignment w:val="baseline"/>
        <w:rPr>
          <w:rFonts w:ascii="仿宋" w:eastAsia="仿宋" w:hAnsi="仿宋" w:cs="华文仿宋"/>
          <w:sz w:val="24"/>
          <w:szCs w:val="24"/>
          <w:lang w:eastAsia="zh-CN"/>
        </w:rPr>
      </w:pPr>
      <w:r>
        <w:rPr>
          <w:rFonts w:ascii="仿宋" w:eastAsia="仿宋" w:hAnsi="仿宋" w:cs="华文仿宋" w:hint="eastAsia"/>
          <w:sz w:val="24"/>
          <w:szCs w:val="24"/>
          <w:lang w:eastAsia="zh-CN"/>
        </w:rPr>
        <w:t>专职教师队伍是指本校编制内的全职教师。担任核心课的教师应为专职教师，并具有博士学位或副教授以上职称。每门核心课程原则上配备至少</w:t>
      </w:r>
      <w:r>
        <w:rPr>
          <w:rFonts w:ascii="仿宋" w:eastAsia="仿宋" w:hAnsi="仿宋" w:cs="华文仿宋" w:hint="eastAsia"/>
          <w:sz w:val="24"/>
          <w:szCs w:val="24"/>
          <w:lang w:eastAsia="zh-CN"/>
        </w:rPr>
        <w:t>2</w:t>
      </w:r>
      <w:r>
        <w:rPr>
          <w:rFonts w:ascii="仿宋" w:eastAsia="仿宋" w:hAnsi="仿宋" w:cs="华文仿宋" w:hint="eastAsia"/>
          <w:sz w:val="24"/>
          <w:szCs w:val="24"/>
          <w:lang w:eastAsia="zh-CN"/>
        </w:rPr>
        <w:t>名教师，同</w:t>
      </w:r>
      <w:r>
        <w:rPr>
          <w:rFonts w:ascii="仿宋" w:eastAsia="仿宋" w:hAnsi="仿宋" w:cs="华文仿宋" w:hint="eastAsia"/>
          <w:sz w:val="24"/>
          <w:szCs w:val="24"/>
          <w:lang w:eastAsia="zh-CN"/>
        </w:rPr>
        <w:lastRenderedPageBreak/>
        <w:t>一名教师原则上不应作为不同核心课程的核心成员。兼职教师队伍要在专业方向课教学中发挥重要作用，参与专业方向学生培养的兼职教师原则上应不少于专业方向师资队伍的三分之一。各培养院校应选聘具有扎实理论功底、丰富实践经验的政府部门和其他公共机构的中高层领导干部担任兼职教师，并且确保他们积极参与学生的培养工作。</w:t>
      </w:r>
    </w:p>
    <w:p w:rsidR="003E67F9" w:rsidRDefault="00B67B0B">
      <w:pPr>
        <w:spacing w:line="500" w:lineRule="exact"/>
        <w:ind w:firstLineChars="200" w:firstLine="480"/>
        <w:jc w:val="both"/>
        <w:textAlignment w:val="baseline"/>
        <w:rPr>
          <w:rFonts w:ascii="仿宋" w:eastAsia="仿宋" w:hAnsi="仿宋" w:cs="华文仿宋"/>
          <w:sz w:val="24"/>
          <w:szCs w:val="24"/>
          <w:lang w:eastAsia="zh-CN"/>
        </w:rPr>
      </w:pPr>
      <w:r>
        <w:rPr>
          <w:rFonts w:ascii="仿宋" w:eastAsia="仿宋" w:hAnsi="仿宋" w:cs="华文仿宋" w:hint="eastAsia"/>
          <w:sz w:val="24"/>
          <w:szCs w:val="24"/>
          <w:lang w:eastAsia="zh-CN"/>
        </w:rPr>
        <w:t>各个专业方向必须有明确的师资团队承担教学任务。</w:t>
      </w:r>
    </w:p>
    <w:p w:rsidR="003E67F9" w:rsidRDefault="00B67B0B">
      <w:pPr>
        <w:spacing w:line="500" w:lineRule="exact"/>
        <w:ind w:firstLineChars="200" w:firstLine="482"/>
        <w:jc w:val="both"/>
        <w:textAlignment w:val="baseline"/>
        <w:rPr>
          <w:rFonts w:ascii="仿宋" w:eastAsia="仿宋" w:hAnsi="仿宋" w:cs="华文仿宋"/>
          <w:b/>
          <w:bCs/>
          <w:sz w:val="24"/>
          <w:szCs w:val="24"/>
          <w:lang w:eastAsia="zh-CN"/>
        </w:rPr>
      </w:pPr>
      <w:r>
        <w:rPr>
          <w:rFonts w:ascii="仿宋" w:eastAsia="仿宋" w:hAnsi="仿宋" w:cs="华文仿宋" w:hint="eastAsia"/>
          <w:b/>
          <w:bCs/>
          <w:sz w:val="24"/>
          <w:szCs w:val="24"/>
          <w:lang w:eastAsia="zh-CN"/>
        </w:rPr>
        <w:t>六、教学形式</w:t>
      </w:r>
    </w:p>
    <w:p w:rsidR="003E67F9" w:rsidRDefault="00B67B0B">
      <w:pPr>
        <w:spacing w:line="500" w:lineRule="exact"/>
        <w:ind w:firstLineChars="200" w:firstLine="480"/>
        <w:jc w:val="both"/>
        <w:textAlignment w:val="baseline"/>
        <w:rPr>
          <w:rFonts w:ascii="仿宋" w:eastAsia="仿宋" w:hAnsi="仿宋" w:cs="华文仿宋"/>
          <w:sz w:val="24"/>
          <w:szCs w:val="24"/>
          <w:lang w:eastAsia="zh-CN"/>
        </w:rPr>
      </w:pPr>
      <w:r>
        <w:rPr>
          <w:rFonts w:ascii="仿宋" w:eastAsia="仿宋" w:hAnsi="仿宋" w:cs="华文仿宋" w:hint="eastAsia"/>
          <w:sz w:val="24"/>
          <w:szCs w:val="24"/>
          <w:lang w:eastAsia="zh-CN"/>
        </w:rPr>
        <w:t>采用多元、</w:t>
      </w:r>
      <w:r>
        <w:rPr>
          <w:rFonts w:ascii="仿宋" w:eastAsia="仿宋" w:hAnsi="仿宋" w:cs="华文仿宋" w:hint="eastAsia"/>
          <w:sz w:val="24"/>
          <w:szCs w:val="24"/>
          <w:lang w:eastAsia="zh-CN"/>
        </w:rPr>
        <w:t>互动的教学方式。综合运用讲授、研究、案例分析、体验、模拟等多种教学方法，把多种形式有机结合起来，着重培养学生分析问题和解决问题的能力。</w:t>
      </w:r>
    </w:p>
    <w:p w:rsidR="003E67F9" w:rsidRDefault="00B67B0B">
      <w:pPr>
        <w:spacing w:line="500" w:lineRule="exact"/>
        <w:ind w:firstLineChars="200" w:firstLine="482"/>
        <w:jc w:val="both"/>
        <w:textAlignment w:val="baseline"/>
        <w:rPr>
          <w:rFonts w:ascii="仿宋" w:eastAsia="仿宋" w:hAnsi="仿宋" w:cs="华文仿宋"/>
          <w:b/>
          <w:bCs/>
          <w:sz w:val="24"/>
          <w:szCs w:val="24"/>
          <w:lang w:eastAsia="zh-CN"/>
        </w:rPr>
      </w:pPr>
      <w:r>
        <w:rPr>
          <w:rFonts w:ascii="仿宋" w:eastAsia="仿宋" w:hAnsi="仿宋" w:cs="华文仿宋" w:hint="eastAsia"/>
          <w:b/>
          <w:bCs/>
          <w:sz w:val="24"/>
          <w:szCs w:val="24"/>
          <w:lang w:eastAsia="zh-CN"/>
        </w:rPr>
        <w:t>七、学位论文</w:t>
      </w:r>
    </w:p>
    <w:p w:rsidR="003E67F9" w:rsidRDefault="00B67B0B">
      <w:pPr>
        <w:spacing w:line="500" w:lineRule="exact"/>
        <w:ind w:firstLineChars="200" w:firstLine="480"/>
        <w:jc w:val="both"/>
        <w:textAlignment w:val="baseline"/>
        <w:rPr>
          <w:rFonts w:ascii="仿宋" w:eastAsia="仿宋" w:hAnsi="仿宋" w:cs="华文仿宋"/>
          <w:sz w:val="24"/>
          <w:szCs w:val="24"/>
          <w:lang w:eastAsia="zh-CN"/>
        </w:rPr>
      </w:pPr>
      <w:r>
        <w:rPr>
          <w:rFonts w:ascii="仿宋" w:eastAsia="仿宋" w:hAnsi="仿宋" w:cs="华文仿宋" w:hint="eastAsia"/>
          <w:sz w:val="24"/>
          <w:szCs w:val="24"/>
          <w:lang w:eastAsia="zh-CN"/>
        </w:rPr>
        <w:t>学位论文应体现专业学位的特点，选题紧密结合公共管理实践中的具体问题，特别鼓励学生选择与自己的工作领域和工作岗位相关的问题展开论文研究。学生应该运用所学理论、知识和方法，展开</w:t>
      </w:r>
      <w:r>
        <w:rPr>
          <w:rFonts w:ascii="仿宋" w:eastAsia="仿宋" w:hAnsi="仿宋" w:cs="华文仿宋" w:hint="eastAsia"/>
          <w:color w:val="000000"/>
          <w:sz w:val="24"/>
          <w:szCs w:val="24"/>
          <w:lang w:eastAsia="zh-CN"/>
        </w:rPr>
        <w:t>调查研究与</w:t>
      </w:r>
      <w:r>
        <w:rPr>
          <w:rFonts w:ascii="仿宋" w:eastAsia="仿宋" w:hAnsi="仿宋" w:cs="华文仿宋" w:hint="eastAsia"/>
          <w:sz w:val="24"/>
          <w:szCs w:val="24"/>
          <w:lang w:eastAsia="zh-CN"/>
        </w:rPr>
        <w:t>分析论述，并提出相关政策建议或改进管理的措施。</w:t>
      </w:r>
    </w:p>
    <w:p w:rsidR="003E67F9" w:rsidRDefault="00B67B0B">
      <w:pPr>
        <w:spacing w:line="500" w:lineRule="exact"/>
        <w:ind w:firstLineChars="200" w:firstLine="480"/>
        <w:jc w:val="both"/>
        <w:textAlignment w:val="baseline"/>
        <w:rPr>
          <w:rFonts w:ascii="仿宋" w:eastAsia="仿宋" w:hAnsi="仿宋" w:cs="华文仿宋"/>
          <w:sz w:val="24"/>
          <w:szCs w:val="24"/>
          <w:lang w:eastAsia="zh-CN"/>
        </w:rPr>
      </w:pPr>
      <w:r>
        <w:rPr>
          <w:rFonts w:ascii="仿宋" w:eastAsia="仿宋" w:hAnsi="仿宋" w:cs="华文仿宋" w:hint="eastAsia"/>
          <w:sz w:val="24"/>
          <w:szCs w:val="24"/>
          <w:lang w:eastAsia="zh-CN"/>
        </w:rPr>
        <w:t>学位论文应在导师指导下，经过开题、写作、答辩等环节完成。其中，论文开题时间应至少在答辩前半年进行，论文正文字数应在</w:t>
      </w:r>
      <w:r>
        <w:rPr>
          <w:rFonts w:ascii="仿宋" w:eastAsia="仿宋" w:hAnsi="仿宋" w:cs="华文仿宋" w:hint="eastAsia"/>
          <w:sz w:val="24"/>
          <w:szCs w:val="24"/>
          <w:lang w:eastAsia="zh-CN"/>
        </w:rPr>
        <w:t>2</w:t>
      </w:r>
      <w:r>
        <w:rPr>
          <w:rFonts w:ascii="仿宋" w:eastAsia="仿宋" w:hAnsi="仿宋" w:cs="华文仿宋" w:hint="eastAsia"/>
          <w:sz w:val="24"/>
          <w:szCs w:val="24"/>
          <w:lang w:eastAsia="zh-CN"/>
        </w:rPr>
        <w:t>万字以上。</w:t>
      </w:r>
    </w:p>
    <w:p w:rsidR="003E67F9" w:rsidRDefault="00B67B0B">
      <w:pPr>
        <w:spacing w:line="500" w:lineRule="exact"/>
        <w:ind w:firstLineChars="200" w:firstLine="482"/>
        <w:jc w:val="both"/>
        <w:textAlignment w:val="baseline"/>
        <w:rPr>
          <w:rFonts w:ascii="仿宋" w:eastAsia="仿宋" w:hAnsi="仿宋" w:cs="华文仿宋"/>
          <w:b/>
          <w:bCs/>
          <w:sz w:val="24"/>
          <w:szCs w:val="24"/>
          <w:lang w:eastAsia="zh-CN"/>
        </w:rPr>
      </w:pPr>
      <w:r>
        <w:rPr>
          <w:rFonts w:ascii="仿宋" w:eastAsia="仿宋" w:hAnsi="仿宋" w:cs="华文仿宋" w:hint="eastAsia"/>
          <w:b/>
          <w:bCs/>
          <w:sz w:val="24"/>
          <w:szCs w:val="24"/>
          <w:lang w:eastAsia="zh-CN"/>
        </w:rPr>
        <w:t>八、学位授予</w:t>
      </w:r>
    </w:p>
    <w:p w:rsidR="003E67F9" w:rsidRDefault="00B67B0B">
      <w:pPr>
        <w:spacing w:line="500" w:lineRule="exact"/>
        <w:ind w:firstLineChars="200" w:firstLine="480"/>
        <w:jc w:val="both"/>
        <w:textAlignment w:val="baseline"/>
        <w:rPr>
          <w:rFonts w:ascii="仿宋" w:eastAsia="仿宋" w:hAnsi="仿宋" w:cs="华文仿宋"/>
          <w:sz w:val="24"/>
          <w:szCs w:val="24"/>
          <w:lang w:eastAsia="zh-CN"/>
        </w:rPr>
      </w:pPr>
      <w:r>
        <w:rPr>
          <w:rFonts w:ascii="仿宋" w:eastAsia="仿宋" w:hAnsi="仿宋" w:cs="华文仿宋" w:hint="eastAsia"/>
          <w:sz w:val="24"/>
          <w:szCs w:val="24"/>
          <w:lang w:eastAsia="zh-CN"/>
        </w:rPr>
        <w:t>完成课程学习及社会实践环节，取得规定学分，并通过学位论文答辩者，经学位授予单位学位评定委员会审核，授予公共管理硕士专业学位。</w:t>
      </w:r>
    </w:p>
    <w:p w:rsidR="003E67F9" w:rsidRDefault="00B67B0B">
      <w:pPr>
        <w:spacing w:line="500" w:lineRule="exact"/>
        <w:ind w:firstLineChars="200" w:firstLine="482"/>
        <w:jc w:val="both"/>
        <w:textAlignment w:val="baseline"/>
        <w:rPr>
          <w:rFonts w:ascii="仿宋" w:eastAsia="仿宋" w:hAnsi="仿宋" w:cs="华文仿宋"/>
          <w:b/>
          <w:bCs/>
          <w:sz w:val="24"/>
          <w:szCs w:val="24"/>
          <w:lang w:eastAsia="zh-CN"/>
        </w:rPr>
      </w:pPr>
      <w:r>
        <w:rPr>
          <w:rFonts w:ascii="仿宋" w:eastAsia="仿宋" w:hAnsi="仿宋" w:cs="华文仿宋" w:hint="eastAsia"/>
          <w:b/>
          <w:bCs/>
          <w:sz w:val="24"/>
          <w:szCs w:val="24"/>
          <w:lang w:eastAsia="zh-CN"/>
        </w:rPr>
        <w:t>九、办学环境</w:t>
      </w:r>
    </w:p>
    <w:p w:rsidR="003E67F9" w:rsidRDefault="00B67B0B">
      <w:pPr>
        <w:spacing w:line="500" w:lineRule="exact"/>
        <w:ind w:firstLineChars="200" w:firstLine="480"/>
        <w:jc w:val="both"/>
        <w:textAlignment w:val="baseline"/>
        <w:rPr>
          <w:rFonts w:ascii="仿宋" w:eastAsia="仿宋" w:hAnsi="仿宋" w:cs="华文仿宋"/>
          <w:sz w:val="24"/>
          <w:szCs w:val="24"/>
          <w:lang w:eastAsia="zh-CN"/>
        </w:rPr>
      </w:pPr>
      <w:r>
        <w:rPr>
          <w:rFonts w:ascii="仿宋" w:eastAsia="仿宋" w:hAnsi="仿宋" w:cs="华文仿宋" w:hint="eastAsia"/>
          <w:sz w:val="24"/>
          <w:szCs w:val="24"/>
          <w:lang w:eastAsia="zh-CN"/>
        </w:rPr>
        <w:t>各培养院校应为公共管理硕士（</w:t>
      </w:r>
      <w:r>
        <w:rPr>
          <w:rFonts w:ascii="仿宋" w:eastAsia="仿宋" w:hAnsi="仿宋" w:cs="华文仿宋" w:hint="eastAsia"/>
          <w:sz w:val="24"/>
          <w:szCs w:val="24"/>
          <w:lang w:eastAsia="zh-CN"/>
        </w:rPr>
        <w:t>MPA</w:t>
      </w:r>
      <w:r>
        <w:rPr>
          <w:rFonts w:ascii="仿宋" w:eastAsia="仿宋" w:hAnsi="仿宋" w:cs="华文仿宋" w:hint="eastAsia"/>
          <w:sz w:val="24"/>
          <w:szCs w:val="24"/>
          <w:lang w:eastAsia="zh-CN"/>
        </w:rPr>
        <w:t>）专业学位研究生提供与其他在校学术型研究生同等标准的办学环境和学习条件，包括硬件设施、教学投入、学习保障、后勤服务等。同时，根据公共管理硕士（</w:t>
      </w:r>
      <w:r>
        <w:rPr>
          <w:rFonts w:ascii="仿宋" w:eastAsia="仿宋" w:hAnsi="仿宋" w:cs="华文仿宋" w:hint="eastAsia"/>
          <w:sz w:val="24"/>
          <w:szCs w:val="24"/>
          <w:lang w:eastAsia="zh-CN"/>
        </w:rPr>
        <w:t>MPA</w:t>
      </w:r>
      <w:r>
        <w:rPr>
          <w:rFonts w:ascii="仿宋" w:eastAsia="仿宋" w:hAnsi="仿宋" w:cs="华文仿宋" w:hint="eastAsia"/>
          <w:sz w:val="24"/>
          <w:szCs w:val="24"/>
          <w:lang w:eastAsia="zh-CN"/>
        </w:rPr>
        <w:t>）专业学位研究生的教学特点，应特别注意加强案例分析和研讨所需相关设施的建设。</w:t>
      </w:r>
    </w:p>
    <w:p w:rsidR="003E67F9" w:rsidRDefault="003E67F9" w:rsidP="00AC07E5">
      <w:pPr>
        <w:spacing w:line="500" w:lineRule="exact"/>
        <w:textAlignment w:val="baseline"/>
        <w:rPr>
          <w:lang w:eastAsia="zh-CN"/>
        </w:rPr>
      </w:pPr>
    </w:p>
    <w:sectPr w:rsidR="003E67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B0B" w:rsidRDefault="00B67B0B" w:rsidP="00AC07E5">
      <w:r>
        <w:separator/>
      </w:r>
    </w:p>
  </w:endnote>
  <w:endnote w:type="continuationSeparator" w:id="0">
    <w:p w:rsidR="00B67B0B" w:rsidRDefault="00B67B0B" w:rsidP="00AC0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B0B" w:rsidRDefault="00B67B0B" w:rsidP="00AC07E5">
      <w:r>
        <w:separator/>
      </w:r>
    </w:p>
  </w:footnote>
  <w:footnote w:type="continuationSeparator" w:id="0">
    <w:p w:rsidR="00B67B0B" w:rsidRDefault="00B67B0B" w:rsidP="00AC07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7F9"/>
    <w:rsid w:val="003E67F9"/>
    <w:rsid w:val="00AC07E5"/>
    <w:rsid w:val="00B67B0B"/>
    <w:rsid w:val="0DE71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A73A3C8-BA9A-4E6A-9595-0864E452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cs="黑体"/>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1">
    <w:name w:val="标题 91"/>
    <w:basedOn w:val="a"/>
    <w:uiPriority w:val="1"/>
    <w:qFormat/>
    <w:pPr>
      <w:ind w:left="116"/>
    </w:pPr>
    <w:rPr>
      <w:rFonts w:ascii="仿宋_GB2312" w:eastAsia="仿宋_GB2312" w:hAnsi="仿宋_GB2312"/>
      <w:sz w:val="30"/>
      <w:szCs w:val="30"/>
    </w:rPr>
  </w:style>
  <w:style w:type="paragraph" w:styleId="a3">
    <w:name w:val="header"/>
    <w:basedOn w:val="a"/>
    <w:link w:val="Char"/>
    <w:rsid w:val="00AC07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C07E5"/>
    <w:rPr>
      <w:rFonts w:cs="黑体"/>
      <w:sz w:val="18"/>
      <w:szCs w:val="18"/>
      <w:lang w:eastAsia="en-US"/>
    </w:rPr>
  </w:style>
  <w:style w:type="paragraph" w:styleId="a4">
    <w:name w:val="footer"/>
    <w:basedOn w:val="a"/>
    <w:link w:val="Char0"/>
    <w:rsid w:val="00AC07E5"/>
    <w:pPr>
      <w:tabs>
        <w:tab w:val="center" w:pos="4153"/>
        <w:tab w:val="right" w:pos="8306"/>
      </w:tabs>
      <w:snapToGrid w:val="0"/>
    </w:pPr>
    <w:rPr>
      <w:sz w:val="18"/>
      <w:szCs w:val="18"/>
    </w:rPr>
  </w:style>
  <w:style w:type="character" w:customStyle="1" w:styleId="Char0">
    <w:name w:val="页脚 Char"/>
    <w:basedOn w:val="a0"/>
    <w:link w:val="a4"/>
    <w:rsid w:val="00AC07E5"/>
    <w:rPr>
      <w:rFonts w:cs="黑体"/>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288</Words>
  <Characters>1643</Characters>
  <Application>Microsoft Office Word</Application>
  <DocSecurity>0</DocSecurity>
  <Lines>13</Lines>
  <Paragraphs>3</Paragraphs>
  <ScaleCrop>false</ScaleCrop>
  <Company>yjsc</Company>
  <LinksUpToDate>false</LinksUpToDate>
  <CharactersWithSpaces>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cp:revision>
  <dcterms:created xsi:type="dcterms:W3CDTF">2014-10-29T12:08:00Z</dcterms:created>
  <dcterms:modified xsi:type="dcterms:W3CDTF">2016-05-27T08:45:00Z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