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81D78">
      <w:pPr>
        <w:widowControl/>
        <w:spacing w:before="120" w:beforeLines="50"/>
        <w:jc w:val="left"/>
        <w:rPr>
          <w:rFonts w:hint="eastAsia" w:ascii="黑体" w:hAnsi="黑体" w:eastAsia="黑体" w:cs="黑体"/>
          <w:szCs w:val="32"/>
          <w:highlight w:val="none"/>
        </w:rPr>
      </w:pPr>
      <w:r>
        <w:rPr>
          <w:rFonts w:hint="eastAsia" w:ascii="黑体" w:hAnsi="黑体" w:eastAsia="黑体" w:cs="黑体"/>
          <w:szCs w:val="32"/>
          <w:highlight w:val="none"/>
        </w:rPr>
        <w:t>附件2</w:t>
      </w:r>
    </w:p>
    <w:p w14:paraId="6C35ED71">
      <w:pPr>
        <w:spacing w:line="600" w:lineRule="exact"/>
        <w:jc w:val="center"/>
        <w:rPr>
          <w:rFonts w:hint="eastAsia" w:ascii="方正小标宋简体" w:hAnsi="方正小标宋简体" w:eastAsia="方正小标宋简体"/>
          <w:sz w:val="44"/>
          <w:szCs w:val="44"/>
          <w:highlight w:val="none"/>
        </w:rPr>
      </w:pPr>
      <w:r>
        <w:rPr>
          <w:rFonts w:hint="eastAsia" w:ascii="方正小标宋简体" w:hAnsi="方正小标宋简体" w:eastAsia="方正小标宋简体"/>
          <w:sz w:val="44"/>
          <w:szCs w:val="44"/>
          <w:highlight w:val="none"/>
        </w:rPr>
        <w:t>北京中国劳动关系学院</w:t>
      </w:r>
    </w:p>
    <w:p w14:paraId="18531D97">
      <w:pPr>
        <w:spacing w:line="600" w:lineRule="exact"/>
        <w:jc w:val="center"/>
        <w:rPr>
          <w:rFonts w:hint="eastAsia" w:ascii="方正小标宋简体" w:hAnsi="方正小标宋简体" w:eastAsia="方正小标宋简体"/>
          <w:sz w:val="44"/>
          <w:szCs w:val="44"/>
          <w:highlight w:val="none"/>
        </w:rPr>
      </w:pPr>
      <w:r>
        <w:rPr>
          <w:rFonts w:hint="eastAsia" w:ascii="方正小标宋简体" w:hAnsi="方正小标宋简体" w:eastAsia="方正小标宋简体"/>
          <w:sz w:val="44"/>
          <w:szCs w:val="44"/>
          <w:highlight w:val="none"/>
        </w:rPr>
        <w:t>教育基金会项目经费预算表</w:t>
      </w:r>
    </w:p>
    <w:p w14:paraId="4BA1BCA6">
      <w:pPr>
        <w:spacing w:line="560" w:lineRule="exact"/>
        <w:rPr>
          <w:rFonts w:hint="eastAsia" w:ascii="仿宋_GB2312" w:eastAsia="仿宋"/>
          <w:szCs w:val="32"/>
          <w:highlight w:val="none"/>
        </w:rPr>
      </w:pPr>
    </w:p>
    <w:tbl>
      <w:tblPr>
        <w:tblStyle w:val="4"/>
        <w:tblW w:w="5480" w:type="pct"/>
        <w:tblInd w:w="-4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167"/>
        <w:gridCol w:w="666"/>
        <w:gridCol w:w="630"/>
        <w:gridCol w:w="602"/>
        <w:gridCol w:w="781"/>
        <w:gridCol w:w="4797"/>
      </w:tblGrid>
      <w:tr w14:paraId="0246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5000" w:type="pct"/>
            <w:gridSpan w:val="7"/>
            <w:shd w:val="clear" w:color="auto" w:fill="auto"/>
            <w:vAlign w:val="center"/>
          </w:tcPr>
          <w:p w14:paraId="2BDBFFFD">
            <w:pPr>
              <w:widowControl/>
              <w:jc w:val="left"/>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项目名称：</w:t>
            </w:r>
            <w:r>
              <w:rPr>
                <w:rFonts w:hint="eastAsia" w:ascii="宋体" w:hAnsi="宋体" w:eastAsia="宋体" w:cs="宋体"/>
                <w:color w:val="000000"/>
                <w:kern w:val="0"/>
                <w:sz w:val="24"/>
                <w:szCs w:val="24"/>
                <w:highlight w:val="none"/>
              </w:rPr>
              <w:t xml:space="preserve">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b/>
                <w:bCs/>
                <w:color w:val="000000"/>
                <w:kern w:val="0"/>
                <w:sz w:val="24"/>
                <w:szCs w:val="24"/>
                <w:highlight w:val="none"/>
              </w:rPr>
              <w:t xml:space="preserve"> 项目周期：</w:t>
            </w:r>
            <w:r>
              <w:rPr>
                <w:rFonts w:hint="eastAsia" w:ascii="宋体" w:hAnsi="宋体" w:eastAsia="宋体" w:cs="宋体"/>
                <w:b/>
                <w:bCs/>
                <w:color w:val="000000"/>
                <w:kern w:val="0"/>
                <w:sz w:val="24"/>
                <w:szCs w:val="24"/>
                <w:highlight w:val="none"/>
                <w:u w:val="single"/>
              </w:rPr>
              <w:t xml:space="preserve">    </w:t>
            </w:r>
            <w:r>
              <w:rPr>
                <w:rFonts w:hint="eastAsia" w:ascii="宋体" w:hAnsi="宋体" w:eastAsia="宋体" w:cs="宋体"/>
                <w:b/>
                <w:bCs/>
                <w:color w:val="000000"/>
                <w:kern w:val="0"/>
                <w:sz w:val="24"/>
                <w:szCs w:val="24"/>
                <w:highlight w:val="none"/>
                <w:lang w:val="en-US" w:eastAsia="zh-CN"/>
              </w:rPr>
              <w:t>年</w:t>
            </w:r>
            <w:r>
              <w:rPr>
                <w:rFonts w:hint="eastAsia" w:ascii="宋体" w:hAnsi="宋体" w:eastAsia="宋体" w:cs="宋体"/>
                <w:b/>
                <w:bCs/>
                <w:color w:val="000000"/>
                <w:kern w:val="0"/>
                <w:sz w:val="24"/>
                <w:szCs w:val="24"/>
                <w:highlight w:val="none"/>
              </w:rPr>
              <w:t xml:space="preserve">   </w:t>
            </w:r>
          </w:p>
        </w:tc>
      </w:tr>
      <w:tr w14:paraId="6661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5000" w:type="pct"/>
            <w:gridSpan w:val="7"/>
            <w:shd w:val="clear" w:color="auto" w:fill="auto"/>
            <w:vAlign w:val="center"/>
          </w:tcPr>
          <w:p w14:paraId="522E4B45">
            <w:pPr>
              <w:widowControl/>
              <w:jc w:val="left"/>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 xml:space="preserve">项目负责人（签名）：          </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b/>
                <w:bCs/>
                <w:color w:val="000000"/>
                <w:kern w:val="0"/>
                <w:sz w:val="24"/>
                <w:szCs w:val="24"/>
                <w:highlight w:val="none"/>
              </w:rPr>
              <w:t xml:space="preserve">（实施单位盖章）          </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b/>
                <w:bCs/>
                <w:color w:val="000000"/>
                <w:kern w:val="0"/>
                <w:sz w:val="24"/>
                <w:szCs w:val="24"/>
                <w:highlight w:val="none"/>
              </w:rPr>
              <w:t xml:space="preserve">  </w:t>
            </w:r>
          </w:p>
        </w:tc>
      </w:tr>
      <w:tr w14:paraId="476A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373" w:type="pct"/>
            <w:shd w:val="clear" w:color="auto" w:fill="auto"/>
            <w:vAlign w:val="center"/>
          </w:tcPr>
          <w:p w14:paraId="7ACC1EB1">
            <w:pPr>
              <w:widowControl/>
              <w:jc w:val="center"/>
              <w:rPr>
                <w:rFonts w:hint="eastAsia" w:ascii="宋体" w:hAnsi="宋体" w:eastAsia="宋体" w:cs="宋体"/>
                <w:b/>
                <w:bCs/>
                <w:color w:val="000000"/>
                <w:kern w:val="0"/>
                <w:sz w:val="22"/>
                <w:highlight w:val="none"/>
              </w:rPr>
            </w:pPr>
            <w:r>
              <w:rPr>
                <w:rFonts w:hint="eastAsia" w:ascii="宋体" w:hAnsi="宋体" w:eastAsia="宋体" w:cs="宋体"/>
                <w:b/>
                <w:bCs/>
                <w:color w:val="000000"/>
                <w:kern w:val="0"/>
                <w:sz w:val="22"/>
                <w:highlight w:val="none"/>
              </w:rPr>
              <w:t>序号</w:t>
            </w:r>
          </w:p>
        </w:tc>
        <w:tc>
          <w:tcPr>
            <w:tcW w:w="624" w:type="pct"/>
            <w:shd w:val="clear" w:color="auto" w:fill="auto"/>
            <w:vAlign w:val="center"/>
          </w:tcPr>
          <w:p w14:paraId="28D289E7">
            <w:pPr>
              <w:widowControl/>
              <w:jc w:val="center"/>
              <w:rPr>
                <w:rFonts w:hint="eastAsia" w:ascii="宋体" w:hAnsi="宋体" w:eastAsia="宋体" w:cs="宋体"/>
                <w:b/>
                <w:bCs/>
                <w:color w:val="000000"/>
                <w:kern w:val="0"/>
                <w:sz w:val="22"/>
                <w:highlight w:val="none"/>
              </w:rPr>
            </w:pPr>
            <w:r>
              <w:rPr>
                <w:rFonts w:hint="eastAsia" w:ascii="宋体" w:hAnsi="宋体" w:eastAsia="宋体" w:cs="宋体"/>
                <w:b/>
                <w:bCs/>
                <w:color w:val="000000"/>
                <w:kern w:val="0"/>
                <w:sz w:val="22"/>
                <w:highlight w:val="none"/>
              </w:rPr>
              <w:t>类别</w:t>
            </w:r>
          </w:p>
        </w:tc>
        <w:tc>
          <w:tcPr>
            <w:tcW w:w="356" w:type="pct"/>
            <w:shd w:val="clear" w:color="auto" w:fill="auto"/>
            <w:vAlign w:val="center"/>
          </w:tcPr>
          <w:p w14:paraId="4F87C024">
            <w:pPr>
              <w:widowControl/>
              <w:jc w:val="center"/>
              <w:rPr>
                <w:rFonts w:hint="eastAsia" w:ascii="宋体" w:hAnsi="宋体" w:eastAsia="宋体" w:cs="宋体"/>
                <w:b/>
                <w:bCs/>
                <w:color w:val="000000"/>
                <w:kern w:val="0"/>
                <w:sz w:val="22"/>
                <w:highlight w:val="none"/>
              </w:rPr>
            </w:pPr>
            <w:r>
              <w:rPr>
                <w:rFonts w:hint="eastAsia" w:ascii="宋体" w:hAnsi="宋体" w:eastAsia="宋体" w:cs="宋体"/>
                <w:b/>
                <w:bCs/>
                <w:color w:val="000000"/>
                <w:kern w:val="0"/>
                <w:sz w:val="22"/>
                <w:highlight w:val="none"/>
              </w:rPr>
              <w:t>数量</w:t>
            </w:r>
          </w:p>
        </w:tc>
        <w:tc>
          <w:tcPr>
            <w:tcW w:w="337" w:type="pct"/>
            <w:shd w:val="clear" w:color="auto" w:fill="auto"/>
            <w:vAlign w:val="center"/>
          </w:tcPr>
          <w:p w14:paraId="19F53B41">
            <w:pPr>
              <w:widowControl/>
              <w:jc w:val="center"/>
              <w:rPr>
                <w:rFonts w:hint="eastAsia" w:ascii="宋体" w:hAnsi="宋体" w:eastAsia="宋体" w:cs="宋体"/>
                <w:b/>
                <w:bCs/>
                <w:color w:val="000000"/>
                <w:kern w:val="0"/>
                <w:sz w:val="22"/>
                <w:highlight w:val="none"/>
              </w:rPr>
            </w:pPr>
            <w:r>
              <w:rPr>
                <w:rFonts w:hint="eastAsia" w:ascii="宋体" w:hAnsi="宋体" w:eastAsia="宋体" w:cs="宋体"/>
                <w:b/>
                <w:bCs/>
                <w:color w:val="000000"/>
                <w:kern w:val="0"/>
                <w:sz w:val="22"/>
                <w:highlight w:val="none"/>
              </w:rPr>
              <w:t>单位</w:t>
            </w:r>
          </w:p>
        </w:tc>
        <w:tc>
          <w:tcPr>
            <w:tcW w:w="322" w:type="pct"/>
            <w:shd w:val="clear" w:color="auto" w:fill="auto"/>
            <w:vAlign w:val="center"/>
          </w:tcPr>
          <w:p w14:paraId="75D13444">
            <w:pPr>
              <w:widowControl/>
              <w:jc w:val="center"/>
              <w:rPr>
                <w:rFonts w:hint="eastAsia" w:ascii="宋体" w:hAnsi="宋体" w:eastAsia="宋体" w:cs="宋体"/>
                <w:b/>
                <w:bCs/>
                <w:color w:val="000000"/>
                <w:kern w:val="0"/>
                <w:sz w:val="22"/>
                <w:highlight w:val="none"/>
              </w:rPr>
            </w:pPr>
            <w:r>
              <w:rPr>
                <w:rFonts w:hint="eastAsia" w:ascii="宋体" w:hAnsi="宋体" w:eastAsia="宋体" w:cs="宋体"/>
                <w:b/>
                <w:bCs/>
                <w:color w:val="000000"/>
                <w:kern w:val="0"/>
                <w:sz w:val="22"/>
                <w:highlight w:val="none"/>
              </w:rPr>
              <w:t>单价</w:t>
            </w:r>
          </w:p>
        </w:tc>
        <w:tc>
          <w:tcPr>
            <w:tcW w:w="417" w:type="pct"/>
            <w:shd w:val="clear" w:color="auto" w:fill="auto"/>
            <w:vAlign w:val="center"/>
          </w:tcPr>
          <w:p w14:paraId="2A4FA3B0">
            <w:pPr>
              <w:widowControl/>
              <w:jc w:val="center"/>
              <w:rPr>
                <w:rFonts w:hint="eastAsia" w:ascii="宋体" w:hAnsi="宋体" w:eastAsia="宋体" w:cs="宋体"/>
                <w:b/>
                <w:bCs/>
                <w:color w:val="000000"/>
                <w:kern w:val="0"/>
                <w:sz w:val="22"/>
                <w:highlight w:val="none"/>
                <w:lang w:eastAsia="zh-CN"/>
              </w:rPr>
            </w:pPr>
            <w:r>
              <w:rPr>
                <w:rFonts w:hint="eastAsia" w:ascii="宋体" w:hAnsi="宋体" w:eastAsia="宋体" w:cs="宋体"/>
                <w:b/>
                <w:bCs/>
                <w:color w:val="000000"/>
                <w:kern w:val="0"/>
                <w:sz w:val="22"/>
                <w:highlight w:val="none"/>
              </w:rPr>
              <w:t>总金额</w:t>
            </w:r>
            <w:r>
              <w:rPr>
                <w:rFonts w:hint="eastAsia" w:ascii="宋体" w:hAnsi="宋体" w:eastAsia="宋体" w:cs="宋体"/>
                <w:b/>
                <w:bCs/>
                <w:color w:val="000000"/>
                <w:kern w:val="0"/>
                <w:sz w:val="22"/>
                <w:highlight w:val="none"/>
                <w:lang w:eastAsia="zh-CN"/>
              </w:rPr>
              <w:t>（</w:t>
            </w:r>
            <w:r>
              <w:rPr>
                <w:rFonts w:hint="eastAsia" w:ascii="宋体" w:hAnsi="宋体" w:eastAsia="宋体" w:cs="宋体"/>
                <w:b/>
                <w:bCs/>
                <w:color w:val="000000"/>
                <w:kern w:val="0"/>
                <w:sz w:val="22"/>
                <w:highlight w:val="none"/>
                <w:lang w:val="en-US" w:eastAsia="zh-CN"/>
              </w:rPr>
              <w:t>万元</w:t>
            </w:r>
            <w:r>
              <w:rPr>
                <w:rFonts w:hint="eastAsia" w:ascii="宋体" w:hAnsi="宋体" w:eastAsia="宋体" w:cs="宋体"/>
                <w:b/>
                <w:bCs/>
                <w:color w:val="000000"/>
                <w:kern w:val="0"/>
                <w:sz w:val="22"/>
                <w:highlight w:val="none"/>
                <w:lang w:eastAsia="zh-CN"/>
              </w:rPr>
              <w:t>）</w:t>
            </w:r>
          </w:p>
        </w:tc>
        <w:tc>
          <w:tcPr>
            <w:tcW w:w="2568" w:type="pct"/>
            <w:shd w:val="clear" w:color="auto" w:fill="auto"/>
            <w:vAlign w:val="center"/>
          </w:tcPr>
          <w:p w14:paraId="75BA0D2C">
            <w:pPr>
              <w:widowControl/>
              <w:jc w:val="center"/>
              <w:rPr>
                <w:rFonts w:hint="eastAsia" w:ascii="宋体" w:hAnsi="宋体" w:eastAsia="宋体" w:cs="宋体"/>
                <w:b/>
                <w:bCs/>
                <w:color w:val="000000"/>
                <w:kern w:val="0"/>
                <w:sz w:val="22"/>
                <w:highlight w:val="none"/>
              </w:rPr>
            </w:pPr>
            <w:r>
              <w:rPr>
                <w:rFonts w:hint="eastAsia" w:ascii="宋体" w:hAnsi="宋体" w:eastAsia="宋体" w:cs="宋体"/>
                <w:b/>
                <w:bCs/>
                <w:color w:val="000000"/>
                <w:kern w:val="0"/>
                <w:sz w:val="22"/>
                <w:highlight w:val="none"/>
              </w:rPr>
              <w:t>标准</w:t>
            </w:r>
          </w:p>
        </w:tc>
      </w:tr>
      <w:tr w14:paraId="4629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373" w:type="pct"/>
            <w:shd w:val="clear" w:color="auto" w:fill="auto"/>
            <w:vAlign w:val="center"/>
          </w:tcPr>
          <w:p w14:paraId="1D35A219">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w:t>
            </w:r>
          </w:p>
        </w:tc>
        <w:tc>
          <w:tcPr>
            <w:tcW w:w="624" w:type="pct"/>
            <w:shd w:val="clear" w:color="auto" w:fill="auto"/>
            <w:vAlign w:val="center"/>
          </w:tcPr>
          <w:p w14:paraId="67BBAF7F">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资料费</w:t>
            </w:r>
          </w:p>
        </w:tc>
        <w:tc>
          <w:tcPr>
            <w:tcW w:w="356" w:type="pct"/>
            <w:shd w:val="clear" w:color="auto" w:fill="auto"/>
            <w:vAlign w:val="center"/>
          </w:tcPr>
          <w:p w14:paraId="6D70F941">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1B0CD942">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6995E32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748CEE30">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54662FC0">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 xml:space="preserve">过程中需要支付的图书（包括外文 图书）购置费，资料收集、整理、复印、翻拍、翻译费，专用软 件购买费，文献检索费等。 </w:t>
            </w:r>
          </w:p>
        </w:tc>
      </w:tr>
      <w:tr w14:paraId="1809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73" w:type="pct"/>
            <w:shd w:val="clear" w:color="auto" w:fill="auto"/>
            <w:vAlign w:val="center"/>
          </w:tcPr>
          <w:p w14:paraId="2723C27A">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2</w:t>
            </w:r>
          </w:p>
        </w:tc>
        <w:tc>
          <w:tcPr>
            <w:tcW w:w="624" w:type="pct"/>
            <w:shd w:val="clear" w:color="auto" w:fill="auto"/>
            <w:vAlign w:val="center"/>
          </w:tcPr>
          <w:p w14:paraId="7C2EFAE2">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数据采集费</w:t>
            </w:r>
          </w:p>
        </w:tc>
        <w:tc>
          <w:tcPr>
            <w:tcW w:w="356" w:type="pct"/>
            <w:shd w:val="clear" w:color="auto" w:fill="auto"/>
            <w:vAlign w:val="center"/>
          </w:tcPr>
          <w:p w14:paraId="1B62FA96">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1DFAF3F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60B27A3A">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01F580F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48FEEDF2">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过程中发生的问卷调查、数据跟踪采集、案例分析、调研纪念品等费用。</w:t>
            </w:r>
          </w:p>
        </w:tc>
      </w:tr>
      <w:tr w14:paraId="4E8B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373" w:type="pct"/>
            <w:shd w:val="clear" w:color="auto" w:fill="auto"/>
            <w:vAlign w:val="center"/>
          </w:tcPr>
          <w:p w14:paraId="40F5BBC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3</w:t>
            </w:r>
          </w:p>
        </w:tc>
        <w:tc>
          <w:tcPr>
            <w:tcW w:w="624" w:type="pct"/>
            <w:shd w:val="clear" w:color="auto" w:fill="auto"/>
            <w:vAlign w:val="center"/>
          </w:tcPr>
          <w:p w14:paraId="4D23965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差旅费</w:t>
            </w:r>
          </w:p>
        </w:tc>
        <w:tc>
          <w:tcPr>
            <w:tcW w:w="356" w:type="pct"/>
            <w:shd w:val="clear" w:color="auto" w:fill="auto"/>
            <w:vAlign w:val="center"/>
          </w:tcPr>
          <w:p w14:paraId="1472DB5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73C4848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6F0AC36D">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15584F7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34AA9C86">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指在项目实施过程中开展国内调研发生的城市间交通费、市内交通费、住宿费、餐费等。差旅费的开支标准应按照国家有关规定执行。</w:t>
            </w:r>
            <w:bookmarkStart w:id="0" w:name="_GoBack"/>
            <w:bookmarkEnd w:id="0"/>
          </w:p>
        </w:tc>
      </w:tr>
      <w:tr w14:paraId="6A63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373" w:type="pct"/>
            <w:shd w:val="clear" w:color="auto" w:fill="auto"/>
            <w:vAlign w:val="center"/>
          </w:tcPr>
          <w:p w14:paraId="0E737CC6">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4</w:t>
            </w:r>
          </w:p>
        </w:tc>
        <w:tc>
          <w:tcPr>
            <w:tcW w:w="624" w:type="pct"/>
            <w:shd w:val="clear" w:color="auto" w:fill="auto"/>
            <w:vAlign w:val="center"/>
          </w:tcPr>
          <w:p w14:paraId="7CE0E4F7">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会议费</w:t>
            </w:r>
          </w:p>
        </w:tc>
        <w:tc>
          <w:tcPr>
            <w:tcW w:w="356" w:type="pct"/>
            <w:shd w:val="clear" w:color="auto" w:fill="auto"/>
            <w:vAlign w:val="center"/>
          </w:tcPr>
          <w:p w14:paraId="536AD04E">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3CD236F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06E0399F">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0060B500">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6233B223">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过程中为组织开展学术研讨、咨询以及协调项目或课题等活动而召开小型会议的费用。项目负责人应按照国家有关规定，严格控制会议规模、会议数量、会议地点、会议开支标准和会期。</w:t>
            </w:r>
          </w:p>
        </w:tc>
      </w:tr>
      <w:tr w14:paraId="65D4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373" w:type="pct"/>
            <w:shd w:val="clear" w:color="auto" w:fill="auto"/>
            <w:vAlign w:val="center"/>
          </w:tcPr>
          <w:p w14:paraId="6597FD32">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5</w:t>
            </w:r>
          </w:p>
        </w:tc>
        <w:tc>
          <w:tcPr>
            <w:tcW w:w="624" w:type="pct"/>
            <w:shd w:val="clear" w:color="auto" w:fill="auto"/>
            <w:vAlign w:val="center"/>
          </w:tcPr>
          <w:p w14:paraId="1162213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设备费</w:t>
            </w:r>
          </w:p>
        </w:tc>
        <w:tc>
          <w:tcPr>
            <w:tcW w:w="356" w:type="pct"/>
            <w:shd w:val="clear" w:color="auto" w:fill="auto"/>
            <w:vAlign w:val="center"/>
          </w:tcPr>
          <w:p w14:paraId="5179B05C">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6E6D158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5ABCC439">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4DAA5FEF">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431B94B2">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过程中发生的购买计算机、打印机、扫描仪等所需耗材发生的费用。</w:t>
            </w:r>
          </w:p>
        </w:tc>
      </w:tr>
      <w:tr w14:paraId="7873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3" w:type="pct"/>
            <w:shd w:val="clear" w:color="auto" w:fill="auto"/>
            <w:vAlign w:val="center"/>
          </w:tcPr>
          <w:p w14:paraId="0075FE8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6</w:t>
            </w:r>
          </w:p>
        </w:tc>
        <w:tc>
          <w:tcPr>
            <w:tcW w:w="624" w:type="pct"/>
            <w:shd w:val="clear" w:color="auto" w:fill="auto"/>
            <w:vAlign w:val="center"/>
          </w:tcPr>
          <w:p w14:paraId="6A143257">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印刷费</w:t>
            </w:r>
          </w:p>
        </w:tc>
        <w:tc>
          <w:tcPr>
            <w:tcW w:w="356" w:type="pct"/>
            <w:shd w:val="clear" w:color="auto" w:fill="auto"/>
            <w:vAlign w:val="center"/>
          </w:tcPr>
          <w:p w14:paraId="088B17E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09E206B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3326216D">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7852EE9F">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0787DEB4">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过程中发生的项目成果的打印费、印刷费和誊写费等。</w:t>
            </w:r>
          </w:p>
        </w:tc>
      </w:tr>
      <w:tr w14:paraId="7BE5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373" w:type="pct"/>
            <w:shd w:val="clear" w:color="auto" w:fill="auto"/>
            <w:vAlign w:val="center"/>
          </w:tcPr>
          <w:p w14:paraId="4F35900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7</w:t>
            </w:r>
          </w:p>
        </w:tc>
        <w:tc>
          <w:tcPr>
            <w:tcW w:w="624" w:type="pct"/>
            <w:shd w:val="clear" w:color="auto" w:fill="auto"/>
            <w:vAlign w:val="center"/>
          </w:tcPr>
          <w:p w14:paraId="6827D62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出版/文献/信息传播/知识产权事务费</w:t>
            </w:r>
          </w:p>
        </w:tc>
        <w:tc>
          <w:tcPr>
            <w:tcW w:w="356" w:type="pct"/>
            <w:shd w:val="clear" w:color="auto" w:fill="auto"/>
            <w:vAlign w:val="center"/>
          </w:tcPr>
          <w:p w14:paraId="7935A4A0">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3042D0D1">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57D5A03F">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57C5FDD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09D7AA7E">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指在项目实施过程中，需要支付的出版费、版面费、专用软件购买费、文献检索费等。</w:t>
            </w:r>
          </w:p>
        </w:tc>
      </w:tr>
      <w:tr w14:paraId="15D7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373" w:type="pct"/>
            <w:shd w:val="clear" w:color="auto" w:fill="auto"/>
            <w:vAlign w:val="center"/>
          </w:tcPr>
          <w:p w14:paraId="5EAB0871">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8</w:t>
            </w:r>
          </w:p>
        </w:tc>
        <w:tc>
          <w:tcPr>
            <w:tcW w:w="624" w:type="pct"/>
            <w:shd w:val="clear" w:color="auto" w:fill="auto"/>
            <w:vAlign w:val="center"/>
          </w:tcPr>
          <w:p w14:paraId="2086A07D">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劳务费</w:t>
            </w:r>
          </w:p>
        </w:tc>
        <w:tc>
          <w:tcPr>
            <w:tcW w:w="356" w:type="pct"/>
            <w:shd w:val="clear" w:color="auto" w:fill="auto"/>
            <w:vAlign w:val="center"/>
          </w:tcPr>
          <w:p w14:paraId="71CFA9B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3366EC8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589E8A89">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6632171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74D22021">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指在项目实施过程中支付给项目组成员中没有工资性收入的相关人员（如在校学生）和</w:t>
            </w:r>
            <w:r>
              <w:rPr>
                <w:rFonts w:hint="eastAsia" w:ascii="宋体" w:hAnsi="宋体" w:eastAsia="宋体" w:cs="宋体"/>
                <w:color w:val="000000"/>
                <w:kern w:val="0"/>
                <w:sz w:val="22"/>
                <w:highlight w:val="none"/>
                <w:lang w:val="en-US" w:eastAsia="zh-CN"/>
              </w:rPr>
              <w:t>项目</w:t>
            </w:r>
            <w:r>
              <w:rPr>
                <w:rFonts w:hint="eastAsia" w:ascii="宋体" w:hAnsi="宋体" w:eastAsia="宋体" w:cs="宋体"/>
                <w:color w:val="000000"/>
                <w:kern w:val="0"/>
                <w:sz w:val="22"/>
                <w:highlight w:val="none"/>
              </w:rPr>
              <w:t>组临时聘用人员等的劳务性费用。高校在校生劳务费用每人每月不超过300元。劳务费的支出应严格控制，报销比例原则上不超过总经费的</w:t>
            </w:r>
            <w:r>
              <w:rPr>
                <w:rFonts w:hint="eastAsia" w:ascii="宋体" w:hAnsi="宋体" w:eastAsia="宋体" w:cs="宋体"/>
                <w:color w:val="000000"/>
                <w:kern w:val="0"/>
                <w:sz w:val="22"/>
                <w:highlight w:val="none"/>
                <w:lang w:val="en-US" w:eastAsia="zh-CN"/>
              </w:rPr>
              <w:t>20</w:t>
            </w:r>
            <w:r>
              <w:rPr>
                <w:rFonts w:hint="eastAsia" w:ascii="宋体" w:hAnsi="宋体" w:eastAsia="宋体" w:cs="宋体"/>
                <w:color w:val="000000"/>
                <w:kern w:val="0"/>
                <w:sz w:val="22"/>
                <w:highlight w:val="none"/>
              </w:rPr>
              <w:t>%。</w:t>
            </w:r>
          </w:p>
        </w:tc>
      </w:tr>
      <w:tr w14:paraId="3A03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373" w:type="pct"/>
            <w:shd w:val="clear" w:color="auto" w:fill="auto"/>
            <w:vAlign w:val="center"/>
          </w:tcPr>
          <w:p w14:paraId="07EC710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9</w:t>
            </w:r>
          </w:p>
        </w:tc>
        <w:tc>
          <w:tcPr>
            <w:tcW w:w="624" w:type="pct"/>
            <w:shd w:val="clear" w:color="auto" w:fill="auto"/>
            <w:vAlign w:val="center"/>
          </w:tcPr>
          <w:p w14:paraId="0B37AEB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专家咨询费</w:t>
            </w:r>
          </w:p>
        </w:tc>
        <w:tc>
          <w:tcPr>
            <w:tcW w:w="356" w:type="pct"/>
            <w:shd w:val="clear" w:color="auto" w:fill="auto"/>
            <w:vAlign w:val="center"/>
          </w:tcPr>
          <w:p w14:paraId="4355992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0F34B0F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5F68073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1AB54A6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3E277BC1">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过程中支付给临时聘请的咨询专家的费用。专家咨询费不得支付给本</w:t>
            </w:r>
            <w:r>
              <w:rPr>
                <w:rFonts w:hint="eastAsia" w:ascii="宋体" w:hAnsi="宋体" w:eastAsia="宋体" w:cs="宋体"/>
                <w:color w:val="000000"/>
                <w:kern w:val="0"/>
                <w:sz w:val="22"/>
                <w:highlight w:val="none"/>
                <w:lang w:val="en-US" w:eastAsia="zh-CN"/>
              </w:rPr>
              <w:t>项目</w:t>
            </w:r>
            <w:r>
              <w:rPr>
                <w:rFonts w:hint="eastAsia" w:ascii="宋体" w:hAnsi="宋体" w:eastAsia="宋体" w:cs="宋体"/>
                <w:color w:val="000000"/>
                <w:kern w:val="0"/>
                <w:sz w:val="22"/>
                <w:highlight w:val="none"/>
              </w:rPr>
              <w:t>组成员以及履行项目管理职务行为的相关工作人员，咨询费的支出应严格控制，报销比例原则上不超过总经费的</w:t>
            </w:r>
            <w:r>
              <w:rPr>
                <w:rFonts w:hint="eastAsia" w:ascii="宋体" w:hAnsi="宋体" w:eastAsia="宋体" w:cs="宋体"/>
                <w:color w:val="000000"/>
                <w:kern w:val="0"/>
                <w:sz w:val="22"/>
                <w:highlight w:val="none"/>
                <w:lang w:val="en-US" w:eastAsia="zh-CN"/>
              </w:rPr>
              <w:t>2</w:t>
            </w:r>
            <w:r>
              <w:rPr>
                <w:rFonts w:hint="eastAsia" w:ascii="宋体" w:hAnsi="宋体" w:eastAsia="宋体" w:cs="宋体"/>
                <w:color w:val="000000"/>
                <w:kern w:val="0"/>
                <w:sz w:val="22"/>
                <w:highlight w:val="none"/>
              </w:rPr>
              <w:t>0%。</w:t>
            </w:r>
          </w:p>
        </w:tc>
      </w:tr>
      <w:tr w14:paraId="7CED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373" w:type="pct"/>
            <w:shd w:val="clear" w:color="auto" w:fill="auto"/>
            <w:vAlign w:val="center"/>
          </w:tcPr>
          <w:p w14:paraId="28A77EB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10</w:t>
            </w:r>
          </w:p>
        </w:tc>
        <w:tc>
          <w:tcPr>
            <w:tcW w:w="624" w:type="pct"/>
            <w:shd w:val="clear" w:color="auto" w:fill="auto"/>
            <w:vAlign w:val="center"/>
          </w:tcPr>
          <w:p w14:paraId="0B04809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餐费</w:t>
            </w:r>
          </w:p>
        </w:tc>
        <w:tc>
          <w:tcPr>
            <w:tcW w:w="356" w:type="pct"/>
            <w:shd w:val="clear" w:color="auto" w:fill="auto"/>
            <w:vAlign w:val="center"/>
          </w:tcPr>
          <w:p w14:paraId="5EA6F0ED">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5A92BB0E">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5C46280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1927F44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6F28B318">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中发生的就餐、购买食品、饮料等费用。报销比例原则上不超过总经费的</w:t>
            </w:r>
            <w:r>
              <w:rPr>
                <w:rFonts w:hint="eastAsia" w:ascii="宋体" w:hAnsi="宋体" w:eastAsia="宋体" w:cs="宋体"/>
                <w:color w:val="000000"/>
                <w:kern w:val="0"/>
                <w:sz w:val="22"/>
                <w:highlight w:val="none"/>
                <w:lang w:val="en-US" w:eastAsia="zh-CN"/>
              </w:rPr>
              <w:t>20</w:t>
            </w:r>
            <w:r>
              <w:rPr>
                <w:rFonts w:hint="eastAsia" w:ascii="宋体" w:hAnsi="宋体" w:eastAsia="宋体" w:cs="宋体"/>
                <w:color w:val="000000"/>
                <w:kern w:val="0"/>
                <w:sz w:val="22"/>
                <w:highlight w:val="none"/>
              </w:rPr>
              <w:t>%。</w:t>
            </w:r>
          </w:p>
        </w:tc>
      </w:tr>
      <w:tr w14:paraId="1FD3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373" w:type="pct"/>
            <w:shd w:val="clear" w:color="auto" w:fill="auto"/>
            <w:vAlign w:val="center"/>
          </w:tcPr>
          <w:p w14:paraId="63C0B696">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11</w:t>
            </w:r>
          </w:p>
        </w:tc>
        <w:tc>
          <w:tcPr>
            <w:tcW w:w="624" w:type="pct"/>
            <w:shd w:val="clear" w:color="auto" w:fill="auto"/>
            <w:vAlign w:val="center"/>
          </w:tcPr>
          <w:p w14:paraId="603D743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交通费</w:t>
            </w:r>
          </w:p>
        </w:tc>
        <w:tc>
          <w:tcPr>
            <w:tcW w:w="356" w:type="pct"/>
            <w:shd w:val="clear" w:color="auto" w:fill="auto"/>
            <w:vAlign w:val="center"/>
          </w:tcPr>
          <w:p w14:paraId="57EC9B0E">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451CFDFF">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29823800">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49A681D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5E6439CD">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指在项目实施过程中市内及赴周边省市</w:t>
            </w:r>
            <w:r>
              <w:rPr>
                <w:rFonts w:hint="eastAsia" w:ascii="宋体" w:hAnsi="宋体" w:eastAsia="宋体" w:cs="宋体"/>
                <w:color w:val="000000"/>
                <w:kern w:val="0"/>
                <w:sz w:val="22"/>
                <w:highlight w:val="none"/>
                <w:lang w:val="en-US" w:eastAsia="zh-CN"/>
              </w:rPr>
              <w:t>开展工作</w:t>
            </w:r>
            <w:r>
              <w:rPr>
                <w:rFonts w:hint="eastAsia" w:ascii="宋体" w:hAnsi="宋体" w:eastAsia="宋体" w:cs="宋体"/>
                <w:color w:val="000000"/>
                <w:kern w:val="0"/>
                <w:sz w:val="22"/>
                <w:highlight w:val="none"/>
              </w:rPr>
              <w:t>等发生的交通费用，如乘坐出租车等发生的费用，自驾车发生的油费、过路费、停车费等。报销比例原则上不超过总经费的</w:t>
            </w:r>
            <w:r>
              <w:rPr>
                <w:rFonts w:hint="eastAsia" w:ascii="宋体" w:hAnsi="宋体" w:eastAsia="宋体" w:cs="宋体"/>
                <w:color w:val="000000"/>
                <w:kern w:val="0"/>
                <w:sz w:val="22"/>
                <w:highlight w:val="none"/>
                <w:lang w:val="en-US" w:eastAsia="zh-CN"/>
              </w:rPr>
              <w:t>20</w:t>
            </w:r>
            <w:r>
              <w:rPr>
                <w:rFonts w:hint="eastAsia" w:ascii="宋体" w:hAnsi="宋体" w:eastAsia="宋体" w:cs="宋体"/>
                <w:color w:val="000000"/>
                <w:kern w:val="0"/>
                <w:sz w:val="22"/>
                <w:highlight w:val="none"/>
              </w:rPr>
              <w:t>%。</w:t>
            </w:r>
          </w:p>
        </w:tc>
      </w:tr>
      <w:tr w14:paraId="1261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373" w:type="pct"/>
            <w:shd w:val="clear" w:color="auto" w:fill="auto"/>
            <w:vAlign w:val="center"/>
          </w:tcPr>
          <w:p w14:paraId="34527C27">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12</w:t>
            </w:r>
          </w:p>
        </w:tc>
        <w:tc>
          <w:tcPr>
            <w:tcW w:w="624" w:type="pct"/>
            <w:shd w:val="clear" w:color="auto" w:fill="auto"/>
            <w:vAlign w:val="center"/>
          </w:tcPr>
          <w:p w14:paraId="316367D6">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通讯费</w:t>
            </w:r>
          </w:p>
        </w:tc>
        <w:tc>
          <w:tcPr>
            <w:tcW w:w="356" w:type="pct"/>
            <w:shd w:val="clear" w:color="auto" w:fill="auto"/>
            <w:vAlign w:val="center"/>
          </w:tcPr>
          <w:p w14:paraId="0AEB26BE">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516F1E09">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40A081A5">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771F8F62">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2B35F470">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中发生的通讯费用，包括邮寄费、电话费、上网费等。报销比例一般不超过总经费的10%。</w:t>
            </w:r>
          </w:p>
        </w:tc>
      </w:tr>
      <w:tr w14:paraId="3B65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73" w:type="pct"/>
            <w:shd w:val="clear" w:color="auto" w:fill="auto"/>
            <w:vAlign w:val="center"/>
          </w:tcPr>
          <w:p w14:paraId="47FC7829">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13</w:t>
            </w:r>
          </w:p>
        </w:tc>
        <w:tc>
          <w:tcPr>
            <w:tcW w:w="624" w:type="pct"/>
            <w:shd w:val="clear" w:color="auto" w:fill="auto"/>
            <w:vAlign w:val="center"/>
          </w:tcPr>
          <w:p w14:paraId="78C6A929">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培训费</w:t>
            </w:r>
          </w:p>
        </w:tc>
        <w:tc>
          <w:tcPr>
            <w:tcW w:w="356" w:type="pct"/>
            <w:shd w:val="clear" w:color="auto" w:fill="auto"/>
            <w:vAlign w:val="center"/>
          </w:tcPr>
          <w:p w14:paraId="2286DFFD">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480B3432">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4427A99F">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4E43F401">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2EA2FAF9">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中发生的与项目研究与实践相关的培训费用。</w:t>
            </w:r>
          </w:p>
        </w:tc>
      </w:tr>
      <w:tr w14:paraId="2F03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73" w:type="pct"/>
            <w:shd w:val="clear" w:color="auto" w:fill="auto"/>
            <w:vAlign w:val="center"/>
          </w:tcPr>
          <w:p w14:paraId="38E0A48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14</w:t>
            </w:r>
          </w:p>
        </w:tc>
        <w:tc>
          <w:tcPr>
            <w:tcW w:w="624" w:type="pct"/>
            <w:shd w:val="clear" w:color="auto" w:fill="auto"/>
            <w:vAlign w:val="center"/>
          </w:tcPr>
          <w:p w14:paraId="74B8E22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资产设备采购费</w:t>
            </w:r>
          </w:p>
        </w:tc>
        <w:tc>
          <w:tcPr>
            <w:tcW w:w="356" w:type="pct"/>
            <w:shd w:val="clear" w:color="auto" w:fill="auto"/>
            <w:vAlign w:val="center"/>
          </w:tcPr>
          <w:p w14:paraId="74F18CA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1FB610B7">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1CD4DD7C">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3E92FC66">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7DADD228">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根据办公需要采购的固定资产（含家具和设备）。</w:t>
            </w:r>
          </w:p>
        </w:tc>
      </w:tr>
      <w:tr w14:paraId="0388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73" w:type="pct"/>
            <w:shd w:val="clear" w:color="auto" w:fill="auto"/>
            <w:vAlign w:val="center"/>
          </w:tcPr>
          <w:p w14:paraId="5F3DB711">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15</w:t>
            </w:r>
          </w:p>
        </w:tc>
        <w:tc>
          <w:tcPr>
            <w:tcW w:w="624" w:type="pct"/>
            <w:shd w:val="clear" w:color="auto" w:fill="auto"/>
            <w:vAlign w:val="center"/>
          </w:tcPr>
          <w:p w14:paraId="467F973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学生奖助专项</w:t>
            </w:r>
          </w:p>
        </w:tc>
        <w:tc>
          <w:tcPr>
            <w:tcW w:w="356" w:type="pct"/>
            <w:shd w:val="clear" w:color="auto" w:fill="auto"/>
            <w:vAlign w:val="center"/>
          </w:tcPr>
          <w:p w14:paraId="79344E03">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291EEECE">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1813B730">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52D59B61">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1E562EE3">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专项设置用于学生奖学金、助学金发放的费用，该项支出根据实际需要预算。</w:t>
            </w:r>
          </w:p>
        </w:tc>
      </w:tr>
      <w:tr w14:paraId="5241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73" w:type="pct"/>
            <w:shd w:val="clear" w:color="auto" w:fill="auto"/>
            <w:vAlign w:val="center"/>
          </w:tcPr>
          <w:p w14:paraId="040DFA2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16</w:t>
            </w:r>
          </w:p>
        </w:tc>
        <w:tc>
          <w:tcPr>
            <w:tcW w:w="624" w:type="pct"/>
            <w:shd w:val="clear" w:color="auto" w:fill="auto"/>
            <w:vAlign w:val="center"/>
          </w:tcPr>
          <w:p w14:paraId="795E403E">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师资人才引进专项</w:t>
            </w:r>
          </w:p>
        </w:tc>
        <w:tc>
          <w:tcPr>
            <w:tcW w:w="356" w:type="pct"/>
            <w:shd w:val="clear" w:color="auto" w:fill="auto"/>
            <w:vAlign w:val="center"/>
          </w:tcPr>
          <w:p w14:paraId="35B6700C">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5E24FE4B">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574A24F0">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56B4A0C4">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4C532B1E">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专项设置用于高水平师资引进的费用，该项支出根据实际需要预算。</w:t>
            </w:r>
          </w:p>
        </w:tc>
      </w:tr>
      <w:tr w14:paraId="1A50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73" w:type="pct"/>
            <w:shd w:val="clear" w:color="auto" w:fill="auto"/>
            <w:vAlign w:val="center"/>
          </w:tcPr>
          <w:p w14:paraId="763229F0">
            <w:pPr>
              <w:widowControl/>
              <w:jc w:val="center"/>
              <w:rPr>
                <w:rFonts w:hint="default" w:ascii="宋体" w:hAnsi="宋体" w:eastAsia="宋体" w:cs="宋体"/>
                <w:color w:val="000000"/>
                <w:kern w:val="0"/>
                <w:sz w:val="22"/>
                <w:highlight w:val="none"/>
                <w:lang w:val="en-US" w:eastAsia="zh-CN"/>
              </w:rPr>
            </w:pPr>
            <w:r>
              <w:rPr>
                <w:rFonts w:hint="eastAsia" w:ascii="宋体" w:hAnsi="宋体" w:eastAsia="宋体" w:cs="宋体"/>
                <w:color w:val="000000"/>
                <w:kern w:val="0"/>
                <w:sz w:val="22"/>
                <w:highlight w:val="none"/>
                <w:lang w:val="en-US" w:eastAsia="zh-CN"/>
              </w:rPr>
              <w:t>17</w:t>
            </w:r>
          </w:p>
        </w:tc>
        <w:tc>
          <w:tcPr>
            <w:tcW w:w="624" w:type="pct"/>
            <w:shd w:val="clear" w:color="auto" w:fill="auto"/>
            <w:vAlign w:val="center"/>
          </w:tcPr>
          <w:p w14:paraId="31F57518">
            <w:pPr>
              <w:widowControl/>
              <w:jc w:val="center"/>
              <w:rPr>
                <w:rFonts w:hint="eastAsia" w:ascii="宋体" w:hAnsi="宋体" w:eastAsia="宋体" w:cs="宋体"/>
                <w:color w:val="000000"/>
                <w:kern w:val="0"/>
                <w:sz w:val="22"/>
                <w:highlight w:val="none"/>
                <w:lang w:val="en-US" w:eastAsia="zh-CN"/>
              </w:rPr>
            </w:pPr>
            <w:r>
              <w:rPr>
                <w:rFonts w:hint="eastAsia" w:ascii="宋体" w:hAnsi="宋体" w:eastAsia="宋体" w:cs="宋体"/>
                <w:color w:val="000000"/>
                <w:kern w:val="0"/>
                <w:sz w:val="22"/>
                <w:highlight w:val="none"/>
                <w:lang w:val="en-US" w:eastAsia="zh-CN"/>
              </w:rPr>
              <w:t>办公费</w:t>
            </w:r>
          </w:p>
        </w:tc>
        <w:tc>
          <w:tcPr>
            <w:tcW w:w="356" w:type="pct"/>
            <w:shd w:val="clear" w:color="auto" w:fill="auto"/>
            <w:vAlign w:val="center"/>
          </w:tcPr>
          <w:p w14:paraId="37B5C682">
            <w:pPr>
              <w:widowControl/>
              <w:jc w:val="center"/>
              <w:rPr>
                <w:rFonts w:hint="eastAsia" w:ascii="宋体" w:hAnsi="宋体" w:eastAsia="宋体" w:cs="宋体"/>
                <w:color w:val="000000"/>
                <w:kern w:val="0"/>
                <w:sz w:val="22"/>
                <w:highlight w:val="none"/>
              </w:rPr>
            </w:pPr>
          </w:p>
        </w:tc>
        <w:tc>
          <w:tcPr>
            <w:tcW w:w="337" w:type="pct"/>
            <w:shd w:val="clear" w:color="auto" w:fill="auto"/>
            <w:vAlign w:val="center"/>
          </w:tcPr>
          <w:p w14:paraId="0CB060A3">
            <w:pPr>
              <w:widowControl/>
              <w:jc w:val="center"/>
              <w:rPr>
                <w:rFonts w:hint="eastAsia" w:ascii="宋体" w:hAnsi="宋体" w:eastAsia="宋体" w:cs="宋体"/>
                <w:color w:val="000000"/>
                <w:kern w:val="0"/>
                <w:sz w:val="22"/>
                <w:highlight w:val="none"/>
              </w:rPr>
            </w:pPr>
          </w:p>
        </w:tc>
        <w:tc>
          <w:tcPr>
            <w:tcW w:w="322" w:type="pct"/>
            <w:shd w:val="clear" w:color="auto" w:fill="auto"/>
            <w:vAlign w:val="center"/>
          </w:tcPr>
          <w:p w14:paraId="22DA3199">
            <w:pPr>
              <w:widowControl/>
              <w:jc w:val="center"/>
              <w:rPr>
                <w:rFonts w:hint="eastAsia" w:ascii="宋体" w:hAnsi="宋体" w:eastAsia="宋体" w:cs="宋体"/>
                <w:color w:val="000000"/>
                <w:kern w:val="0"/>
                <w:sz w:val="22"/>
                <w:highlight w:val="none"/>
              </w:rPr>
            </w:pPr>
          </w:p>
        </w:tc>
        <w:tc>
          <w:tcPr>
            <w:tcW w:w="417" w:type="pct"/>
            <w:shd w:val="clear" w:color="auto" w:fill="auto"/>
            <w:vAlign w:val="center"/>
          </w:tcPr>
          <w:p w14:paraId="26A11D3E">
            <w:pPr>
              <w:widowControl/>
              <w:jc w:val="center"/>
              <w:rPr>
                <w:rFonts w:hint="eastAsia" w:ascii="宋体" w:hAnsi="宋体" w:eastAsia="宋体" w:cs="宋体"/>
                <w:color w:val="000000"/>
                <w:kern w:val="0"/>
                <w:sz w:val="22"/>
                <w:highlight w:val="none"/>
              </w:rPr>
            </w:pPr>
          </w:p>
        </w:tc>
        <w:tc>
          <w:tcPr>
            <w:tcW w:w="2568" w:type="pct"/>
            <w:shd w:val="clear" w:color="auto" w:fill="auto"/>
            <w:vAlign w:val="center"/>
          </w:tcPr>
          <w:p w14:paraId="762839E6">
            <w:pPr>
              <w:widowControl/>
              <w:jc w:val="left"/>
              <w:rPr>
                <w:rFonts w:hint="eastAsia" w:ascii="宋体" w:hAnsi="宋体" w:cs="宋体" w:eastAsiaTheme="minorEastAsia"/>
                <w:color w:val="000000"/>
                <w:kern w:val="0"/>
                <w:sz w:val="22"/>
                <w:highlight w:val="none"/>
                <w:lang w:eastAsia="zh-CN"/>
              </w:rPr>
            </w:pPr>
            <w:r>
              <w:rPr>
                <w:rFonts w:hint="eastAsia" w:ascii="宋体" w:hAnsi="宋体" w:cs="宋体" w:eastAsiaTheme="minorEastAsia"/>
                <w:color w:val="000000"/>
                <w:kern w:val="0"/>
                <w:sz w:val="22"/>
                <w:highlight w:val="none"/>
                <w:lang w:val="en-US" w:eastAsia="zh-CN"/>
              </w:rPr>
              <w:t>购买不符合固定资产确认标准的工作开展所需的办公用品、书报杂志等支出。</w:t>
            </w:r>
          </w:p>
        </w:tc>
      </w:tr>
      <w:tr w14:paraId="1E0B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373" w:type="pct"/>
            <w:shd w:val="clear" w:color="auto" w:fill="auto"/>
            <w:vAlign w:val="center"/>
          </w:tcPr>
          <w:p w14:paraId="4510D6A2">
            <w:pPr>
              <w:widowControl/>
              <w:jc w:val="center"/>
              <w:rPr>
                <w:rFonts w:hint="eastAsia" w:ascii="宋体" w:hAnsi="宋体" w:eastAsia="宋体" w:cs="宋体"/>
                <w:color w:val="000000"/>
                <w:kern w:val="0"/>
                <w:sz w:val="22"/>
                <w:highlight w:val="none"/>
                <w:lang w:eastAsia="zh-CN"/>
              </w:rPr>
            </w:pPr>
            <w:r>
              <w:rPr>
                <w:rFonts w:hint="eastAsia" w:ascii="宋体" w:hAnsi="宋体" w:eastAsia="宋体" w:cs="宋体"/>
                <w:color w:val="000000"/>
                <w:kern w:val="0"/>
                <w:sz w:val="22"/>
                <w:highlight w:val="none"/>
              </w:rPr>
              <w:t>1</w:t>
            </w:r>
            <w:r>
              <w:rPr>
                <w:rFonts w:hint="eastAsia" w:ascii="宋体" w:hAnsi="宋体" w:eastAsia="宋体" w:cs="宋体"/>
                <w:color w:val="000000"/>
                <w:kern w:val="0"/>
                <w:sz w:val="22"/>
                <w:highlight w:val="none"/>
                <w:lang w:val="en-US" w:eastAsia="zh-CN"/>
              </w:rPr>
              <w:t>8</w:t>
            </w:r>
          </w:p>
        </w:tc>
        <w:tc>
          <w:tcPr>
            <w:tcW w:w="624" w:type="pct"/>
            <w:shd w:val="clear" w:color="auto" w:fill="auto"/>
            <w:vAlign w:val="center"/>
          </w:tcPr>
          <w:p w14:paraId="0D105706">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其他费用</w:t>
            </w:r>
          </w:p>
        </w:tc>
        <w:tc>
          <w:tcPr>
            <w:tcW w:w="356" w:type="pct"/>
            <w:shd w:val="clear" w:color="auto" w:fill="auto"/>
            <w:vAlign w:val="center"/>
          </w:tcPr>
          <w:p w14:paraId="77B40DC7">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vAlign w:val="center"/>
          </w:tcPr>
          <w:p w14:paraId="660364D0">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vAlign w:val="center"/>
          </w:tcPr>
          <w:p w14:paraId="1F29D331">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vAlign w:val="center"/>
          </w:tcPr>
          <w:p w14:paraId="0698AC0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vAlign w:val="center"/>
          </w:tcPr>
          <w:p w14:paraId="1E061B42">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指在项目</w:t>
            </w:r>
            <w:r>
              <w:rPr>
                <w:rFonts w:hint="eastAsia" w:ascii="宋体" w:hAnsi="宋体" w:eastAsia="宋体" w:cs="宋体"/>
                <w:color w:val="000000"/>
                <w:kern w:val="0"/>
                <w:sz w:val="22"/>
                <w:highlight w:val="none"/>
                <w:lang w:val="en-US" w:eastAsia="zh-CN"/>
              </w:rPr>
              <w:t>实施</w:t>
            </w:r>
            <w:r>
              <w:rPr>
                <w:rFonts w:hint="eastAsia" w:ascii="宋体" w:hAnsi="宋体" w:eastAsia="宋体" w:cs="宋体"/>
                <w:color w:val="000000"/>
                <w:kern w:val="0"/>
                <w:sz w:val="22"/>
                <w:highlight w:val="none"/>
              </w:rPr>
              <w:t>中发生的除上述费用之外的其他支出。这类支出应当在项目预算中单独列示，单独核定，包括不能列入以上项目的办公用品（须提供明细）等与项目运行相关的经费支出。</w:t>
            </w:r>
          </w:p>
        </w:tc>
      </w:tr>
      <w:tr w14:paraId="61E0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373" w:type="pct"/>
            <w:shd w:val="clear" w:color="auto" w:fill="auto"/>
            <w:vAlign w:val="center"/>
          </w:tcPr>
          <w:p w14:paraId="1E8A653A">
            <w:pPr>
              <w:widowControl/>
              <w:jc w:val="center"/>
              <w:rPr>
                <w:rFonts w:hint="default" w:ascii="宋体" w:hAnsi="宋体" w:eastAsia="宋体" w:cs="宋体"/>
                <w:color w:val="000000"/>
                <w:kern w:val="0"/>
                <w:sz w:val="22"/>
                <w:highlight w:val="none"/>
                <w:lang w:val="en-US" w:eastAsia="zh-CN"/>
              </w:rPr>
            </w:pPr>
            <w:r>
              <w:rPr>
                <w:rFonts w:hint="eastAsia" w:ascii="宋体" w:hAnsi="宋体" w:eastAsia="宋体" w:cs="宋体"/>
                <w:color w:val="000000"/>
                <w:kern w:val="0"/>
                <w:sz w:val="22"/>
                <w:highlight w:val="none"/>
                <w:lang w:val="en-US" w:eastAsia="zh-CN"/>
              </w:rPr>
              <w:t>19</w:t>
            </w:r>
          </w:p>
        </w:tc>
        <w:tc>
          <w:tcPr>
            <w:tcW w:w="624" w:type="pct"/>
            <w:shd w:val="clear" w:color="auto" w:fill="auto"/>
            <w:vAlign w:val="center"/>
          </w:tcPr>
          <w:p w14:paraId="577E8C8E">
            <w:pPr>
              <w:widowControl/>
              <w:jc w:val="center"/>
              <w:rPr>
                <w:rFonts w:hint="default" w:ascii="宋体" w:hAnsi="宋体" w:eastAsia="宋体" w:cs="宋体"/>
                <w:color w:val="000000"/>
                <w:kern w:val="0"/>
                <w:sz w:val="22"/>
                <w:highlight w:val="none"/>
                <w:lang w:val="en-US" w:eastAsia="zh-CN"/>
              </w:rPr>
            </w:pPr>
            <w:r>
              <w:rPr>
                <w:rFonts w:hint="eastAsia" w:ascii="宋体" w:hAnsi="宋体" w:eastAsia="宋体" w:cs="宋体"/>
                <w:color w:val="000000"/>
                <w:kern w:val="0"/>
                <w:sz w:val="22"/>
                <w:highlight w:val="none"/>
                <w:lang w:val="en-US" w:eastAsia="zh-CN"/>
              </w:rPr>
              <w:t>其他专项</w:t>
            </w:r>
          </w:p>
        </w:tc>
        <w:tc>
          <w:tcPr>
            <w:tcW w:w="356" w:type="pct"/>
            <w:shd w:val="clear" w:color="auto" w:fill="auto"/>
            <w:vAlign w:val="center"/>
          </w:tcPr>
          <w:p w14:paraId="33244389">
            <w:pPr>
              <w:widowControl/>
              <w:jc w:val="center"/>
              <w:rPr>
                <w:rFonts w:hint="eastAsia" w:ascii="宋体" w:hAnsi="宋体" w:eastAsia="宋体" w:cs="宋体"/>
                <w:color w:val="000000"/>
                <w:kern w:val="0"/>
                <w:sz w:val="22"/>
                <w:highlight w:val="none"/>
              </w:rPr>
            </w:pPr>
          </w:p>
        </w:tc>
        <w:tc>
          <w:tcPr>
            <w:tcW w:w="337" w:type="pct"/>
            <w:shd w:val="clear" w:color="auto" w:fill="auto"/>
            <w:vAlign w:val="center"/>
          </w:tcPr>
          <w:p w14:paraId="4E210053">
            <w:pPr>
              <w:widowControl/>
              <w:jc w:val="center"/>
              <w:rPr>
                <w:rFonts w:hint="eastAsia" w:ascii="宋体" w:hAnsi="宋体" w:eastAsia="宋体" w:cs="宋体"/>
                <w:color w:val="000000"/>
                <w:kern w:val="0"/>
                <w:sz w:val="22"/>
                <w:highlight w:val="none"/>
              </w:rPr>
            </w:pPr>
          </w:p>
        </w:tc>
        <w:tc>
          <w:tcPr>
            <w:tcW w:w="322" w:type="pct"/>
            <w:shd w:val="clear" w:color="auto" w:fill="auto"/>
            <w:vAlign w:val="center"/>
          </w:tcPr>
          <w:p w14:paraId="38B80E44">
            <w:pPr>
              <w:widowControl/>
              <w:jc w:val="center"/>
              <w:rPr>
                <w:rFonts w:hint="eastAsia" w:ascii="宋体" w:hAnsi="宋体" w:eastAsia="宋体" w:cs="宋体"/>
                <w:color w:val="000000"/>
                <w:kern w:val="0"/>
                <w:sz w:val="22"/>
                <w:highlight w:val="none"/>
              </w:rPr>
            </w:pPr>
          </w:p>
        </w:tc>
        <w:tc>
          <w:tcPr>
            <w:tcW w:w="417" w:type="pct"/>
            <w:shd w:val="clear" w:color="auto" w:fill="auto"/>
            <w:vAlign w:val="center"/>
          </w:tcPr>
          <w:p w14:paraId="57F765CD">
            <w:pPr>
              <w:widowControl/>
              <w:jc w:val="center"/>
              <w:rPr>
                <w:rFonts w:hint="eastAsia" w:ascii="宋体" w:hAnsi="宋体" w:eastAsia="宋体" w:cs="宋体"/>
                <w:color w:val="000000"/>
                <w:kern w:val="0"/>
                <w:sz w:val="22"/>
                <w:highlight w:val="none"/>
              </w:rPr>
            </w:pPr>
          </w:p>
        </w:tc>
        <w:tc>
          <w:tcPr>
            <w:tcW w:w="2568" w:type="pct"/>
            <w:shd w:val="clear" w:color="auto" w:fill="auto"/>
            <w:vAlign w:val="center"/>
          </w:tcPr>
          <w:p w14:paraId="46FCEDC7">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lang w:val="en-US" w:eastAsia="zh-CN"/>
              </w:rPr>
              <w:t>遵照捐赠人意愿专项设置的以上支出之外的经费支出。</w:t>
            </w:r>
          </w:p>
        </w:tc>
      </w:tr>
      <w:tr w14:paraId="6CBF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373" w:type="pct"/>
            <w:shd w:val="clear" w:color="auto" w:fill="auto"/>
            <w:vAlign w:val="center"/>
          </w:tcPr>
          <w:p w14:paraId="39C53561">
            <w:pPr>
              <w:widowControl/>
              <w:jc w:val="center"/>
              <w:rPr>
                <w:rFonts w:hint="default" w:ascii="宋体" w:hAnsi="宋体" w:eastAsia="宋体" w:cs="宋体"/>
                <w:color w:val="000000"/>
                <w:kern w:val="0"/>
                <w:sz w:val="22"/>
                <w:highlight w:val="none"/>
                <w:lang w:val="en-US" w:eastAsia="zh-CN"/>
              </w:rPr>
            </w:pPr>
            <w:r>
              <w:rPr>
                <w:rFonts w:hint="eastAsia" w:ascii="宋体" w:hAnsi="宋体" w:eastAsia="宋体" w:cs="宋体"/>
                <w:color w:val="000000"/>
                <w:kern w:val="0"/>
                <w:sz w:val="22"/>
                <w:highlight w:val="none"/>
                <w:lang w:val="en-US" w:eastAsia="zh-CN"/>
              </w:rPr>
              <w:t>20</w:t>
            </w:r>
          </w:p>
        </w:tc>
        <w:tc>
          <w:tcPr>
            <w:tcW w:w="624" w:type="pct"/>
            <w:shd w:val="clear" w:color="auto" w:fill="auto"/>
            <w:vAlign w:val="center"/>
          </w:tcPr>
          <w:p w14:paraId="7A80BFB0">
            <w:pPr>
              <w:widowControl/>
              <w:jc w:val="center"/>
              <w:rPr>
                <w:rFonts w:hint="default" w:ascii="宋体" w:hAnsi="宋体" w:eastAsia="宋体" w:cs="宋体"/>
                <w:color w:val="000000"/>
                <w:kern w:val="0"/>
                <w:sz w:val="22"/>
                <w:highlight w:val="none"/>
                <w:lang w:val="en-US" w:eastAsia="zh-CN"/>
              </w:rPr>
            </w:pPr>
            <w:r>
              <w:rPr>
                <w:rFonts w:hint="eastAsia" w:ascii="宋体" w:hAnsi="宋体" w:eastAsia="宋体" w:cs="宋体"/>
                <w:color w:val="000000"/>
                <w:kern w:val="0"/>
                <w:sz w:val="22"/>
                <w:highlight w:val="none"/>
                <w:lang w:val="en-US" w:eastAsia="zh-CN"/>
              </w:rPr>
              <w:t>管理费</w:t>
            </w:r>
          </w:p>
        </w:tc>
        <w:tc>
          <w:tcPr>
            <w:tcW w:w="356" w:type="pct"/>
            <w:shd w:val="clear" w:color="auto" w:fill="auto"/>
            <w:vAlign w:val="center"/>
          </w:tcPr>
          <w:p w14:paraId="45278BD7">
            <w:pPr>
              <w:widowControl/>
              <w:jc w:val="center"/>
              <w:rPr>
                <w:rFonts w:hint="eastAsia" w:ascii="宋体" w:hAnsi="宋体" w:eastAsia="宋体" w:cs="宋体"/>
                <w:color w:val="000000"/>
                <w:kern w:val="0"/>
                <w:sz w:val="22"/>
                <w:highlight w:val="none"/>
              </w:rPr>
            </w:pPr>
          </w:p>
        </w:tc>
        <w:tc>
          <w:tcPr>
            <w:tcW w:w="337" w:type="pct"/>
            <w:shd w:val="clear" w:color="auto" w:fill="auto"/>
            <w:vAlign w:val="center"/>
          </w:tcPr>
          <w:p w14:paraId="5303308E">
            <w:pPr>
              <w:widowControl/>
              <w:jc w:val="center"/>
              <w:rPr>
                <w:rFonts w:hint="eastAsia" w:ascii="宋体" w:hAnsi="宋体" w:eastAsia="宋体" w:cs="宋体"/>
                <w:color w:val="000000"/>
                <w:kern w:val="0"/>
                <w:sz w:val="22"/>
                <w:highlight w:val="none"/>
              </w:rPr>
            </w:pPr>
          </w:p>
        </w:tc>
        <w:tc>
          <w:tcPr>
            <w:tcW w:w="322" w:type="pct"/>
            <w:shd w:val="clear" w:color="auto" w:fill="auto"/>
            <w:vAlign w:val="center"/>
          </w:tcPr>
          <w:p w14:paraId="699F477B">
            <w:pPr>
              <w:widowControl/>
              <w:jc w:val="center"/>
              <w:rPr>
                <w:rFonts w:hint="eastAsia" w:ascii="宋体" w:hAnsi="宋体" w:eastAsia="宋体" w:cs="宋体"/>
                <w:color w:val="000000"/>
                <w:kern w:val="0"/>
                <w:sz w:val="22"/>
                <w:highlight w:val="none"/>
              </w:rPr>
            </w:pPr>
          </w:p>
        </w:tc>
        <w:tc>
          <w:tcPr>
            <w:tcW w:w="417" w:type="pct"/>
            <w:shd w:val="clear" w:color="auto" w:fill="auto"/>
            <w:vAlign w:val="center"/>
          </w:tcPr>
          <w:p w14:paraId="12E0300A">
            <w:pPr>
              <w:widowControl/>
              <w:jc w:val="center"/>
              <w:rPr>
                <w:rFonts w:hint="default" w:ascii="宋体" w:hAnsi="宋体" w:eastAsia="宋体" w:cs="宋体"/>
                <w:color w:val="000000"/>
                <w:kern w:val="0"/>
                <w:sz w:val="22"/>
                <w:highlight w:val="none"/>
                <w:lang w:val="en-US" w:eastAsia="zh-CN"/>
              </w:rPr>
            </w:pPr>
          </w:p>
        </w:tc>
        <w:tc>
          <w:tcPr>
            <w:tcW w:w="2568" w:type="pct"/>
            <w:shd w:val="clear" w:color="auto" w:fill="auto"/>
            <w:vAlign w:val="center"/>
          </w:tcPr>
          <w:p w14:paraId="506E1197">
            <w:pPr>
              <w:widowControl/>
              <w:jc w:val="left"/>
              <w:rPr>
                <w:rFonts w:hint="default" w:ascii="宋体" w:hAnsi="宋体" w:eastAsia="宋体" w:cs="宋体"/>
                <w:color w:val="000000"/>
                <w:kern w:val="0"/>
                <w:sz w:val="22"/>
                <w:highlight w:val="none"/>
                <w:lang w:val="en-US" w:eastAsia="zh-CN"/>
              </w:rPr>
            </w:pPr>
            <w:r>
              <w:rPr>
                <w:rFonts w:hint="eastAsia" w:ascii="宋体" w:hAnsi="宋体" w:eastAsia="宋体" w:cs="宋体"/>
                <w:color w:val="000000"/>
                <w:kern w:val="0"/>
                <w:sz w:val="22"/>
                <w:highlight w:val="none"/>
                <w:lang w:val="en-US" w:eastAsia="zh-CN"/>
              </w:rPr>
              <w:t>限定性捐赠项目管理费，一般按照项目到账金额的8%提取。</w:t>
            </w:r>
          </w:p>
        </w:tc>
      </w:tr>
      <w:tr w14:paraId="392D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97" w:type="pct"/>
            <w:gridSpan w:val="2"/>
            <w:shd w:val="clear" w:color="auto" w:fill="auto"/>
            <w:noWrap/>
            <w:vAlign w:val="center"/>
          </w:tcPr>
          <w:p w14:paraId="4EE5FD88">
            <w:pPr>
              <w:widowControl/>
              <w:jc w:val="center"/>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合计</w:t>
            </w:r>
          </w:p>
        </w:tc>
        <w:tc>
          <w:tcPr>
            <w:tcW w:w="356" w:type="pct"/>
            <w:shd w:val="clear" w:color="auto" w:fill="auto"/>
            <w:noWrap/>
            <w:vAlign w:val="center"/>
          </w:tcPr>
          <w:p w14:paraId="57672E8F">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37" w:type="pct"/>
            <w:shd w:val="clear" w:color="auto" w:fill="auto"/>
            <w:noWrap/>
            <w:vAlign w:val="center"/>
          </w:tcPr>
          <w:p w14:paraId="6CDA0F74">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322" w:type="pct"/>
            <w:shd w:val="clear" w:color="auto" w:fill="auto"/>
            <w:noWrap/>
            <w:vAlign w:val="center"/>
          </w:tcPr>
          <w:p w14:paraId="60DCD740">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417" w:type="pct"/>
            <w:shd w:val="clear" w:color="auto" w:fill="auto"/>
            <w:noWrap/>
            <w:vAlign w:val="center"/>
          </w:tcPr>
          <w:p w14:paraId="75748232">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c>
          <w:tcPr>
            <w:tcW w:w="2568" w:type="pct"/>
            <w:shd w:val="clear" w:color="auto" w:fill="auto"/>
            <w:noWrap/>
            <w:vAlign w:val="center"/>
          </w:tcPr>
          <w:p w14:paraId="1DC5FC6B">
            <w:pPr>
              <w:widowControl/>
              <w:jc w:val="left"/>
              <w:rPr>
                <w:rFonts w:hint="eastAsia" w:ascii="宋体" w:hAnsi="宋体" w:eastAsia="宋体" w:cs="宋体"/>
                <w:color w:val="000000"/>
                <w:kern w:val="0"/>
                <w:sz w:val="22"/>
                <w:highlight w:val="none"/>
              </w:rPr>
            </w:pPr>
            <w:r>
              <w:rPr>
                <w:rFonts w:hint="eastAsia" w:ascii="宋体" w:hAnsi="宋体" w:eastAsia="宋体" w:cs="宋体"/>
                <w:color w:val="000000"/>
                <w:kern w:val="0"/>
                <w:sz w:val="22"/>
                <w:highlight w:val="none"/>
              </w:rPr>
              <w:t>　</w:t>
            </w:r>
          </w:p>
        </w:tc>
      </w:tr>
    </w:tbl>
    <w:p w14:paraId="40CCDA9A">
      <w:pPr>
        <w:spacing w:line="560" w:lineRule="exact"/>
        <w:rPr>
          <w:rFonts w:hint="eastAsia" w:eastAsia="仿宋"/>
          <w:highlight w:val="none"/>
        </w:rPr>
      </w:pPr>
    </w:p>
    <w:p w14:paraId="5BF37450">
      <w:pPr>
        <w:widowControl/>
        <w:jc w:val="left"/>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699B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8D17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A8D17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6E3666"/>
    <w:rsid w:val="166E3666"/>
    <w:rsid w:val="1CBF7F4B"/>
    <w:rsid w:val="27DF5E53"/>
    <w:rsid w:val="38E9222E"/>
    <w:rsid w:val="61A10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EastAsia" w:hAnsiTheme="minorEastAsia" w:eastAsiaTheme="minorEastAsia" w:cstheme="minorEastAsia"/>
      <w:kern w:val="2"/>
      <w:sz w:val="3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1155</Words>
  <Characters>1179</Characters>
  <Lines>0</Lines>
  <Paragraphs>0</Paragraphs>
  <TotalTime>0</TotalTime>
  <ScaleCrop>false</ScaleCrop>
  <LinksUpToDate>false</LinksUpToDate>
  <CharactersWithSpaces>1337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2024-12-10T01:39:00Z</dcterms:created>
  <dc:creator>王璐</dc:creator>
  <cp:lastModifiedBy>郑雨竹</cp:lastModifiedBy>
  <dcterms:modified xsi:type="dcterms:W3CDTF">2026-09-21T09:30:24Z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F82209373C3540138222B724B6D908BC_11</vt:lpwstr>
  </property>
  <property fmtid="{D5CDD505-2E9C-101B-9397-08002B2CF9AE}" pid="4" name="KSOTemplateDocerSaveRecord">
    <vt:lpwstr>eyJoZGlkIjoiNDNhNGMxYmQzZGI0NWMyYzM3MmEwOTk3YjBjMmJhZmEiLCJ1c2VySWQiOiIyMDMyNzA2MjUifQ==</vt:lpwstr>
  </property>
</Properties>
</file>