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9"/>
        <w:rPr>
          <w:rFonts w:eastAsia="黑体"/>
          <w:sz w:val="84"/>
        </w:rPr>
      </w:pPr>
      <w:bookmarkStart w:id="0" w:name="_Toc216619175"/>
      <w:bookmarkStart w:id="1" w:name="_Toc414445718"/>
      <w:bookmarkStart w:id="2" w:name="_Toc219467631"/>
      <w:bookmarkStart w:id="3" w:name="_Toc217996594"/>
      <w:bookmarkStart w:id="4" w:name="_Toc216702787"/>
      <w:bookmarkStart w:id="5" w:name="_Toc195921780"/>
      <w:r>
        <w:drawing>
          <wp:anchor distT="0" distB="0" distL="114300" distR="114300" simplePos="0" relativeHeight="251659264" behindDoc="1" locked="0" layoutInCell="1" allowOverlap="1">
            <wp:simplePos x="0" y="0"/>
            <wp:positionH relativeFrom="column">
              <wp:posOffset>-91440</wp:posOffset>
            </wp:positionH>
            <wp:positionV relativeFrom="paragraph">
              <wp:posOffset>129540</wp:posOffset>
            </wp:positionV>
            <wp:extent cx="1724025" cy="619125"/>
            <wp:effectExtent l="0" t="0" r="0" b="0"/>
            <wp:wrapTight wrapText="bothSides">
              <wp:wrapPolygon>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pPr>
        <w:jc w:val="center"/>
        <w:rPr>
          <w:rFonts w:eastAsia="黑体"/>
          <w:b/>
          <w:bCs/>
          <w:sz w:val="48"/>
          <w:szCs w:val="48"/>
        </w:rPr>
      </w:pPr>
    </w:p>
    <w:p>
      <w:pPr>
        <w:jc w:val="center"/>
        <w:rPr>
          <w:rFonts w:eastAsia="黑体"/>
          <w:b/>
          <w:bCs/>
          <w:sz w:val="48"/>
          <w:szCs w:val="48"/>
        </w:rPr>
      </w:pPr>
      <w:r>
        <w:rPr>
          <w:rFonts w:eastAsia="黑体"/>
          <w:b/>
          <w:bCs/>
          <w:sz w:val="48"/>
          <w:szCs w:val="48"/>
        </w:rPr>
        <w:t>政府采购竞争性谈判</w:t>
      </w:r>
    </w:p>
    <w:p>
      <w:pPr>
        <w:jc w:val="center"/>
        <w:rPr>
          <w:rFonts w:eastAsia="黑体"/>
          <w:b/>
          <w:bCs/>
          <w:sz w:val="48"/>
          <w:szCs w:val="48"/>
        </w:rPr>
      </w:pPr>
    </w:p>
    <w:p>
      <w:pPr>
        <w:jc w:val="center"/>
        <w:rPr>
          <w:rFonts w:eastAsia="黑体"/>
          <w:b/>
          <w:bCs/>
          <w:sz w:val="84"/>
        </w:rPr>
      </w:pPr>
      <w:r>
        <w:rPr>
          <w:rFonts w:hint="eastAsia" w:eastAsia="黑体"/>
          <w:b/>
          <w:bCs/>
          <w:sz w:val="84"/>
        </w:rPr>
        <w:t>谈判文件</w:t>
      </w:r>
    </w:p>
    <w:p>
      <w:pPr>
        <w:adjustRightInd w:val="0"/>
        <w:jc w:val="center"/>
        <w:textAlignment w:val="baseline"/>
        <w:rPr>
          <w:b/>
          <w:bCs/>
          <w:sz w:val="36"/>
        </w:rPr>
      </w:pPr>
    </w:p>
    <w:p>
      <w:pPr>
        <w:adjustRightInd w:val="0"/>
        <w:jc w:val="center"/>
        <w:textAlignment w:val="baseline"/>
        <w:rPr>
          <w:b/>
          <w:bCs/>
          <w:sz w:val="36"/>
        </w:rPr>
      </w:pPr>
      <w:r>
        <w:rPr>
          <w:rFonts w:hint="eastAsia"/>
          <w:b/>
          <w:bCs/>
          <w:sz w:val="36"/>
        </w:rPr>
        <w:t>（货物类）</w:t>
      </w:r>
    </w:p>
    <w:p>
      <w:pPr>
        <w:adjustRightInd w:val="0"/>
        <w:ind w:firstLine="1084" w:firstLineChars="300"/>
        <w:jc w:val="left"/>
        <w:textAlignment w:val="baseline"/>
        <w:rPr>
          <w:b/>
          <w:bCs/>
          <w:sz w:val="36"/>
        </w:rPr>
      </w:pPr>
    </w:p>
    <w:p>
      <w:pPr>
        <w:adjustRightInd w:val="0"/>
        <w:ind w:firstLine="283" w:firstLineChars="88"/>
        <w:jc w:val="center"/>
        <w:textAlignment w:val="baseline"/>
        <w:rPr>
          <w:b/>
          <w:bCs/>
          <w:sz w:val="32"/>
          <w:szCs w:val="32"/>
        </w:rPr>
      </w:pPr>
      <w:r>
        <w:rPr>
          <w:rFonts w:hint="eastAsia"/>
          <w:b/>
          <w:bCs/>
          <w:sz w:val="32"/>
          <w:szCs w:val="32"/>
        </w:rPr>
        <w:t>项目编号：</w:t>
      </w:r>
      <w:r>
        <w:rPr>
          <w:b/>
          <w:bCs/>
          <w:sz w:val="32"/>
          <w:szCs w:val="32"/>
        </w:rPr>
        <w:t>CMEETC-227XO133KK25</w:t>
      </w:r>
    </w:p>
    <w:p>
      <w:pPr>
        <w:adjustRightInd w:val="0"/>
        <w:ind w:firstLine="283" w:firstLineChars="88"/>
        <w:jc w:val="left"/>
        <w:textAlignment w:val="baseline"/>
        <w:rPr>
          <w:b/>
          <w:bCs/>
          <w:sz w:val="32"/>
          <w:szCs w:val="32"/>
        </w:rPr>
      </w:pPr>
      <w:r>
        <w:rPr>
          <w:rFonts w:hint="eastAsia"/>
          <w:b/>
          <w:bCs/>
          <w:sz w:val="32"/>
          <w:szCs w:val="32"/>
        </w:rPr>
        <w:t>项目名称：中国劳动关系学院北京校区四六级广播设备购置项目</w:t>
      </w:r>
    </w:p>
    <w:p>
      <w:pPr>
        <w:adjustRightInd w:val="0"/>
        <w:ind w:firstLine="2570" w:firstLineChars="800"/>
        <w:jc w:val="left"/>
        <w:textAlignment w:val="baseline"/>
        <w:rPr>
          <w:b/>
          <w:bCs/>
          <w:sz w:val="32"/>
          <w:szCs w:val="32"/>
          <w:lang w:val="zh-CN"/>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autoSpaceDE w:val="0"/>
        <w:autoSpaceDN w:val="0"/>
        <w:adjustRightInd w:val="0"/>
        <w:snapToGrid w:val="0"/>
        <w:spacing w:after="156" w:afterLines="50"/>
        <w:jc w:val="center"/>
        <w:rPr>
          <w:rFonts w:ascii="宋体" w:hAnsi="宋体" w:cs="黑体"/>
          <w:kern w:val="0"/>
          <w:sz w:val="32"/>
          <w:szCs w:val="32"/>
        </w:rPr>
      </w:pPr>
    </w:p>
    <w:p>
      <w:pPr>
        <w:tabs>
          <w:tab w:val="left" w:pos="2660"/>
        </w:tabs>
        <w:autoSpaceDE w:val="0"/>
        <w:autoSpaceDN w:val="0"/>
        <w:adjustRightInd w:val="0"/>
        <w:snapToGrid w:val="0"/>
        <w:spacing w:after="156" w:afterLines="50"/>
        <w:ind w:firstLine="964" w:firstLineChars="300"/>
        <w:jc w:val="left"/>
        <w:rPr>
          <w:b/>
          <w:bCs/>
          <w:sz w:val="32"/>
          <w:szCs w:val="32"/>
        </w:rPr>
      </w:pPr>
      <w:r>
        <w:rPr>
          <w:rFonts w:hint="eastAsia"/>
          <w:b/>
          <w:bCs/>
          <w:sz w:val="32"/>
          <w:szCs w:val="32"/>
        </w:rPr>
        <w:t>采   购   人：中国劳动关系学院</w:t>
      </w:r>
    </w:p>
    <w:p>
      <w:pPr>
        <w:tabs>
          <w:tab w:val="left" w:pos="2660"/>
        </w:tabs>
        <w:autoSpaceDE w:val="0"/>
        <w:autoSpaceDN w:val="0"/>
        <w:adjustRightInd w:val="0"/>
        <w:snapToGrid w:val="0"/>
        <w:spacing w:after="156" w:afterLines="50"/>
        <w:ind w:firstLine="964" w:firstLineChars="300"/>
        <w:jc w:val="left"/>
        <w:rPr>
          <w:b/>
          <w:bCs/>
          <w:sz w:val="32"/>
          <w:szCs w:val="32"/>
        </w:rPr>
      </w:pPr>
      <w:r>
        <w:rPr>
          <w:rFonts w:hint="eastAsia"/>
          <w:b/>
          <w:bCs/>
          <w:sz w:val="32"/>
          <w:szCs w:val="32"/>
        </w:rPr>
        <w:t>采购代理机构：中国机电工程招标有限公司</w:t>
      </w:r>
    </w:p>
    <w:p>
      <w:pPr>
        <w:autoSpaceDE w:val="0"/>
        <w:autoSpaceDN w:val="0"/>
        <w:adjustRightInd w:val="0"/>
        <w:snapToGrid w:val="0"/>
        <w:spacing w:after="156" w:afterLines="50"/>
        <w:ind w:firstLine="3213" w:firstLineChars="1000"/>
        <w:rPr>
          <w:rFonts w:ascii="宋体" w:hAnsi="宋体" w:cs="黑体"/>
          <w:kern w:val="0"/>
          <w:sz w:val="32"/>
          <w:szCs w:val="32"/>
        </w:rPr>
      </w:pPr>
      <w:r>
        <w:rPr>
          <w:rFonts w:hint="eastAsia"/>
          <w:b/>
          <w:bCs/>
          <w:sz w:val="32"/>
          <w:szCs w:val="32"/>
        </w:rPr>
        <w:t>202</w:t>
      </w:r>
      <w:r>
        <w:rPr>
          <w:b/>
          <w:bCs/>
          <w:sz w:val="32"/>
          <w:szCs w:val="32"/>
        </w:rPr>
        <w:t>2</w:t>
      </w:r>
      <w:r>
        <w:rPr>
          <w:rFonts w:hint="eastAsia"/>
          <w:b/>
          <w:bCs/>
          <w:sz w:val="32"/>
          <w:szCs w:val="32"/>
        </w:rPr>
        <w:t>年</w:t>
      </w:r>
      <w:r>
        <w:rPr>
          <w:b/>
          <w:bCs/>
          <w:sz w:val="32"/>
          <w:szCs w:val="32"/>
        </w:rPr>
        <w:t>3</w:t>
      </w:r>
      <w:r>
        <w:rPr>
          <w:rFonts w:hint="eastAsia"/>
          <w:b/>
          <w:bCs/>
          <w:sz w:val="32"/>
          <w:szCs w:val="32"/>
        </w:rPr>
        <w:t>月</w:t>
      </w:r>
      <w:r>
        <w:rPr>
          <w:rFonts w:ascii="宋体" w:hAnsi="宋体" w:cs="黑体"/>
          <w:kern w:val="0"/>
          <w:sz w:val="32"/>
          <w:szCs w:val="32"/>
        </w:rPr>
        <w:br w:type="page"/>
      </w:r>
    </w:p>
    <w:p>
      <w:pPr>
        <w:autoSpaceDE w:val="0"/>
        <w:autoSpaceDN w:val="0"/>
        <w:adjustRightInd w:val="0"/>
        <w:snapToGrid w:val="0"/>
        <w:spacing w:after="156" w:afterLines="50"/>
        <w:jc w:val="center"/>
        <w:outlineLvl w:val="0"/>
        <w:rPr>
          <w:rFonts w:ascii="宋体" w:hAnsi="宋体" w:cs="黑体"/>
          <w:b/>
          <w:bCs/>
          <w:kern w:val="0"/>
          <w:sz w:val="48"/>
          <w:szCs w:val="48"/>
        </w:rPr>
      </w:pPr>
      <w:bookmarkStart w:id="6" w:name="_Toc61594734"/>
      <w:r>
        <w:rPr>
          <w:rFonts w:hint="eastAsia" w:ascii="宋体" w:hAnsi="宋体" w:cs="黑体"/>
          <w:b/>
          <w:bCs/>
          <w:kern w:val="0"/>
          <w:sz w:val="48"/>
          <w:szCs w:val="48"/>
        </w:rPr>
        <w:t>目录</w:t>
      </w:r>
      <w:bookmarkEnd w:id="6"/>
    </w:p>
    <w:sdt>
      <w:sdtPr>
        <w:rPr>
          <w:rFonts w:ascii="Times New Roman" w:hAnsi="Times New Roman" w:eastAsia="宋体" w:cs="Times New Roman"/>
          <w:color w:val="auto"/>
          <w:kern w:val="2"/>
          <w:sz w:val="21"/>
          <w:szCs w:val="24"/>
          <w:lang w:val="zh-CN"/>
        </w:rPr>
        <w:id w:val="97101649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430"/>
            <w:rPr>
              <w:color w:val="auto"/>
            </w:rPr>
          </w:pPr>
        </w:p>
        <w:p>
          <w:pPr>
            <w:pStyle w:val="50"/>
            <w:rPr>
              <w:rFonts w:asciiTheme="minorHAnsi" w:hAnsiTheme="minorHAnsi" w:eastAsiaTheme="minorEastAsia" w:cstheme="minorBidi"/>
              <w:b w:val="0"/>
              <w:bCs w:val="0"/>
              <w:iCs w:val="0"/>
              <w:caps w:val="0"/>
              <w:kern w:val="2"/>
              <w:sz w:val="21"/>
              <w:szCs w:val="22"/>
            </w:rPr>
          </w:pPr>
          <w:r>
            <w:fldChar w:fldCharType="begin"/>
          </w:r>
          <w:r>
            <w:instrText xml:space="preserve"> TOC \o "1-3" \h \z \u </w:instrText>
          </w:r>
          <w:r>
            <w:fldChar w:fldCharType="separate"/>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"_Toc61594735" </w:instrText>
          </w:r>
          <w:r>
            <w:fldChar w:fldCharType="separate"/>
          </w:r>
          <w:r>
            <w:rPr>
              <w:rStyle w:val="81"/>
              <w:rFonts w:ascii="宋体" w:hAnsi="宋体" w:cs="黑体"/>
              <w:color w:val="auto"/>
              <w:sz w:val="24"/>
              <w:szCs w:val="24"/>
            </w:rPr>
            <w:t>第一章 竞争性谈判公告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_Toc61594735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"_Toc61594736" </w:instrText>
          </w:r>
          <w:r>
            <w:fldChar w:fldCharType="separate"/>
          </w:r>
          <w:r>
            <w:rPr>
              <w:rStyle w:val="81"/>
              <w:rFonts w:ascii="宋体" w:hAnsi="宋体" w:cs="黑体"/>
              <w:color w:val="auto"/>
              <w:sz w:val="24"/>
              <w:szCs w:val="24"/>
            </w:rPr>
            <w:t>第二章 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_Toc61594736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"_Toc61594752" </w:instrText>
          </w:r>
          <w:r>
            <w:fldChar w:fldCharType="separate"/>
          </w:r>
          <w:r>
            <w:rPr>
              <w:rStyle w:val="81"/>
              <w:rFonts w:ascii="宋体" w:hAnsi="宋体" w:cs="黑体"/>
              <w:color w:val="auto"/>
              <w:sz w:val="24"/>
              <w:szCs w:val="24"/>
            </w:rPr>
            <w:t>第三章 评审办法和标准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_Toc61594752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"_Toc61594758" </w:instrText>
          </w:r>
          <w:r>
            <w:fldChar w:fldCharType="separate"/>
          </w:r>
          <w:r>
            <w:rPr>
              <w:rStyle w:val="81"/>
              <w:rFonts w:ascii="宋体" w:hAnsi="宋体" w:cs="宋体"/>
              <w:color w:val="auto"/>
              <w:sz w:val="24"/>
              <w:szCs w:val="24"/>
            </w:rPr>
            <w:t>第四章</w:t>
          </w:r>
          <w:r>
            <w:rPr>
              <w:rStyle w:val="81"/>
              <w:rFonts w:hint="eastAsia" w:ascii="宋体" w:hAnsi="宋体" w:cs="宋体"/>
              <w:color w:val="auto"/>
              <w:sz w:val="24"/>
              <w:szCs w:val="24"/>
            </w:rPr>
            <w:t xml:space="preserve"> </w:t>
          </w:r>
          <w:r>
            <w:rPr>
              <w:rStyle w:val="81"/>
              <w:rFonts w:ascii="宋体" w:hAnsi="宋体" w:cs="宋体"/>
              <w:color w:val="auto"/>
              <w:sz w:val="24"/>
              <w:szCs w:val="24"/>
            </w:rPr>
            <w:t>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_Toc61594758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cstheme="minorBidi"/>
              <w:b w:val="0"/>
              <w:bCs w:val="0"/>
              <w:iCs w:val="0"/>
              <w:caps w:val="0"/>
              <w:kern w:val="2"/>
              <w:sz w:val="24"/>
              <w:szCs w:val="24"/>
            </w:rPr>
          </w:pPr>
          <w:r>
            <w:fldChar w:fldCharType="begin"/>
          </w:r>
          <w:r>
            <w:instrText xml:space="preserve"> HYPERLINK \l "_Toc61594801" </w:instrText>
          </w:r>
          <w:r>
            <w:fldChar w:fldCharType="separate"/>
          </w:r>
          <w:r>
            <w:rPr>
              <w:rStyle w:val="81"/>
              <w:rFonts w:ascii="宋体" w:hAnsi="宋体"/>
              <w:color w:val="auto"/>
              <w:sz w:val="24"/>
              <w:szCs w:val="24"/>
            </w:rPr>
            <w:t>第五章</w:t>
          </w:r>
          <w:r>
            <w:rPr>
              <w:rStyle w:val="81"/>
              <w:rFonts w:hint="eastAsia" w:ascii="宋体" w:hAnsi="宋体"/>
              <w:color w:val="auto"/>
              <w:sz w:val="24"/>
              <w:szCs w:val="24"/>
            </w:rPr>
            <w:t xml:space="preserve"> </w:t>
          </w:r>
          <w:r>
            <w:rPr>
              <w:rStyle w:val="81"/>
              <w:rFonts w:ascii="宋体" w:hAnsi="宋体"/>
              <w:color w:val="auto"/>
              <w:sz w:val="24"/>
              <w:szCs w:val="24"/>
            </w:rPr>
            <w:t>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_Toc61594801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Theme="minorHAnsi" w:hAnsiTheme="minorHAnsi" w:eastAsiaTheme="minorEastAsia" w:cstheme="minorBidi"/>
              <w:b w:val="0"/>
              <w:bCs w:val="0"/>
              <w:iCs w:val="0"/>
              <w:caps w:val="0"/>
              <w:kern w:val="2"/>
              <w:sz w:val="21"/>
              <w:szCs w:val="22"/>
            </w:rPr>
          </w:pPr>
          <w:r>
            <w:fldChar w:fldCharType="begin"/>
          </w:r>
          <w:r>
            <w:instrText xml:space="preserve"> HYPERLINK \l "_Toc61594802" </w:instrText>
          </w:r>
          <w:r>
            <w:fldChar w:fldCharType="separate"/>
          </w:r>
          <w:r>
            <w:rPr>
              <w:rStyle w:val="81"/>
              <w:rFonts w:ascii="宋体" w:hAnsi="宋体"/>
              <w:color w:val="auto"/>
              <w:sz w:val="24"/>
              <w:szCs w:val="24"/>
            </w:rPr>
            <w:t>第六章</w:t>
          </w:r>
          <w:r>
            <w:rPr>
              <w:rStyle w:val="81"/>
              <w:rFonts w:hint="eastAsia" w:ascii="宋体" w:hAnsi="宋体"/>
              <w:color w:val="auto"/>
              <w:sz w:val="24"/>
              <w:szCs w:val="24"/>
            </w:rPr>
            <w:t xml:space="preserve"> </w:t>
          </w:r>
          <w:r>
            <w:rPr>
              <w:rStyle w:val="81"/>
              <w:rFonts w:ascii="宋体" w:hAnsi="宋体"/>
              <w:color w:val="auto"/>
              <w:sz w:val="24"/>
              <w:szCs w:val="24"/>
            </w:rPr>
            <w:t>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_Toc61594802 \h </w:instrText>
          </w:r>
          <w:r>
            <w:rPr>
              <w:rFonts w:ascii="宋体" w:hAnsi="宋体"/>
              <w:sz w:val="24"/>
              <w:szCs w:val="24"/>
            </w:rPr>
            <w:fldChar w:fldCharType="separate"/>
          </w:r>
          <w:r>
            <w:rPr>
              <w:rFonts w:ascii="宋体" w:hAnsi="宋体"/>
              <w:sz w:val="24"/>
              <w:szCs w:val="24"/>
            </w:rPr>
            <w:t>46</w:t>
          </w:r>
          <w:r>
            <w:rPr>
              <w:rFonts w:ascii="宋体" w:hAnsi="宋体"/>
              <w:sz w:val="24"/>
              <w:szCs w:val="24"/>
            </w:rPr>
            <w:fldChar w:fldCharType="end"/>
          </w:r>
          <w:r>
            <w:rPr>
              <w:rFonts w:ascii="宋体" w:hAnsi="宋体"/>
              <w:sz w:val="24"/>
              <w:szCs w:val="24"/>
            </w:rPr>
            <w:fldChar w:fldCharType="end"/>
          </w:r>
        </w:p>
        <w:p>
          <w:r>
            <w:rPr>
              <w:b/>
              <w:bCs/>
              <w:lang w:val="zh-CN"/>
            </w:rPr>
            <w:fldChar w:fldCharType="end"/>
          </w:r>
        </w:p>
      </w:sdtContent>
    </w:sdt>
    <w:p>
      <w:pPr>
        <w:rPr>
          <w:rFonts w:ascii="宋体" w:hAnsi="宋体" w:cs="黑体"/>
          <w:kern w:val="0"/>
          <w:sz w:val="32"/>
          <w:szCs w:val="32"/>
        </w:rPr>
      </w:pPr>
    </w:p>
    <w:p>
      <w:pPr>
        <w:autoSpaceDE w:val="0"/>
        <w:autoSpaceDN w:val="0"/>
        <w:adjustRightInd w:val="0"/>
        <w:snapToGrid w:val="0"/>
        <w:spacing w:after="156" w:afterLines="50"/>
        <w:jc w:val="center"/>
        <w:outlineLvl w:val="0"/>
        <w:rPr>
          <w:rFonts w:ascii="宋体" w:hAnsi="宋体" w:cs="黑体"/>
          <w:kern w:val="0"/>
          <w:sz w:val="32"/>
          <w:szCs w:val="32"/>
        </w:rPr>
        <w:sectPr>
          <w:footerReference r:id="rId3" w:type="default"/>
          <w:pgSz w:w="11906" w:h="16838"/>
          <w:pgMar w:top="1440" w:right="1247" w:bottom="1361" w:left="1247" w:header="851" w:footer="992" w:gutter="0"/>
          <w:cols w:space="720" w:num="1"/>
          <w:docGrid w:type="lines" w:linePitch="312" w:charSpace="0"/>
        </w:sectPr>
      </w:pP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7" w:name="_Toc61594735"/>
      <w:r>
        <w:rPr>
          <w:rFonts w:hint="eastAsia" w:ascii="宋体" w:hAnsi="宋体" w:cs="黑体"/>
          <w:b/>
          <w:bCs/>
          <w:kern w:val="0"/>
          <w:sz w:val="32"/>
          <w:szCs w:val="32"/>
        </w:rPr>
        <w:t>第一章 竞争性谈判公告</w:t>
      </w:r>
      <w:bookmarkEnd w:id="0"/>
      <w:bookmarkEnd w:id="1"/>
      <w:bookmarkEnd w:id="2"/>
      <w:bookmarkEnd w:id="3"/>
      <w:bookmarkEnd w:id="4"/>
      <w:bookmarkEnd w:id="7"/>
    </w:p>
    <w:p>
      <w:pPr>
        <w:numPr>
          <w:ilvl w:val="0"/>
          <w:numId w:val="1"/>
        </w:numPr>
        <w:tabs>
          <w:tab w:val="left" w:pos="709"/>
        </w:tabs>
        <w:autoSpaceDE w:val="0"/>
        <w:autoSpaceDN w:val="0"/>
        <w:adjustRightInd w:val="0"/>
        <w:snapToGrid w:val="0"/>
        <w:spacing w:after="156" w:afterLines="50" w:line="360" w:lineRule="auto"/>
        <w:ind w:left="709" w:hanging="709"/>
        <w:rPr>
          <w:rFonts w:ascii="宋体" w:hAnsi="宋体" w:cs="黑体"/>
          <w:kern w:val="0"/>
          <w:sz w:val="24"/>
        </w:rPr>
      </w:pPr>
      <w:r>
        <w:rPr>
          <w:rFonts w:hint="eastAsia" w:ascii="宋体" w:hAnsi="宋体" w:cs="黑体"/>
          <w:kern w:val="0"/>
          <w:sz w:val="24"/>
        </w:rPr>
        <w:t>受中国劳动关系学院（采购人名称）委托，中国机电工程招标有限公司对中国劳动关系学院北京校区四六级广播设备购置项目（项目编号：</w:t>
      </w:r>
      <w:r>
        <w:rPr>
          <w:rFonts w:ascii="宋体" w:hAnsi="宋体" w:cs="黑体"/>
          <w:kern w:val="0"/>
          <w:sz w:val="24"/>
        </w:rPr>
        <w:t>CMEETC-227XO133KK25</w:t>
      </w:r>
      <w:r>
        <w:rPr>
          <w:rFonts w:hint="eastAsia" w:ascii="宋体" w:hAnsi="宋体" w:cs="黑体"/>
          <w:kern w:val="0"/>
          <w:sz w:val="24"/>
        </w:rPr>
        <w:t>）以竞争性谈判采购方式组织采购，欢迎符合条件的供应商参加谈判。</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采购项目的名称、预算金额及最高限价</w:t>
      </w:r>
    </w:p>
    <w:p>
      <w:pPr>
        <w:spacing w:line="360" w:lineRule="auto"/>
        <w:ind w:left="420" w:firstLine="720" w:firstLineChars="300"/>
        <w:rPr>
          <w:rFonts w:ascii="宋体" w:hAnsi="宋体"/>
          <w:sz w:val="24"/>
        </w:rPr>
      </w:pPr>
      <w:r>
        <w:rPr>
          <w:rFonts w:hint="eastAsia" w:ascii="宋体" w:hAnsi="宋体"/>
          <w:sz w:val="24"/>
        </w:rPr>
        <w:t>采购项目名称：中国劳动关系学院北京校区四六级广播设备购置项目</w:t>
      </w:r>
    </w:p>
    <w:p>
      <w:pPr>
        <w:spacing w:line="360" w:lineRule="auto"/>
        <w:ind w:left="420" w:firstLine="720" w:firstLineChars="300"/>
        <w:rPr>
          <w:rFonts w:ascii="宋体" w:hAnsi="宋体"/>
          <w:sz w:val="24"/>
        </w:rPr>
      </w:pPr>
      <w:r>
        <w:rPr>
          <w:rFonts w:hint="eastAsia" w:ascii="宋体" w:hAnsi="宋体"/>
          <w:sz w:val="24"/>
        </w:rPr>
        <w:t>预算金额/最高限价：</w:t>
      </w:r>
      <w:r>
        <w:rPr>
          <w:rFonts w:ascii="宋体" w:hAnsi="宋体"/>
          <w:sz w:val="24"/>
        </w:rPr>
        <w:t>18.45</w:t>
      </w:r>
      <w:r>
        <w:rPr>
          <w:rFonts w:hint="eastAsia" w:ascii="宋体" w:hAnsi="宋体"/>
          <w:sz w:val="24"/>
        </w:rPr>
        <w:t>万元</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项目概况；</w:t>
      </w:r>
    </w:p>
    <w:p>
      <w:pPr>
        <w:spacing w:line="360" w:lineRule="auto"/>
        <w:ind w:left="420" w:firstLine="720" w:firstLineChars="300"/>
        <w:rPr>
          <w:rFonts w:ascii="宋体" w:hAnsi="宋体"/>
          <w:sz w:val="24"/>
        </w:rPr>
      </w:pPr>
      <w:r>
        <w:rPr>
          <w:rFonts w:hint="eastAsia"/>
          <w:sz w:val="24"/>
        </w:rPr>
        <w:t>采购项目名称：</w:t>
      </w:r>
      <w:r>
        <w:rPr>
          <w:rFonts w:hint="eastAsia" w:ascii="宋体" w:hAnsi="宋体"/>
          <w:sz w:val="24"/>
        </w:rPr>
        <w:t>中国劳动关系学院北京校区四六级广播设备购置项目</w:t>
      </w:r>
    </w:p>
    <w:p>
      <w:pPr>
        <w:spacing w:line="360" w:lineRule="auto"/>
        <w:ind w:left="420" w:firstLine="720" w:firstLineChars="300"/>
        <w:rPr>
          <w:sz w:val="24"/>
        </w:rPr>
      </w:pPr>
      <w:r>
        <w:rPr>
          <w:rFonts w:hint="eastAsia"/>
          <w:sz w:val="24"/>
        </w:rPr>
        <w:t xml:space="preserve">采购内容：为了保证英语四六级考试及其他考试项目的广播播放，特购置一批广播系统，为考场播放广播及听力测试提供保障。  </w:t>
      </w:r>
    </w:p>
    <w:p>
      <w:pPr>
        <w:spacing w:line="360" w:lineRule="auto"/>
        <w:ind w:left="420" w:firstLine="720" w:firstLineChars="300"/>
        <w:rPr>
          <w:sz w:val="24"/>
        </w:rPr>
      </w:pPr>
      <w:r>
        <w:rPr>
          <w:rFonts w:hint="eastAsia"/>
          <w:sz w:val="24"/>
        </w:rPr>
        <w:t>交货期：签订合同后的20个日历日内完成供货，30个日历日内完成安装调试。</w:t>
      </w:r>
    </w:p>
    <w:p>
      <w:pPr>
        <w:spacing w:line="360" w:lineRule="auto"/>
        <w:ind w:left="420" w:firstLine="720" w:firstLineChars="300"/>
        <w:rPr>
          <w:sz w:val="24"/>
        </w:rPr>
      </w:pPr>
      <w:r>
        <w:rPr>
          <w:rFonts w:hint="eastAsia"/>
          <w:sz w:val="24"/>
        </w:rPr>
        <w:t>交货地点：采购人指定地点。</w:t>
      </w:r>
    </w:p>
    <w:p>
      <w:pPr>
        <w:spacing w:line="360" w:lineRule="auto"/>
        <w:ind w:left="420" w:firstLine="720" w:firstLineChars="300"/>
        <w:rPr>
          <w:sz w:val="24"/>
        </w:rPr>
      </w:pPr>
      <w:r>
        <w:rPr>
          <w:rFonts w:hint="eastAsia"/>
          <w:sz w:val="24"/>
        </w:rPr>
        <w:t>质保期：</w:t>
      </w:r>
      <w:r>
        <w:rPr>
          <w:sz w:val="24"/>
        </w:rPr>
        <w:t>3</w:t>
      </w:r>
      <w:r>
        <w:rPr>
          <w:rFonts w:hint="eastAsia"/>
          <w:sz w:val="24"/>
        </w:rPr>
        <w:t>年。（自验收合格、双方签署验收书之日起开始计算）</w:t>
      </w:r>
    </w:p>
    <w:p>
      <w:pPr>
        <w:spacing w:line="360" w:lineRule="auto"/>
        <w:ind w:left="420" w:firstLine="720" w:firstLineChars="300"/>
        <w:rPr>
          <w:sz w:val="24"/>
        </w:rPr>
      </w:pPr>
      <w:r>
        <w:rPr>
          <w:rFonts w:hint="eastAsia"/>
          <w:sz w:val="24"/>
        </w:rPr>
        <w:t>是否接受进口产品：否。</w:t>
      </w:r>
    </w:p>
    <w:p>
      <w:pPr>
        <w:wordWrap w:val="0"/>
        <w:spacing w:line="360" w:lineRule="auto"/>
        <w:ind w:left="420" w:firstLine="720" w:firstLineChars="300"/>
        <w:jc w:val="left"/>
        <w:rPr>
          <w:sz w:val="24"/>
        </w:rPr>
      </w:pPr>
      <w:r>
        <w:rPr>
          <w:rFonts w:hint="eastAsia"/>
          <w:sz w:val="24"/>
        </w:rPr>
        <w:t>其他：供应商必须对谈判文件要求的所有</w:t>
      </w:r>
      <w:r>
        <w:rPr>
          <w:rFonts w:hint="eastAsia" w:ascii="宋体" w:hAnsi="宋体" w:cs="黑体"/>
          <w:kern w:val="0"/>
          <w:sz w:val="24"/>
        </w:rPr>
        <w:t>服务内容</w:t>
      </w:r>
      <w:r>
        <w:rPr>
          <w:rFonts w:hint="eastAsia"/>
          <w:sz w:val="24"/>
        </w:rPr>
        <w:t>进行响应，否则作为无效响应文件处理。</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采购项目执行政府采购政策</w:t>
      </w:r>
    </w:p>
    <w:p>
      <w:pPr>
        <w:numPr>
          <w:ilvl w:val="0"/>
          <w:numId w:val="2"/>
        </w:numPr>
        <w:spacing w:line="360" w:lineRule="auto"/>
        <w:ind w:left="1276" w:hanging="567"/>
        <w:rPr>
          <w:sz w:val="24"/>
        </w:rPr>
      </w:pPr>
      <w:r>
        <w:rPr>
          <w:rFonts w:hint="eastAsia"/>
          <w:sz w:val="24"/>
        </w:rPr>
        <w:t>对小微企业的产品给予价格扣除（监狱企业、残疾人福利性单位视同小微企业；残疾人福利性单位属于小型、微型企业的，不重复享受政策）；</w:t>
      </w:r>
    </w:p>
    <w:p>
      <w:pPr>
        <w:numPr>
          <w:ilvl w:val="0"/>
          <w:numId w:val="2"/>
        </w:numPr>
        <w:spacing w:line="360" w:lineRule="auto"/>
        <w:ind w:left="1276" w:hanging="567"/>
        <w:rPr>
          <w:sz w:val="24"/>
        </w:rPr>
      </w:pPr>
      <w:r>
        <w:rPr>
          <w:rFonts w:hint="eastAsia"/>
          <w:sz w:val="24"/>
        </w:rPr>
        <w:t>强制采购节能产品、优先采购环境标志产品（注：所采购的货物在采购期间内属于有效的“节能产品政府采购清单”、“环境标志产品政府采购清单”范围）。</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bookmarkStart w:id="8" w:name="_Hlk62027180"/>
      <w:r>
        <w:rPr>
          <w:rFonts w:hint="eastAsia" w:ascii="宋体" w:hAnsi="宋体" w:cs="黑体"/>
          <w:kern w:val="0"/>
          <w:sz w:val="24"/>
        </w:rPr>
        <w:t>供应商资格要求</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1.符合《中华人民共和国政府采购法》第二十二条（一）至（六）的规定，即：</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（1）具有独立承担民事责任的能力；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（2）具有良好的商业信誉和健全的财务会计制度；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（3）具有履行合同所必需的设备和专业技术能力；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（4）有依法缴纳税收和社会保障资金的良好记录；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pPr>
        <w:pStyle w:val="251"/>
        <w:tabs>
          <w:tab w:val="left" w:pos="709"/>
        </w:tabs>
        <w:autoSpaceDE w:val="0"/>
        <w:autoSpaceDN w:val="0"/>
        <w:adjustRightInd w:val="0"/>
        <w:snapToGrid w:val="0"/>
        <w:spacing w:line="360" w:lineRule="auto"/>
        <w:ind w:left="420" w:firstLine="0" w:firstLineChars="0"/>
        <w:jc w:val="left"/>
        <w:rPr>
          <w:rFonts w:ascii="宋体" w:hAnsi="宋体" w:cs="宋体"/>
          <w:sz w:val="24"/>
          <w:szCs w:val="24"/>
        </w:rPr>
      </w:pPr>
      <w:r>
        <w:rPr>
          <w:rFonts w:hint="eastAsia" w:ascii="宋体" w:hAnsi="宋体" w:cs="宋体"/>
          <w:sz w:val="24"/>
          <w:szCs w:val="24"/>
        </w:rPr>
        <w:t>（6）法律、行政法规规定的其他条件。</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.单位负责人为同一人或者存在控股、管理关系的不同单位，不得同时参加本项目的谈判。</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.本项目不得转包、分包。</w:t>
      </w:r>
    </w:p>
    <w:p>
      <w:pPr>
        <w:pStyle w:val="251"/>
        <w:autoSpaceDE w:val="0"/>
        <w:autoSpaceDN w:val="0"/>
        <w:adjustRightInd w:val="0"/>
        <w:snapToGrid w:val="0"/>
        <w:spacing w:line="360" w:lineRule="auto"/>
        <w:ind w:left="420" w:firstLine="0" w:firstLineChars="0"/>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本项目不接受联合体。</w:t>
      </w:r>
    </w:p>
    <w:bookmarkEnd w:id="8"/>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获取谈判文件的时间期限、地点、方式及售价</w:t>
      </w:r>
    </w:p>
    <w:p>
      <w:pPr>
        <w:tabs>
          <w:tab w:val="left" w:pos="709"/>
        </w:tabs>
        <w:autoSpaceDE w:val="0"/>
        <w:autoSpaceDN w:val="0"/>
        <w:adjustRightInd w:val="0"/>
        <w:snapToGrid w:val="0"/>
        <w:spacing w:line="360" w:lineRule="auto"/>
        <w:ind w:left="708" w:leftChars="337"/>
        <w:rPr>
          <w:rFonts w:ascii="宋体" w:hAnsi="宋体" w:cs="黑体"/>
          <w:kern w:val="0"/>
          <w:sz w:val="24"/>
        </w:rPr>
      </w:pPr>
      <w:r>
        <w:rPr>
          <w:rFonts w:hint="eastAsia" w:ascii="宋体" w:hAnsi="宋体" w:cs="黑体"/>
          <w:kern w:val="0"/>
          <w:sz w:val="24"/>
        </w:rPr>
        <w:t>凡有意参加谈判者，请于</w:t>
      </w:r>
      <w:r>
        <w:rPr>
          <w:rFonts w:ascii="宋体" w:hAnsi="宋体" w:cs="黑体"/>
          <w:kern w:val="0"/>
          <w:sz w:val="24"/>
        </w:rPr>
        <w:t>2022</w:t>
      </w:r>
      <w:r>
        <w:rPr>
          <w:rFonts w:hint="eastAsia" w:ascii="宋体" w:hAnsi="宋体" w:cs="黑体"/>
          <w:kern w:val="0"/>
          <w:sz w:val="24"/>
        </w:rPr>
        <w:t>年</w:t>
      </w:r>
      <w:r>
        <w:rPr>
          <w:rFonts w:ascii="宋体" w:hAnsi="宋体" w:cs="黑体"/>
          <w:kern w:val="0"/>
          <w:sz w:val="24"/>
        </w:rPr>
        <w:t>3</w:t>
      </w:r>
      <w:r>
        <w:rPr>
          <w:rFonts w:hint="eastAsia" w:ascii="宋体" w:hAnsi="宋体" w:cs="黑体"/>
          <w:kern w:val="0"/>
          <w:sz w:val="24"/>
        </w:rPr>
        <w:t>月</w:t>
      </w:r>
      <w:r>
        <w:rPr>
          <w:rFonts w:ascii="宋体" w:hAnsi="宋体" w:cs="黑体"/>
          <w:kern w:val="0"/>
          <w:sz w:val="24"/>
        </w:rPr>
        <w:t>11</w:t>
      </w:r>
      <w:r>
        <w:rPr>
          <w:rFonts w:hint="eastAsia" w:ascii="宋体" w:hAnsi="宋体" w:cs="黑体"/>
          <w:kern w:val="0"/>
          <w:sz w:val="24"/>
        </w:rPr>
        <w:t>日至</w:t>
      </w:r>
      <w:r>
        <w:rPr>
          <w:rFonts w:ascii="宋体" w:hAnsi="宋体" w:cs="黑体"/>
          <w:kern w:val="0"/>
          <w:sz w:val="24"/>
        </w:rPr>
        <w:t>2022</w:t>
      </w:r>
      <w:r>
        <w:rPr>
          <w:rFonts w:hint="eastAsia" w:ascii="宋体" w:hAnsi="宋体" w:cs="黑体"/>
          <w:kern w:val="0"/>
          <w:sz w:val="24"/>
        </w:rPr>
        <w:t>年</w:t>
      </w:r>
      <w:r>
        <w:rPr>
          <w:rFonts w:ascii="宋体" w:hAnsi="宋体" w:cs="黑体"/>
          <w:kern w:val="0"/>
          <w:sz w:val="24"/>
        </w:rPr>
        <w:t>3</w:t>
      </w:r>
      <w:r>
        <w:rPr>
          <w:rFonts w:hint="eastAsia" w:ascii="宋体" w:hAnsi="宋体" w:cs="黑体"/>
          <w:kern w:val="0"/>
          <w:sz w:val="24"/>
        </w:rPr>
        <w:t>月</w:t>
      </w:r>
      <w:r>
        <w:rPr>
          <w:rFonts w:ascii="宋体" w:hAnsi="宋体" w:cs="黑体"/>
          <w:kern w:val="0"/>
          <w:sz w:val="24"/>
        </w:rPr>
        <w:t>15</w:t>
      </w:r>
      <w:r>
        <w:rPr>
          <w:rFonts w:hint="eastAsia" w:ascii="宋体" w:hAnsi="宋体" w:cs="黑体"/>
          <w:kern w:val="0"/>
          <w:sz w:val="24"/>
        </w:rPr>
        <w:t>日（每日9:00-11:30，13:30-</w:t>
      </w:r>
      <w:r>
        <w:rPr>
          <w:rFonts w:ascii="宋体" w:hAnsi="宋体" w:cs="黑体"/>
          <w:kern w:val="0"/>
          <w:sz w:val="24"/>
        </w:rPr>
        <w:t>17</w:t>
      </w:r>
      <w:r>
        <w:rPr>
          <w:rFonts w:hint="eastAsia" w:ascii="宋体" w:hAnsi="宋体" w:cs="黑体"/>
          <w:kern w:val="0"/>
          <w:sz w:val="24"/>
        </w:rPr>
        <w:t>:00，周六、周日及法定节假日除外），至北京市海淀区车公庄西路乙19号华通大厦B座南塔14层获取谈判文件。</w:t>
      </w:r>
    </w:p>
    <w:p>
      <w:pPr>
        <w:tabs>
          <w:tab w:val="left" w:pos="709"/>
        </w:tabs>
        <w:autoSpaceDE w:val="0"/>
        <w:autoSpaceDN w:val="0"/>
        <w:adjustRightInd w:val="0"/>
        <w:snapToGrid w:val="0"/>
        <w:spacing w:line="360" w:lineRule="auto"/>
        <w:ind w:left="708" w:leftChars="337"/>
        <w:rPr>
          <w:rFonts w:ascii="宋体" w:hAnsi="宋体" w:cs="黑体"/>
          <w:kern w:val="0"/>
          <w:sz w:val="24"/>
        </w:rPr>
      </w:pPr>
      <w:r>
        <w:rPr>
          <w:rFonts w:hint="eastAsia" w:ascii="宋体" w:hAnsi="宋体" w:cs="黑体"/>
          <w:kern w:val="0"/>
          <w:sz w:val="24"/>
        </w:rPr>
        <w:t>谈判文件售价：人民币</w:t>
      </w:r>
      <w:r>
        <w:rPr>
          <w:rFonts w:ascii="宋体" w:hAnsi="宋体" w:cs="黑体"/>
          <w:kern w:val="0"/>
          <w:sz w:val="24"/>
        </w:rPr>
        <w:t>300</w:t>
      </w:r>
      <w:r>
        <w:rPr>
          <w:rFonts w:hint="eastAsia" w:ascii="宋体" w:hAnsi="宋体" w:cs="黑体"/>
          <w:kern w:val="0"/>
          <w:sz w:val="24"/>
        </w:rPr>
        <w:t>元（/包），售后不退。</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公告发布媒介及公告期限</w:t>
      </w:r>
    </w:p>
    <w:p>
      <w:pPr>
        <w:tabs>
          <w:tab w:val="left" w:pos="709"/>
        </w:tabs>
        <w:autoSpaceDE w:val="0"/>
        <w:autoSpaceDN w:val="0"/>
        <w:adjustRightInd w:val="0"/>
        <w:snapToGrid w:val="0"/>
        <w:spacing w:after="156" w:afterLines="50"/>
        <w:ind w:left="708" w:leftChars="337"/>
        <w:rPr>
          <w:rFonts w:ascii="宋体" w:hAnsi="宋体" w:cs="黑体"/>
          <w:kern w:val="0"/>
          <w:sz w:val="24"/>
        </w:rPr>
      </w:pPr>
      <w:r>
        <w:rPr>
          <w:rFonts w:hint="eastAsia" w:ascii="宋体" w:hAnsi="宋体" w:cs="黑体"/>
          <w:kern w:val="0"/>
          <w:sz w:val="24"/>
        </w:rPr>
        <w:t>本竞争性谈判公告在中国政府采购网（</w:t>
      </w:r>
      <w:r>
        <w:fldChar w:fldCharType="begin"/>
      </w:r>
      <w:r>
        <w:instrText xml:space="preserve"> HYPERLINK "http://www.ccgp.gov.cn）、" </w:instrText>
      </w:r>
      <w:r>
        <w:fldChar w:fldCharType="separate"/>
      </w:r>
      <w:r>
        <w:rPr>
          <w:rStyle w:val="81"/>
          <w:rFonts w:hint="eastAsia" w:ascii="宋体" w:hAnsi="宋体" w:cs="黑体"/>
          <w:color w:val="auto"/>
          <w:kern w:val="0"/>
          <w:sz w:val="24"/>
        </w:rPr>
        <w:t>www.ccgp.gov.cn）</w:t>
      </w:r>
      <w:r>
        <w:rPr>
          <w:rStyle w:val="81"/>
          <w:rFonts w:hint="eastAsia" w:ascii="宋体" w:hAnsi="宋体" w:cs="黑体"/>
          <w:color w:val="auto"/>
          <w:kern w:val="0"/>
          <w:sz w:val="24"/>
        </w:rPr>
        <w:fldChar w:fldCharType="end"/>
      </w:r>
      <w:r>
        <w:rPr>
          <w:rFonts w:hint="eastAsia" w:ascii="宋体" w:hAnsi="宋体" w:cs="黑体"/>
          <w:kern w:val="0"/>
          <w:sz w:val="24"/>
        </w:rPr>
        <w:t>上发布。</w:t>
      </w:r>
    </w:p>
    <w:p>
      <w:pPr>
        <w:autoSpaceDE w:val="0"/>
        <w:autoSpaceDN w:val="0"/>
        <w:adjustRightInd w:val="0"/>
        <w:snapToGrid w:val="0"/>
        <w:spacing w:after="156" w:afterLines="50" w:line="360" w:lineRule="auto"/>
        <w:ind w:firstLine="709"/>
        <w:rPr>
          <w:rFonts w:asciiTheme="minorEastAsia" w:hAnsiTheme="minorEastAsia"/>
          <w:sz w:val="24"/>
        </w:rPr>
      </w:pPr>
      <w:r>
        <w:rPr>
          <w:rFonts w:hint="eastAsia" w:asciiTheme="minorEastAsia" w:hAnsiTheme="minorEastAsia"/>
          <w:sz w:val="24"/>
        </w:rPr>
        <w:t>公告期限：自公告发布起3个工作日。</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响应文件首次递交截止时间、谈判时间及地点</w:t>
      </w:r>
    </w:p>
    <w:p>
      <w:pPr>
        <w:spacing w:line="360" w:lineRule="auto"/>
        <w:ind w:left="708" w:leftChars="337"/>
        <w:rPr>
          <w:sz w:val="24"/>
        </w:rPr>
      </w:pPr>
      <w:r>
        <w:rPr>
          <w:rFonts w:hint="eastAsia" w:ascii="宋体" w:hAnsi="宋体" w:cs="黑体"/>
          <w:kern w:val="0"/>
          <w:sz w:val="24"/>
        </w:rPr>
        <w:t>响应文件首次递交</w:t>
      </w:r>
      <w:r>
        <w:rPr>
          <w:rFonts w:hint="eastAsia"/>
          <w:sz w:val="24"/>
        </w:rPr>
        <w:t>截止时间：</w:t>
      </w:r>
      <w:r>
        <w:rPr>
          <w:sz w:val="24"/>
        </w:rPr>
        <w:t>2022</w:t>
      </w:r>
      <w:r>
        <w:rPr>
          <w:rFonts w:hint="eastAsia"/>
          <w:sz w:val="24"/>
        </w:rPr>
        <w:t>年</w:t>
      </w:r>
      <w:r>
        <w:rPr>
          <w:sz w:val="24"/>
        </w:rPr>
        <w:t>3</w:t>
      </w:r>
      <w:r>
        <w:rPr>
          <w:rFonts w:hint="eastAsia"/>
          <w:sz w:val="24"/>
        </w:rPr>
        <w:t>月</w:t>
      </w:r>
      <w:r>
        <w:rPr>
          <w:sz w:val="24"/>
        </w:rPr>
        <w:t>21</w:t>
      </w:r>
      <w:r>
        <w:rPr>
          <w:rFonts w:hint="eastAsia"/>
          <w:sz w:val="24"/>
        </w:rPr>
        <w:t>日</w:t>
      </w:r>
      <w:r>
        <w:rPr>
          <w:sz w:val="24"/>
        </w:rPr>
        <w:t>13</w:t>
      </w:r>
      <w:r>
        <w:rPr>
          <w:rFonts w:hint="eastAsia"/>
          <w:sz w:val="24"/>
        </w:rPr>
        <w:t>时</w:t>
      </w:r>
      <w:r>
        <w:rPr>
          <w:sz w:val="24"/>
        </w:rPr>
        <w:t>30</w:t>
      </w:r>
      <w:r>
        <w:rPr>
          <w:rFonts w:hint="eastAsia"/>
          <w:sz w:val="24"/>
        </w:rPr>
        <w:t>分</w:t>
      </w:r>
    </w:p>
    <w:p>
      <w:pPr>
        <w:spacing w:line="360" w:lineRule="auto"/>
        <w:ind w:left="708" w:leftChars="337"/>
        <w:rPr>
          <w:sz w:val="24"/>
        </w:rPr>
      </w:pPr>
      <w:r>
        <w:rPr>
          <w:rFonts w:hint="eastAsia"/>
          <w:sz w:val="24"/>
        </w:rPr>
        <w:t>谈判时间：为谈判小组通知时间。</w:t>
      </w:r>
    </w:p>
    <w:p>
      <w:pPr>
        <w:spacing w:line="360" w:lineRule="auto"/>
        <w:ind w:left="708" w:leftChars="337"/>
        <w:rPr>
          <w:sz w:val="24"/>
        </w:rPr>
      </w:pPr>
      <w:r>
        <w:rPr>
          <w:rFonts w:hint="eastAsia" w:ascii="宋体" w:hAnsi="宋体" w:cs="黑体"/>
          <w:kern w:val="0"/>
          <w:sz w:val="24"/>
        </w:rPr>
        <w:t>响应文件首次递交</w:t>
      </w:r>
      <w:r>
        <w:rPr>
          <w:rFonts w:hint="eastAsia"/>
          <w:sz w:val="24"/>
        </w:rPr>
        <w:t>和谈判地点：</w:t>
      </w:r>
      <w:r>
        <w:rPr>
          <w:rFonts w:hint="eastAsia" w:ascii="宋体" w:hAnsi="宋体" w:cs="黑体"/>
          <w:kern w:val="0"/>
          <w:sz w:val="24"/>
        </w:rPr>
        <w:t>北京市海淀区车公庄西路乙19号华通大厦B座南塔14层会议室。</w:t>
      </w:r>
    </w:p>
    <w:p>
      <w:pPr>
        <w:numPr>
          <w:ilvl w:val="0"/>
          <w:numId w:val="1"/>
        </w:numPr>
        <w:tabs>
          <w:tab w:val="left" w:pos="709"/>
        </w:tabs>
        <w:autoSpaceDE w:val="0"/>
        <w:autoSpaceDN w:val="0"/>
        <w:adjustRightInd w:val="0"/>
        <w:snapToGrid w:val="0"/>
        <w:spacing w:after="156" w:afterLines="50"/>
        <w:ind w:left="709" w:hanging="709"/>
        <w:rPr>
          <w:rFonts w:ascii="宋体" w:hAnsi="宋体" w:cs="黑体"/>
          <w:kern w:val="0"/>
          <w:sz w:val="24"/>
        </w:rPr>
      </w:pPr>
      <w:r>
        <w:rPr>
          <w:rFonts w:hint="eastAsia" w:ascii="宋体" w:hAnsi="宋体" w:cs="黑体"/>
          <w:kern w:val="0"/>
          <w:sz w:val="24"/>
        </w:rPr>
        <w:t>采购人及其委托的采购代理机构的名称、地址和联系方法</w:t>
      </w:r>
    </w:p>
    <w:p>
      <w:pPr>
        <w:spacing w:line="360" w:lineRule="auto"/>
        <w:ind w:left="420" w:firstLine="739" w:firstLineChars="308"/>
        <w:rPr>
          <w:sz w:val="24"/>
        </w:rPr>
      </w:pPr>
      <w:r>
        <w:rPr>
          <w:rFonts w:hint="eastAsia"/>
          <w:sz w:val="24"/>
        </w:rPr>
        <w:t>采购人：中国劳动关系学院</w:t>
      </w:r>
    </w:p>
    <w:p>
      <w:pPr>
        <w:spacing w:line="360" w:lineRule="auto"/>
        <w:ind w:left="420" w:firstLine="739" w:firstLineChars="308"/>
        <w:rPr>
          <w:sz w:val="24"/>
        </w:rPr>
      </w:pPr>
      <w:r>
        <w:rPr>
          <w:rFonts w:hint="eastAsia"/>
          <w:sz w:val="24"/>
        </w:rPr>
        <w:t>地址：北京市海淀区增光路45号</w:t>
      </w:r>
    </w:p>
    <w:p>
      <w:pPr>
        <w:spacing w:line="360" w:lineRule="auto"/>
        <w:ind w:left="420" w:firstLine="739" w:firstLineChars="308"/>
        <w:rPr>
          <w:sz w:val="24"/>
        </w:rPr>
      </w:pPr>
      <w:r>
        <w:rPr>
          <w:rFonts w:hint="eastAsia"/>
          <w:sz w:val="24"/>
        </w:rPr>
        <w:t>联系人：周老师</w:t>
      </w:r>
    </w:p>
    <w:p>
      <w:pPr>
        <w:spacing w:line="360" w:lineRule="auto"/>
        <w:ind w:left="420" w:firstLine="739" w:firstLineChars="308"/>
        <w:rPr>
          <w:sz w:val="24"/>
        </w:rPr>
      </w:pPr>
      <w:r>
        <w:rPr>
          <w:rFonts w:hint="eastAsia"/>
          <w:sz w:val="24"/>
        </w:rPr>
        <w:t>电话：010-88562580</w:t>
      </w:r>
    </w:p>
    <w:p>
      <w:pPr>
        <w:spacing w:line="360" w:lineRule="auto"/>
        <w:ind w:left="420" w:firstLine="739" w:firstLineChars="308"/>
        <w:rPr>
          <w:sz w:val="24"/>
        </w:rPr>
      </w:pPr>
      <w:r>
        <w:rPr>
          <w:rFonts w:hint="eastAsia"/>
          <w:sz w:val="24"/>
        </w:rPr>
        <w:t>采购代理机构：中国机电工程招标有限公司</w:t>
      </w:r>
    </w:p>
    <w:p>
      <w:pPr>
        <w:spacing w:line="360" w:lineRule="auto"/>
        <w:ind w:left="420" w:firstLine="739" w:firstLineChars="308"/>
        <w:rPr>
          <w:sz w:val="24"/>
        </w:rPr>
      </w:pPr>
      <w:r>
        <w:rPr>
          <w:rFonts w:hint="eastAsia"/>
          <w:sz w:val="24"/>
        </w:rPr>
        <w:t>地址：北京市海淀区车公庄西路乙19号华通大厦B座南塔14层</w:t>
      </w:r>
    </w:p>
    <w:p>
      <w:pPr>
        <w:spacing w:line="360" w:lineRule="auto"/>
        <w:ind w:left="420" w:firstLine="739" w:firstLineChars="308"/>
        <w:rPr>
          <w:sz w:val="24"/>
        </w:rPr>
      </w:pPr>
      <w:r>
        <w:rPr>
          <w:rFonts w:hint="eastAsia"/>
          <w:sz w:val="24"/>
        </w:rPr>
        <w:t>联系人：付颖、喻晓娇</w:t>
      </w:r>
    </w:p>
    <w:p>
      <w:pPr>
        <w:spacing w:line="360" w:lineRule="auto"/>
        <w:ind w:left="420" w:firstLine="739" w:firstLineChars="308"/>
        <w:rPr>
          <w:sz w:val="24"/>
        </w:rPr>
      </w:pPr>
      <w:r>
        <w:rPr>
          <w:rFonts w:hint="eastAsia"/>
          <w:sz w:val="24"/>
        </w:rPr>
        <w:t>电话：15110095604</w:t>
      </w:r>
    </w:p>
    <w:p>
      <w:pPr>
        <w:spacing w:line="360" w:lineRule="auto"/>
        <w:ind w:left="420" w:firstLine="739" w:firstLineChars="308"/>
        <w:rPr>
          <w:rStyle w:val="81"/>
          <w:color w:val="auto"/>
          <w:sz w:val="24"/>
        </w:rPr>
      </w:pPr>
      <w:r>
        <w:rPr>
          <w:rFonts w:hint="eastAsia"/>
          <w:sz w:val="24"/>
        </w:rPr>
        <w:t>邮件：15110095604@139.com</w:t>
      </w:r>
    </w:p>
    <w:p>
      <w:pPr>
        <w:autoSpaceDE w:val="0"/>
        <w:autoSpaceDN w:val="0"/>
        <w:spacing w:before="161" w:after="240"/>
        <w:ind w:left="174" w:right="1" w:firstLine="720"/>
        <w:rPr>
          <w:rFonts w:ascii="宋体" w:hAnsi="宋体" w:cs="宋体"/>
          <w:b/>
          <w:bCs/>
          <w:kern w:val="0"/>
          <w:sz w:val="24"/>
          <w:lang w:bidi="zh-CN"/>
        </w:rPr>
      </w:pPr>
      <w:r>
        <w:rPr>
          <w:rFonts w:ascii="宋体" w:hAnsi="宋体" w:cs="宋体"/>
          <w:b/>
          <w:bCs/>
          <w:kern w:val="0"/>
          <w:sz w:val="24"/>
          <w:lang w:val="zh-CN" w:bidi="zh-CN"/>
        </w:rPr>
        <w:t>标书款、</w:t>
      </w:r>
      <w:r>
        <w:rPr>
          <w:rFonts w:hint="eastAsia" w:ascii="宋体" w:hAnsi="宋体" w:cs="宋体"/>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r>
        <w:rPr>
          <w:rFonts w:ascii="宋体" w:hAnsi="宋体" w:cs="宋体"/>
          <w:b/>
          <w:bCs/>
          <w:w w:val="99"/>
          <w:kern w:val="0"/>
          <w:sz w:val="24"/>
          <w:lang w:bidi="zh-CN"/>
        </w:rPr>
        <w:t xml:space="preserve">  </w:t>
      </w:r>
    </w:p>
    <w:p>
      <w:pPr>
        <w:autoSpaceDE w:val="0"/>
        <w:autoSpaceDN w:val="0"/>
        <w:spacing w:before="53" w:line="360" w:lineRule="auto"/>
        <w:ind w:left="1276" w:right="1"/>
        <w:jc w:val="left"/>
        <w:rPr>
          <w:rFonts w:ascii="宋体" w:hAnsi="宋体" w:cs="宋体"/>
          <w:kern w:val="0"/>
          <w:sz w:val="24"/>
          <w:lang w:val="zh-CN" w:bidi="zh-CN"/>
        </w:rPr>
      </w:pPr>
      <w:r>
        <w:rPr>
          <w:rFonts w:hint="eastAsia" w:ascii="宋体" w:hAnsi="宋体" w:cs="宋体"/>
          <w:kern w:val="0"/>
          <w:sz w:val="24"/>
          <w:lang w:val="zh-CN" w:bidi="zh-CN"/>
        </w:rPr>
        <w:t>账户名称：中国机电工程招标有限公司</w:t>
      </w:r>
    </w:p>
    <w:p>
      <w:pPr>
        <w:autoSpaceDE w:val="0"/>
        <w:autoSpaceDN w:val="0"/>
        <w:spacing w:before="53" w:line="360" w:lineRule="auto"/>
        <w:ind w:left="1276" w:right="1"/>
        <w:jc w:val="left"/>
        <w:rPr>
          <w:rFonts w:ascii="宋体" w:hAnsi="宋体" w:cs="宋体"/>
          <w:kern w:val="0"/>
          <w:sz w:val="24"/>
          <w:lang w:val="zh-CN" w:bidi="zh-CN"/>
        </w:rPr>
      </w:pPr>
      <w:r>
        <w:rPr>
          <w:rFonts w:hint="eastAsia" w:ascii="宋体" w:hAnsi="宋体" w:cs="宋体"/>
          <w:kern w:val="0"/>
          <w:sz w:val="24"/>
          <w:lang w:val="zh-CN" w:bidi="zh-CN"/>
        </w:rPr>
        <w:t>账  号：9558 8502 0000 0599 881</w:t>
      </w:r>
    </w:p>
    <w:p>
      <w:pPr>
        <w:autoSpaceDE w:val="0"/>
        <w:autoSpaceDN w:val="0"/>
        <w:spacing w:before="53" w:line="360" w:lineRule="auto"/>
        <w:ind w:left="1276" w:right="1"/>
        <w:jc w:val="left"/>
        <w:rPr>
          <w:rFonts w:ascii="宋体" w:hAnsi="宋体" w:cs="宋体"/>
          <w:kern w:val="0"/>
          <w:sz w:val="24"/>
          <w:lang w:val="zh-CN" w:bidi="zh-CN"/>
        </w:rPr>
      </w:pPr>
      <w:r>
        <w:rPr>
          <w:rFonts w:hint="eastAsia" w:ascii="宋体" w:hAnsi="宋体" w:cs="宋体"/>
          <w:kern w:val="0"/>
          <w:sz w:val="24"/>
          <w:lang w:val="zh-CN" w:bidi="zh-CN"/>
        </w:rPr>
        <w:t>开 户 行：中国工商银行股份有限公司北京海淀支行营业部</w:t>
      </w:r>
    </w:p>
    <w:p>
      <w:pPr>
        <w:widowControl/>
        <w:jc w:val="left"/>
        <w:rPr>
          <w:sz w:val="24"/>
        </w:rPr>
      </w:pPr>
      <w:r>
        <w:rPr>
          <w:sz w:val="24"/>
        </w:rPr>
        <w:br w:type="page"/>
      </w: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9" w:name="_Toc61594736"/>
      <w:r>
        <w:rPr>
          <w:rFonts w:hint="eastAsia" w:ascii="宋体" w:hAnsi="宋体" w:cs="黑体"/>
          <w:b/>
          <w:bCs/>
          <w:kern w:val="0"/>
          <w:sz w:val="32"/>
          <w:szCs w:val="32"/>
        </w:rPr>
        <w:t>第二章供应商须知</w:t>
      </w:r>
      <w:bookmarkEnd w:id="5"/>
      <w:bookmarkEnd w:id="9"/>
    </w:p>
    <w:p>
      <w:pPr>
        <w:autoSpaceDE w:val="0"/>
        <w:autoSpaceDN w:val="0"/>
        <w:adjustRightInd w:val="0"/>
        <w:snapToGrid w:val="0"/>
        <w:spacing w:after="156" w:afterLines="50"/>
        <w:jc w:val="center"/>
        <w:outlineLvl w:val="1"/>
        <w:rPr>
          <w:rFonts w:ascii="宋体" w:hAnsi="宋体" w:cs="黑体"/>
          <w:kern w:val="0"/>
          <w:sz w:val="28"/>
          <w:szCs w:val="28"/>
        </w:rPr>
      </w:pPr>
      <w:bookmarkStart w:id="10" w:name="_Toc61594737"/>
      <w:r>
        <w:rPr>
          <w:rFonts w:hint="eastAsia" w:ascii="宋体" w:hAnsi="宋体" w:cs="黑体"/>
          <w:kern w:val="0"/>
          <w:sz w:val="28"/>
          <w:szCs w:val="28"/>
        </w:rPr>
        <w:t>（一）供应商须知前附表</w:t>
      </w:r>
      <w:bookmarkEnd w:id="10"/>
    </w:p>
    <w:tbl>
      <w:tblPr>
        <w:tblStyle w:val="7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条款号</w:t>
            </w:r>
          </w:p>
        </w:tc>
        <w:tc>
          <w:tcPr>
            <w:tcW w:w="2515"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条款名称</w:t>
            </w:r>
          </w:p>
        </w:tc>
        <w:tc>
          <w:tcPr>
            <w:tcW w:w="5675" w:type="dxa"/>
            <w:vAlign w:val="center"/>
          </w:tcPr>
          <w:p>
            <w:pPr>
              <w:autoSpaceDE w:val="0"/>
              <w:autoSpaceDN w:val="0"/>
              <w:adjustRightInd w:val="0"/>
              <w:snapToGrid w:val="0"/>
              <w:spacing w:line="360" w:lineRule="auto"/>
              <w:jc w:val="center"/>
              <w:rPr>
                <w:rFonts w:ascii="宋体" w:hAnsi="宋体" w:cs="黑体"/>
                <w:kern w:val="0"/>
                <w:sz w:val="24"/>
              </w:rPr>
            </w:pPr>
            <w:r>
              <w:rPr>
                <w:rFonts w:hint="eastAsia" w:ascii="宋体" w:hAnsi="宋体" w:cs="仿宋_GB2312"/>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Pr>
                <w:rFonts w:ascii="宋体" w:hAnsi="宋体" w:cs="TimesNewRomanPSMT"/>
                <w:kern w:val="0"/>
                <w:sz w:val="20"/>
                <w:szCs w:val="20"/>
              </w:rPr>
              <w:t>1.7</w:t>
            </w:r>
            <w:r>
              <w:fldChar w:fldCharType="end"/>
            </w:r>
          </w:p>
        </w:tc>
        <w:tc>
          <w:tcPr>
            <w:tcW w:w="2515"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分包</w:t>
            </w:r>
          </w:p>
        </w:tc>
        <w:tc>
          <w:tcPr>
            <w:tcW w:w="5675" w:type="dxa"/>
            <w:vAlign w:val="center"/>
          </w:tcPr>
          <w:p>
            <w:pPr>
              <w:autoSpaceDE w:val="0"/>
              <w:autoSpaceDN w:val="0"/>
              <w:adjustRightInd w:val="0"/>
              <w:snapToGrid w:val="0"/>
              <w:spacing w:line="360" w:lineRule="auto"/>
              <w:jc w:val="left"/>
              <w:rPr>
                <w:rFonts w:ascii="宋体" w:hAnsi="宋体" w:cs="TimesNewRomanPSMT"/>
                <w:kern w:val="0"/>
                <w:sz w:val="24"/>
              </w:rPr>
            </w:pPr>
            <w:r>
              <w:rPr>
                <w:rFonts w:hint="eastAsia" w:asciiTheme="minorEastAsia" w:hAnsiTheme="minorEastAsia" w:eastAsiaTheme="minorEastAsia"/>
                <w:sz w:val="20"/>
                <w:szCs w:val="20"/>
              </w:rPr>
              <w:t>█</w:t>
            </w:r>
            <w:r>
              <w:rPr>
                <w:rFonts w:ascii="宋体" w:hAnsi="宋体" w:cs="TimesNewRomanPSMT"/>
                <w:kern w:val="0"/>
                <w:sz w:val="24"/>
              </w:rPr>
              <w:t>不允许</w:t>
            </w:r>
          </w:p>
          <w:p>
            <w:pPr>
              <w:autoSpaceDE w:val="0"/>
              <w:autoSpaceDN w:val="0"/>
              <w:adjustRightInd w:val="0"/>
              <w:snapToGrid w:val="0"/>
              <w:spacing w:line="360" w:lineRule="auto"/>
              <w:jc w:val="left"/>
              <w:rPr>
                <w:rFonts w:ascii="宋体" w:hAnsi="宋体" w:cs="TimesNewRomanPSMT"/>
                <w:kern w:val="0"/>
                <w:sz w:val="24"/>
              </w:rPr>
            </w:pPr>
            <w:r>
              <w:rPr>
                <w:rFonts w:hint="eastAsia" w:ascii="宋体" w:hAnsi="宋体" w:cs="TimesNewRomanPSMT"/>
                <w:kern w:val="0"/>
                <w:sz w:val="24"/>
              </w:rPr>
              <w:t>允  许：</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分包内容要求：</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分包金额要求：</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分包人应具有的资质：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t>1.12.1</w:t>
            </w:r>
            <w:r>
              <w:fldChar w:fldCharType="end"/>
            </w:r>
          </w:p>
        </w:tc>
        <w:tc>
          <w:tcPr>
            <w:tcW w:w="2515"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踏勘现场</w:t>
            </w:r>
          </w:p>
        </w:tc>
        <w:tc>
          <w:tcPr>
            <w:tcW w:w="5675" w:type="dxa"/>
            <w:vAlign w:val="center"/>
          </w:tcPr>
          <w:p>
            <w:pPr>
              <w:autoSpaceDE w:val="0"/>
              <w:autoSpaceDN w:val="0"/>
              <w:adjustRightInd w:val="0"/>
              <w:snapToGrid w:val="0"/>
              <w:spacing w:line="360" w:lineRule="auto"/>
              <w:jc w:val="left"/>
              <w:rPr>
                <w:rFonts w:ascii="宋体" w:hAnsi="宋体" w:cs="TimesNewRomanPSMT"/>
                <w:kern w:val="0"/>
                <w:sz w:val="24"/>
              </w:rPr>
            </w:pPr>
            <w:r>
              <w:rPr>
                <w:rFonts w:hint="eastAsia" w:asciiTheme="minorEastAsia" w:hAnsiTheme="minorEastAsia" w:eastAsiaTheme="minorEastAsia"/>
                <w:sz w:val="20"/>
                <w:szCs w:val="20"/>
              </w:rPr>
              <w:t>█</w:t>
            </w:r>
            <w:r>
              <w:rPr>
                <w:rFonts w:ascii="宋体" w:hAnsi="宋体" w:cs="TimesNewRomanPSMT"/>
                <w:kern w:val="0"/>
                <w:sz w:val="24"/>
              </w:rPr>
              <w:t>不组织</w:t>
            </w:r>
          </w:p>
          <w:p>
            <w:pPr>
              <w:autoSpaceDE w:val="0"/>
              <w:autoSpaceDN w:val="0"/>
              <w:adjustRightInd w:val="0"/>
              <w:snapToGrid w:val="0"/>
              <w:spacing w:line="360" w:lineRule="auto"/>
              <w:jc w:val="left"/>
              <w:rPr>
                <w:rFonts w:ascii="宋体" w:hAnsi="宋体" w:cs="TimesNewRomanPSMT"/>
                <w:kern w:val="0"/>
                <w:sz w:val="24"/>
              </w:rPr>
            </w:pPr>
            <w:r>
              <w:rPr>
                <w:rFonts w:hint="eastAsia" w:ascii="宋体" w:hAnsi="宋体" w:cs="TimesNewRomanPSMT"/>
                <w:kern w:val="0"/>
                <w:sz w:val="24"/>
              </w:rPr>
              <w:t>组  织：</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踏勘时间：</w:t>
            </w:r>
          </w:p>
          <w:p>
            <w:pPr>
              <w:autoSpaceDE w:val="0"/>
              <w:autoSpaceDN w:val="0"/>
              <w:adjustRightInd w:val="0"/>
              <w:snapToGrid w:val="0"/>
              <w:spacing w:line="360" w:lineRule="auto"/>
              <w:ind w:left="311" w:leftChars="148"/>
              <w:jc w:val="left"/>
              <w:rPr>
                <w:rFonts w:ascii="宋体" w:hAnsi="宋体" w:cs="TimesNewRomanPSMT"/>
                <w:kern w:val="0"/>
                <w:sz w:val="24"/>
              </w:rPr>
            </w:pPr>
            <w:r>
              <w:rPr>
                <w:rFonts w:hint="eastAsia" w:ascii="宋体" w:hAnsi="宋体" w:cs="TimesNewRomanPSMT"/>
                <w:kern w:val="0"/>
                <w:sz w:val="24"/>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Pr>
                <w:rFonts w:ascii="宋体" w:hAnsi="宋体" w:cs="仿宋_GB2312"/>
                <w:kern w:val="0"/>
                <w:sz w:val="20"/>
                <w:szCs w:val="20"/>
              </w:rPr>
              <w:t>2.2.2</w:t>
            </w:r>
            <w:r>
              <w:fldChar w:fldCharType="end"/>
            </w:r>
          </w:p>
        </w:tc>
        <w:tc>
          <w:tcPr>
            <w:tcW w:w="2515"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ascii="宋体" w:hAnsi="宋体" w:cs="仿宋_GB2312"/>
                <w:kern w:val="0"/>
                <w:sz w:val="24"/>
              </w:rPr>
              <w:t>供应商询问或要求澄清的截止时间</w:t>
            </w:r>
          </w:p>
        </w:tc>
        <w:tc>
          <w:tcPr>
            <w:tcW w:w="5675" w:type="dxa"/>
            <w:vAlign w:val="center"/>
          </w:tcPr>
          <w:p>
            <w:pPr>
              <w:autoSpaceDE w:val="0"/>
              <w:autoSpaceDN w:val="0"/>
              <w:adjustRightInd w:val="0"/>
              <w:snapToGrid w:val="0"/>
              <w:spacing w:line="360" w:lineRule="auto"/>
              <w:jc w:val="left"/>
              <w:rPr>
                <w:rFonts w:ascii="宋体" w:hAnsi="宋体" w:cs="仿宋_GB2312"/>
                <w:kern w:val="0"/>
                <w:sz w:val="24"/>
              </w:rPr>
            </w:pPr>
            <w:r>
              <w:rPr>
                <w:rFonts w:hint="eastAsia" w:cs="仿宋_GB2312" w:asciiTheme="minorEastAsia" w:hAnsiTheme="minorEastAsia" w:eastAsiaTheme="minorEastAsia"/>
                <w:kern w:val="0"/>
                <w:sz w:val="24"/>
              </w:rPr>
              <w:t>提交首次响应文件截止时间5日前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Pr>
                <w:rFonts w:ascii="宋体" w:hAnsi="宋体" w:cs="TimesNewRomanPSMT"/>
                <w:kern w:val="0"/>
                <w:sz w:val="20"/>
                <w:szCs w:val="21"/>
              </w:rPr>
              <w:t>2.3</w:t>
            </w:r>
            <w:r>
              <w:fldChar w:fldCharType="end"/>
            </w:r>
          </w:p>
        </w:tc>
        <w:tc>
          <w:tcPr>
            <w:tcW w:w="2515" w:type="dxa"/>
            <w:vAlign w:val="center"/>
          </w:tcPr>
          <w:p>
            <w:pPr>
              <w:autoSpaceDE w:val="0"/>
              <w:autoSpaceDN w:val="0"/>
              <w:adjustRightInd w:val="0"/>
              <w:snapToGrid w:val="0"/>
              <w:spacing w:line="360" w:lineRule="auto"/>
              <w:outlineLvl w:val="0"/>
              <w:rPr>
                <w:rFonts w:ascii="宋体" w:hAnsi="宋体" w:cs="仿宋_GB2312"/>
                <w:kern w:val="0"/>
                <w:sz w:val="24"/>
              </w:rPr>
            </w:pPr>
            <w:bookmarkStart w:id="11" w:name="_Toc61594738"/>
            <w:r>
              <w:rPr>
                <w:rFonts w:hint="eastAsia" w:ascii="宋体" w:hAnsi="宋体" w:cs="仿宋_GB2312"/>
                <w:kern w:val="0"/>
                <w:sz w:val="24"/>
              </w:rPr>
              <w:t>质疑函送达方式</w:t>
            </w:r>
            <w:bookmarkEnd w:id="11"/>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质疑函应当包括下列内容：</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（一）供应商的姓名或者名称、地址、邮编、联系人及联系电话；</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（二）质疑项目的名称、编号；</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（三）具体、明确的质疑事项和与质疑事项相关的请求；</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（四）事实依据；</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（五）必要的法律依据；</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（六）提出质疑的日期。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_Ref527102185 \r \h  \* MERGEFORMAT </w:instrText>
            </w:r>
            <w:r>
              <w:fldChar w:fldCharType="separate"/>
            </w:r>
            <w:r>
              <w:rPr>
                <w:rFonts w:ascii="宋体" w:hAnsi="宋体" w:cs="TimesNewRomanPSMT"/>
                <w:kern w:val="0"/>
                <w:sz w:val="20"/>
                <w:szCs w:val="21"/>
              </w:rPr>
              <w:t>3.6.1</w:t>
            </w:r>
            <w:r>
              <w:fldChar w:fldCharType="end"/>
            </w:r>
          </w:p>
        </w:tc>
        <w:tc>
          <w:tcPr>
            <w:tcW w:w="2515" w:type="dxa"/>
            <w:vAlign w:val="center"/>
          </w:tcPr>
          <w:p>
            <w:pPr>
              <w:autoSpaceDE w:val="0"/>
              <w:autoSpaceDN w:val="0"/>
              <w:adjustRightInd w:val="0"/>
              <w:snapToGrid w:val="0"/>
              <w:spacing w:line="360" w:lineRule="auto"/>
              <w:outlineLvl w:val="0"/>
              <w:rPr>
                <w:rFonts w:ascii="宋体" w:hAnsi="宋体" w:cs="仿宋_GB2312"/>
                <w:kern w:val="0"/>
                <w:sz w:val="24"/>
              </w:rPr>
            </w:pPr>
            <w:bookmarkStart w:id="12" w:name="_Toc195921788"/>
            <w:bookmarkStart w:id="13" w:name="_Toc61594739"/>
            <w:r>
              <w:rPr>
                <w:rFonts w:hint="eastAsia" w:ascii="宋体" w:hAnsi="宋体" w:cs="仿宋_GB2312"/>
                <w:kern w:val="0"/>
                <w:sz w:val="24"/>
              </w:rPr>
              <w:t>响应文件有效期</w:t>
            </w:r>
            <w:bookmarkEnd w:id="12"/>
            <w:bookmarkEnd w:id="13"/>
          </w:p>
        </w:tc>
        <w:tc>
          <w:tcPr>
            <w:tcW w:w="5675" w:type="dxa"/>
            <w:vAlign w:val="center"/>
          </w:tcPr>
          <w:p>
            <w:pPr>
              <w:autoSpaceDE w:val="0"/>
              <w:autoSpaceDN w:val="0"/>
              <w:adjustRightInd w:val="0"/>
              <w:snapToGrid w:val="0"/>
              <w:spacing w:line="360" w:lineRule="auto"/>
              <w:ind w:left="27" w:leftChars="13"/>
              <w:rPr>
                <w:rFonts w:ascii="宋体" w:hAnsi="宋体" w:cs="TimesNewRomanPSMT"/>
                <w:kern w:val="0"/>
                <w:sz w:val="24"/>
              </w:rPr>
            </w:pPr>
            <w:r>
              <w:rPr>
                <w:rFonts w:ascii="宋体" w:hAnsi="宋体" w:cs="TimesNewRomanPSMT"/>
                <w:kern w:val="0"/>
                <w:sz w:val="24"/>
              </w:rPr>
              <w:t>90</w:t>
            </w:r>
            <w:r>
              <w:rPr>
                <w:rFonts w:hint="eastAsia" w:ascii="宋体" w:hAnsi="宋体" w:cs="TimesNewRomanPSMT"/>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Pr>
                <w:rFonts w:ascii="宋体" w:hAnsi="宋体" w:cs="TimesNewRomanPSMT"/>
                <w:kern w:val="0"/>
                <w:sz w:val="20"/>
                <w:szCs w:val="21"/>
              </w:rPr>
              <w:t>3.7.1</w:t>
            </w:r>
            <w:r>
              <w:fldChar w:fldCharType="end"/>
            </w:r>
          </w:p>
        </w:tc>
        <w:tc>
          <w:tcPr>
            <w:tcW w:w="2515" w:type="dxa"/>
            <w:vAlign w:val="center"/>
          </w:tcPr>
          <w:p>
            <w:pPr>
              <w:autoSpaceDE w:val="0"/>
              <w:autoSpaceDN w:val="0"/>
              <w:adjustRightInd w:val="0"/>
              <w:snapToGrid w:val="0"/>
              <w:spacing w:line="360" w:lineRule="auto"/>
              <w:outlineLvl w:val="0"/>
              <w:rPr>
                <w:rFonts w:ascii="宋体" w:hAnsi="宋体" w:cs="仿宋_GB2312"/>
                <w:kern w:val="0"/>
                <w:sz w:val="24"/>
              </w:rPr>
            </w:pPr>
            <w:bookmarkStart w:id="14" w:name="_Toc61594740"/>
            <w:bookmarkStart w:id="15" w:name="_Toc195921789"/>
            <w:r>
              <w:rPr>
                <w:rFonts w:hint="eastAsia" w:ascii="宋体" w:hAnsi="宋体" w:cs="仿宋_GB2312"/>
                <w:kern w:val="0"/>
                <w:sz w:val="24"/>
              </w:rPr>
              <w:t>谈判保证金</w:t>
            </w:r>
            <w:bookmarkEnd w:id="14"/>
            <w:bookmarkEnd w:id="15"/>
          </w:p>
        </w:tc>
        <w:tc>
          <w:tcPr>
            <w:tcW w:w="5675" w:type="dxa"/>
            <w:vAlign w:val="center"/>
          </w:tcPr>
          <w:p>
            <w:pPr>
              <w:tabs>
                <w:tab w:val="left" w:pos="2086"/>
              </w:tabs>
              <w:autoSpaceDE w:val="0"/>
              <w:autoSpaceDN w:val="0"/>
              <w:spacing w:before="2" w:line="360" w:lineRule="auto"/>
              <w:ind w:left="-38" w:leftChars="-18" w:right="51" w:firstLine="33" w:firstLineChars="16"/>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hint="eastAsia" w:ascii="宋体" w:hAnsi="宋体" w:cs="宋体"/>
                <w:kern w:val="0"/>
                <w:szCs w:val="21"/>
                <w:lang w:val="zh-CN" w:bidi="zh-CN"/>
              </w:rPr>
              <w:t>、</w:t>
            </w:r>
            <w:r>
              <w:rPr>
                <w:rFonts w:ascii="宋体" w:hAnsi="宋体" w:cs="宋体"/>
                <w:kern w:val="0"/>
                <w:szCs w:val="21"/>
                <w:lang w:val="zh-CN" w:bidi="zh-CN"/>
              </w:rPr>
              <w:t>金融机构保函</w:t>
            </w:r>
            <w:r>
              <w:rPr>
                <w:rFonts w:hint="eastAsia" w:ascii="宋体" w:hAnsi="宋体" w:cs="宋体"/>
                <w:kern w:val="0"/>
                <w:szCs w:val="21"/>
                <w:lang w:val="zh-CN" w:bidi="zh-CN"/>
              </w:rPr>
              <w:t>、</w:t>
            </w:r>
            <w:r>
              <w:rPr>
                <w:rFonts w:ascii="宋体" w:hAnsi="宋体" w:cs="宋体"/>
                <w:kern w:val="0"/>
                <w:szCs w:val="21"/>
                <w:lang w:val="zh-CN" w:bidi="zh-CN"/>
              </w:rPr>
              <w:t>汇票</w:t>
            </w:r>
            <w:r>
              <w:rPr>
                <w:rFonts w:hint="eastAsia" w:ascii="宋体" w:hAnsi="宋体" w:cs="宋体"/>
                <w:kern w:val="0"/>
                <w:szCs w:val="21"/>
                <w:lang w:val="zh-CN" w:bidi="zh-CN"/>
              </w:rPr>
              <w:t>、</w:t>
            </w:r>
            <w:r>
              <w:rPr>
                <w:rFonts w:ascii="宋体" w:hAnsi="宋体" w:cs="宋体"/>
                <w:kern w:val="0"/>
                <w:szCs w:val="21"/>
                <w:lang w:val="zh-CN" w:bidi="zh-CN"/>
              </w:rPr>
              <w:t>担保机构保函</w:t>
            </w:r>
            <w:r>
              <w:rPr>
                <w:rFonts w:hint="eastAsia" w:ascii="宋体" w:hAnsi="宋体" w:cs="宋体"/>
                <w:kern w:val="0"/>
                <w:szCs w:val="21"/>
                <w:lang w:val="zh-CN" w:bidi="zh-CN"/>
              </w:rPr>
              <w:t>、</w:t>
            </w:r>
            <w:r>
              <w:rPr>
                <w:rFonts w:ascii="宋体" w:hAnsi="宋体" w:cs="宋体"/>
                <w:kern w:val="0"/>
                <w:szCs w:val="21"/>
                <w:lang w:val="zh-CN" w:bidi="zh-CN"/>
              </w:rPr>
              <w:t>本票</w:t>
            </w:r>
            <w:r>
              <w:rPr>
                <w:rFonts w:hint="eastAsia" w:ascii="宋体" w:hAnsi="宋体" w:cs="宋体"/>
                <w:kern w:val="0"/>
                <w:szCs w:val="21"/>
                <w:lang w:val="zh-CN" w:bidi="zh-CN"/>
              </w:rPr>
              <w:t>、</w:t>
            </w:r>
            <w:r>
              <w:rPr>
                <w:rFonts w:ascii="宋体" w:hAnsi="宋体" w:cs="宋体"/>
                <w:kern w:val="0"/>
                <w:szCs w:val="21"/>
                <w:lang w:val="zh-CN" w:bidi="zh-CN"/>
              </w:rPr>
              <w:t>电汇</w:t>
            </w:r>
            <w:r>
              <w:rPr>
                <w:rFonts w:hint="eastAsia" w:ascii="宋体" w:hAnsi="宋体" w:cs="宋体"/>
                <w:kern w:val="0"/>
                <w:szCs w:val="21"/>
                <w:lang w:val="zh-CN" w:bidi="zh-CN"/>
              </w:rPr>
              <w:t>（公对公汇款，备注K</w:t>
            </w:r>
            <w:r>
              <w:rPr>
                <w:rFonts w:ascii="宋体" w:hAnsi="宋体" w:cs="宋体"/>
                <w:kern w:val="0"/>
                <w:szCs w:val="21"/>
                <w:lang w:val="zh-CN" w:bidi="zh-CN"/>
              </w:rPr>
              <w:t>K25</w:t>
            </w:r>
            <w:r>
              <w:rPr>
                <w:rFonts w:hint="eastAsia" w:ascii="宋体" w:hAnsi="宋体" w:cs="宋体"/>
                <w:kern w:val="0"/>
                <w:szCs w:val="21"/>
                <w:lang w:val="zh-CN" w:bidi="zh-CN"/>
              </w:rPr>
              <w:t>）</w:t>
            </w:r>
          </w:p>
          <w:p>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 xml:space="preserve">保证金数额（人民币元）： </w:t>
            </w:r>
            <w:r>
              <w:rPr>
                <w:rFonts w:ascii="宋体" w:hAnsi="宋体" w:cs="宋体"/>
                <w:kern w:val="0"/>
                <w:szCs w:val="21"/>
                <w:u w:val="single"/>
                <w:lang w:val="zh-CN" w:bidi="zh-CN"/>
              </w:rPr>
              <w:t>3000</w:t>
            </w:r>
            <w:r>
              <w:rPr>
                <w:rFonts w:ascii="宋体" w:hAnsi="宋体" w:cs="宋体"/>
                <w:kern w:val="0"/>
                <w:szCs w:val="21"/>
                <w:lang w:val="zh-CN" w:bidi="zh-CN"/>
              </w:rPr>
              <w:t xml:space="preserve"> 元 </w:t>
            </w:r>
          </w:p>
          <w:p>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r>
              <w:rPr>
                <w:rFonts w:ascii="宋体" w:hAnsi="宋体" w:cs="宋体"/>
                <w:b/>
                <w:w w:val="99"/>
                <w:kern w:val="0"/>
                <w:szCs w:val="21"/>
                <w:lang w:val="zh-CN" w:bidi="zh-CN"/>
              </w:rPr>
              <w:t xml:space="preserve"> </w:t>
            </w:r>
          </w:p>
          <w:p>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r>
              <w:rPr>
                <w:rFonts w:ascii="宋体" w:hAnsi="宋体" w:cs="宋体"/>
                <w:b/>
                <w:w w:val="99"/>
                <w:kern w:val="0"/>
                <w:szCs w:val="21"/>
                <w:lang w:val="zh-CN" w:bidi="zh-CN"/>
              </w:rPr>
              <w:t xml:space="preserve"> </w:t>
            </w:r>
          </w:p>
          <w:p>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w:t>
            </w:r>
            <w:r>
              <w:rPr>
                <w:rFonts w:hint="eastAsia" w:ascii="宋体" w:hAnsi="宋体" w:cs="宋体"/>
                <w:b/>
                <w:kern w:val="0"/>
                <w:szCs w:val="21"/>
                <w:lang w:val="zh-CN" w:bidi="zh-CN"/>
              </w:rPr>
              <w:t>谈判</w:t>
            </w:r>
            <w:r>
              <w:rPr>
                <w:rFonts w:ascii="宋体" w:hAnsi="宋体" w:cs="宋体"/>
                <w:b/>
                <w:kern w:val="0"/>
                <w:szCs w:val="21"/>
                <w:lang w:val="zh-CN" w:bidi="zh-CN"/>
              </w:rPr>
              <w:t>文件要求向采购代理机构递交</w:t>
            </w:r>
            <w:r>
              <w:rPr>
                <w:rFonts w:hint="eastAsia" w:ascii="宋体" w:hAnsi="宋体" w:cs="宋体"/>
                <w:b/>
                <w:kern w:val="0"/>
                <w:szCs w:val="21"/>
                <w:lang w:val="zh-CN" w:bidi="zh-CN"/>
              </w:rPr>
              <w:t>谈判</w:t>
            </w:r>
            <w:r>
              <w:rPr>
                <w:rFonts w:ascii="宋体" w:hAnsi="宋体" w:cs="宋体"/>
                <w:b/>
                <w:kern w:val="0"/>
                <w:szCs w:val="21"/>
                <w:lang w:val="zh-CN" w:bidi="zh-CN"/>
              </w:rPr>
              <w:t>保证</w:t>
            </w:r>
            <w:r>
              <w:rPr>
                <w:rFonts w:ascii="宋体" w:hAnsi="宋体" w:cs="宋体"/>
                <w:b/>
                <w:spacing w:val="-11"/>
                <w:kern w:val="0"/>
                <w:szCs w:val="21"/>
                <w:lang w:val="zh-CN" w:bidi="zh-CN"/>
              </w:rPr>
              <w:t>金，首次递交响应文件截止时间之后递交的</w:t>
            </w:r>
            <w:r>
              <w:rPr>
                <w:rFonts w:hint="eastAsia" w:ascii="宋体" w:hAnsi="宋体" w:cs="宋体"/>
                <w:b/>
                <w:kern w:val="0"/>
                <w:szCs w:val="21"/>
                <w:lang w:val="zh-CN" w:bidi="zh-CN"/>
              </w:rPr>
              <w:t>谈判</w:t>
            </w:r>
            <w:r>
              <w:rPr>
                <w:rFonts w:ascii="宋体" w:hAnsi="宋体" w:cs="宋体"/>
                <w:b/>
                <w:spacing w:val="-11"/>
                <w:kern w:val="0"/>
                <w:szCs w:val="21"/>
                <w:lang w:val="zh-CN" w:bidi="zh-CN"/>
              </w:rPr>
              <w:t>保证</w:t>
            </w:r>
            <w:r>
              <w:rPr>
                <w:rFonts w:ascii="宋体" w:hAnsi="宋体" w:cs="宋体"/>
                <w:b/>
                <w:kern w:val="0"/>
                <w:szCs w:val="21"/>
                <w:lang w:val="zh-CN" w:bidi="zh-CN"/>
              </w:rPr>
              <w:t>金将被拒绝；</w:t>
            </w:r>
            <w:r>
              <w:rPr>
                <w:rFonts w:ascii="宋体" w:hAnsi="宋体" w:cs="宋体"/>
                <w:b/>
                <w:w w:val="99"/>
                <w:kern w:val="0"/>
                <w:szCs w:val="21"/>
                <w:lang w:val="zh-CN" w:bidi="zh-CN"/>
              </w:rPr>
              <w:t xml:space="preserve"> </w:t>
            </w:r>
          </w:p>
          <w:p>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w:t>
            </w:r>
            <w:r>
              <w:rPr>
                <w:rFonts w:hint="eastAsia" w:ascii="宋体" w:hAnsi="宋体" w:cs="宋体"/>
                <w:b/>
                <w:kern w:val="0"/>
                <w:szCs w:val="21"/>
                <w:lang w:val="zh-CN" w:bidi="zh-CN"/>
              </w:rPr>
              <w:t>谈判</w:t>
            </w:r>
            <w:r>
              <w:rPr>
                <w:rFonts w:ascii="宋体" w:hAnsi="宋体" w:cs="宋体"/>
                <w:b/>
                <w:kern w:val="0"/>
                <w:szCs w:val="21"/>
                <w:lang w:val="zh-CN" w:bidi="zh-CN"/>
              </w:rPr>
              <w:t>保证金缴纳人必须与供应商名称保持一致</w:t>
            </w:r>
            <w:r>
              <w:rPr>
                <w:rFonts w:hint="eastAsia" w:ascii="宋体" w:hAnsi="宋体" w:cs="宋体"/>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hint="eastAsia" w:ascii="宋体" w:hAnsi="宋体" w:cs="宋体"/>
                <w:b/>
                <w:kern w:val="0"/>
                <w:szCs w:val="21"/>
                <w:lang w:val="zh-CN" w:bidi="zh-CN"/>
              </w:rPr>
              <w:t>电汇</w:t>
            </w:r>
            <w:r>
              <w:rPr>
                <w:rFonts w:ascii="宋体" w:hAnsi="宋体" w:cs="宋体"/>
                <w:b/>
                <w:kern w:val="0"/>
                <w:szCs w:val="21"/>
                <w:lang w:val="zh-CN" w:bidi="zh-CN"/>
              </w:rPr>
              <w:t>形式提交</w:t>
            </w:r>
            <w:r>
              <w:rPr>
                <w:rFonts w:hint="eastAsia" w:ascii="宋体" w:hAnsi="宋体" w:cs="宋体"/>
                <w:b/>
                <w:kern w:val="0"/>
                <w:szCs w:val="21"/>
                <w:lang w:val="zh-CN" w:bidi="zh-CN"/>
              </w:rPr>
              <w:t>谈判</w:t>
            </w:r>
            <w:r>
              <w:rPr>
                <w:rFonts w:ascii="宋体" w:hAnsi="宋体" w:cs="宋体"/>
                <w:b/>
                <w:kern w:val="0"/>
                <w:szCs w:val="21"/>
                <w:lang w:val="zh-CN" w:bidi="zh-CN"/>
              </w:rPr>
              <w:t>保证金的供应商需保证其保</w:t>
            </w:r>
          </w:p>
          <w:p>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Pr>
                <w:rFonts w:ascii="宋体" w:hAnsi="宋体" w:cs="TimesNewRomanPSMT"/>
                <w:kern w:val="0"/>
                <w:sz w:val="20"/>
                <w:szCs w:val="21"/>
              </w:rPr>
              <w:t>3.8.2</w:t>
            </w:r>
            <w:r>
              <w:fldChar w:fldCharType="end"/>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响应文件副本份数</w:t>
            </w:r>
          </w:p>
        </w:tc>
        <w:tc>
          <w:tcPr>
            <w:tcW w:w="5675" w:type="dxa"/>
            <w:vAlign w:val="center"/>
          </w:tcPr>
          <w:p>
            <w:pPr>
              <w:autoSpaceDE w:val="0"/>
              <w:autoSpaceDN w:val="0"/>
              <w:adjustRightInd w:val="0"/>
              <w:snapToGrid w:val="0"/>
              <w:spacing w:after="156" w:line="360" w:lineRule="auto"/>
              <w:rPr>
                <w:rFonts w:ascii="宋体" w:hAnsi="宋体" w:cs="仿宋_GB2312"/>
                <w:b/>
                <w:kern w:val="0"/>
                <w:sz w:val="24"/>
              </w:rPr>
            </w:pPr>
            <w:r>
              <w:rPr>
                <w:rFonts w:hint="eastAsia" w:cs="仿宋_GB2312" w:asciiTheme="minorEastAsia" w:hAnsiTheme="minorEastAsia" w:eastAsiaTheme="minorEastAsia"/>
                <w:kern w:val="0"/>
                <w:sz w:val="24"/>
              </w:rPr>
              <w:t>正本</w:t>
            </w:r>
            <w:r>
              <w:rPr>
                <w:rFonts w:hint="eastAsia" w:cs="仿宋_GB2312" w:asciiTheme="minorEastAsia" w:hAnsiTheme="minorEastAsia" w:eastAsiaTheme="minorEastAsia"/>
                <w:kern w:val="0"/>
                <w:sz w:val="24"/>
                <w:u w:val="single"/>
              </w:rPr>
              <w:t xml:space="preserve"> </w:t>
            </w:r>
            <w:r>
              <w:rPr>
                <w:rFonts w:cs="仿宋_GB2312" w:asciiTheme="minorEastAsia" w:hAnsiTheme="minorEastAsia" w:eastAsiaTheme="minorEastAsia"/>
                <w:kern w:val="0"/>
                <w:sz w:val="24"/>
                <w:u w:val="single"/>
              </w:rPr>
              <w:t>1</w:t>
            </w:r>
            <w:r>
              <w:rPr>
                <w:rFonts w:hint="eastAsia" w:cs="仿宋_GB2312" w:asciiTheme="minorEastAsia" w:hAnsiTheme="minorEastAsia" w:eastAsiaTheme="minorEastAsia"/>
                <w:kern w:val="0"/>
                <w:sz w:val="24"/>
                <w:u w:val="single"/>
              </w:rPr>
              <w:t xml:space="preserve"> </w:t>
            </w:r>
            <w:r>
              <w:rPr>
                <w:rFonts w:hint="eastAsia" w:cs="仿宋_GB2312" w:asciiTheme="minorEastAsia" w:hAnsiTheme="minorEastAsia" w:eastAsiaTheme="minorEastAsia"/>
                <w:kern w:val="0"/>
                <w:sz w:val="24"/>
              </w:rPr>
              <w:t>份，副本</w:t>
            </w:r>
            <w:r>
              <w:rPr>
                <w:rFonts w:hint="eastAsia" w:cs="仿宋_GB2312" w:asciiTheme="minorEastAsia" w:hAnsiTheme="minorEastAsia" w:eastAsiaTheme="minorEastAsia"/>
                <w:kern w:val="0"/>
                <w:sz w:val="24"/>
                <w:u w:val="single"/>
              </w:rPr>
              <w:t xml:space="preserve"> </w:t>
            </w:r>
            <w:r>
              <w:rPr>
                <w:rFonts w:cs="仿宋_GB2312" w:asciiTheme="minorEastAsia" w:hAnsiTheme="minorEastAsia" w:eastAsiaTheme="minorEastAsia"/>
                <w:kern w:val="0"/>
                <w:sz w:val="24"/>
                <w:u w:val="single"/>
              </w:rPr>
              <w:t>3</w:t>
            </w:r>
            <w:r>
              <w:rPr>
                <w:rFonts w:hint="eastAsia" w:cs="仿宋_GB2312" w:asciiTheme="minorEastAsia" w:hAnsiTheme="minorEastAsia" w:eastAsiaTheme="minorEastAsia"/>
                <w:kern w:val="0"/>
                <w:sz w:val="24"/>
                <w:u w:val="single"/>
              </w:rPr>
              <w:t xml:space="preserve"> </w:t>
            </w:r>
            <w:r>
              <w:rPr>
                <w:rFonts w:hint="eastAsia" w:cs="仿宋_GB2312" w:asciiTheme="minorEastAsia" w:hAnsiTheme="minorEastAsia" w:eastAsiaTheme="minorEastAsia"/>
                <w:kern w:val="0"/>
                <w:sz w:val="24"/>
              </w:rPr>
              <w:t>份，电子文件</w:t>
            </w:r>
            <w:r>
              <w:rPr>
                <w:rFonts w:hint="eastAsia" w:cs="仿宋_GB2312" w:asciiTheme="minorEastAsia" w:hAnsiTheme="minorEastAsia" w:eastAsiaTheme="minorEastAsia"/>
                <w:kern w:val="0"/>
                <w:sz w:val="24"/>
                <w:u w:val="single"/>
              </w:rPr>
              <w:t xml:space="preserve"> 2</w:t>
            </w:r>
            <w:r>
              <w:rPr>
                <w:rFonts w:hint="eastAsia" w:cs="仿宋_GB2312" w:asciiTheme="minorEastAsia" w:hAnsiTheme="minorEastAsia" w:eastAsiaTheme="minor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电子版”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_Ref527102466 \r \h  \* MERGEFORMAT </w:instrText>
            </w:r>
            <w:r>
              <w:fldChar w:fldCharType="separate"/>
            </w:r>
            <w:r>
              <w:rPr>
                <w:rFonts w:ascii="宋体" w:hAnsi="宋体" w:cs="TimesNewRomanPSMT"/>
                <w:kern w:val="0"/>
                <w:sz w:val="20"/>
                <w:szCs w:val="21"/>
              </w:rPr>
              <w:t>3.8.4</w:t>
            </w:r>
            <w:r>
              <w:fldChar w:fldCharType="end"/>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装订要求</w:t>
            </w:r>
          </w:p>
        </w:tc>
        <w:tc>
          <w:tcPr>
            <w:tcW w:w="5675" w:type="dxa"/>
            <w:vAlign w:val="center"/>
          </w:tcPr>
          <w:p>
            <w:pPr>
              <w:autoSpaceDE w:val="0"/>
              <w:autoSpaceDN w:val="0"/>
              <w:adjustRightInd w:val="0"/>
              <w:snapToGrid w:val="0"/>
              <w:spacing w:line="360" w:lineRule="auto"/>
              <w:rPr>
                <w:rFonts w:ascii="宋体" w:hAnsi="宋体" w:cs="仿宋_GB2312"/>
                <w:i/>
                <w:kern w:val="0"/>
                <w:sz w:val="24"/>
              </w:rPr>
            </w:pPr>
            <w:r>
              <w:rPr>
                <w:rFonts w:hint="eastAsia" w:ascii="宋体" w:hAnsi="宋体" w:cs="仿宋_GB2312"/>
                <w:kern w:val="0"/>
                <w:sz w:val="24"/>
              </w:rPr>
              <w:t>建议装订成册，不得采用活页方式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Pr>
                <w:rFonts w:ascii="宋体" w:hAnsi="宋体" w:cs="TimesNewRomanPSMT"/>
                <w:kern w:val="0"/>
                <w:sz w:val="20"/>
                <w:szCs w:val="21"/>
              </w:rPr>
              <w:t>4.1.2</w:t>
            </w:r>
            <w:r>
              <w:fldChar w:fldCharType="end"/>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封套上写明</w:t>
            </w:r>
          </w:p>
        </w:tc>
        <w:tc>
          <w:tcPr>
            <w:tcW w:w="5675"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采购人名称：</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项目编号：</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（项目名称）包响应文件在  年月日时分前不得开启</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Pr>
                <w:rFonts w:ascii="宋体" w:hAnsi="宋体" w:cs="TimesNewRomanPSMT"/>
                <w:kern w:val="0"/>
                <w:sz w:val="20"/>
                <w:szCs w:val="21"/>
              </w:rPr>
              <w:t>5.1.1</w:t>
            </w:r>
            <w:r>
              <w:fldChar w:fldCharType="end"/>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谈判小组成员</w:t>
            </w:r>
          </w:p>
        </w:tc>
        <w:tc>
          <w:tcPr>
            <w:tcW w:w="5675"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hint="eastAsia" w:ascii="宋体" w:hAnsi="宋体" w:cs="仿宋_GB2312"/>
                <w:kern w:val="0"/>
                <w:sz w:val="24"/>
              </w:rPr>
              <w:t>人</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从评审专家库随机抽取的评审专家</w:t>
            </w:r>
            <w:r>
              <w:rPr>
                <w:rFonts w:ascii="宋体" w:hAnsi="宋体" w:cs="仿宋_GB2312"/>
                <w:kern w:val="0"/>
                <w:sz w:val="24"/>
                <w:u w:val="single"/>
              </w:rPr>
              <w:t xml:space="preserve">2 </w:t>
            </w:r>
            <w:r>
              <w:rPr>
                <w:rFonts w:hint="eastAsia" w:ascii="宋体" w:hAnsi="宋体" w:cs="仿宋_GB2312"/>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Pr>
                <w:rFonts w:ascii="宋体" w:hAnsi="宋体" w:cs="TimesNewRomanPSMT"/>
                <w:kern w:val="0"/>
                <w:sz w:val="20"/>
                <w:szCs w:val="21"/>
              </w:rPr>
              <w:t>6.1</w:t>
            </w:r>
            <w:r>
              <w:fldChar w:fldCharType="end"/>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确定成交供应商方式</w:t>
            </w:r>
          </w:p>
        </w:tc>
        <w:tc>
          <w:tcPr>
            <w:tcW w:w="5675"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Theme="minorEastAsia" w:hAnsiTheme="minorEastAsia" w:eastAsiaTheme="minorEastAsia"/>
                <w:sz w:val="20"/>
                <w:szCs w:val="20"/>
              </w:rPr>
              <w:t>█</w:t>
            </w:r>
            <w:r>
              <w:rPr>
                <w:rFonts w:hint="eastAsia" w:ascii="宋体" w:hAnsi="宋体" w:cs="仿宋_GB2312"/>
                <w:kern w:val="0"/>
                <w:sz w:val="24"/>
              </w:rPr>
              <w:t>采购人</w:t>
            </w:r>
          </w:p>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□采购人授权谈判小组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Pr>
                <w:rFonts w:ascii="宋体" w:hAnsi="宋体" w:cs="TimesNewRomanPSMT"/>
                <w:kern w:val="0"/>
                <w:sz w:val="20"/>
                <w:szCs w:val="21"/>
              </w:rPr>
              <w:t>6.4.1</w:t>
            </w:r>
            <w:r>
              <w:fldChar w:fldCharType="end"/>
            </w:r>
          </w:p>
        </w:tc>
        <w:tc>
          <w:tcPr>
            <w:tcW w:w="2515" w:type="dxa"/>
            <w:vAlign w:val="center"/>
          </w:tcPr>
          <w:p>
            <w:pPr>
              <w:autoSpaceDE w:val="0"/>
              <w:autoSpaceDN w:val="0"/>
              <w:adjustRightInd w:val="0"/>
              <w:snapToGrid w:val="0"/>
              <w:spacing w:line="360" w:lineRule="auto"/>
              <w:outlineLvl w:val="0"/>
              <w:rPr>
                <w:rFonts w:ascii="宋体" w:hAnsi="宋体" w:cs="仿宋_GB2312"/>
                <w:kern w:val="0"/>
                <w:sz w:val="24"/>
              </w:rPr>
            </w:pPr>
            <w:bookmarkStart w:id="16" w:name="_Toc61594741"/>
            <w:r>
              <w:rPr>
                <w:rFonts w:hint="eastAsia" w:ascii="宋体" w:hAnsi="宋体" w:cs="仿宋_GB2312"/>
                <w:kern w:val="0"/>
                <w:sz w:val="24"/>
              </w:rPr>
              <w:t>履约保证金</w:t>
            </w:r>
            <w:bookmarkEnd w:id="16"/>
          </w:p>
        </w:tc>
        <w:tc>
          <w:tcPr>
            <w:tcW w:w="5675" w:type="dxa"/>
            <w:vAlign w:val="center"/>
          </w:tcPr>
          <w:p>
            <w:pPr>
              <w:autoSpaceDE w:val="0"/>
              <w:autoSpaceDN w:val="0"/>
              <w:adjustRightInd w:val="0"/>
              <w:snapToGrid w:val="0"/>
              <w:spacing w:after="156" w:afterLines="50" w:line="360" w:lineRule="auto"/>
              <w:rPr>
                <w:rFonts w:ascii="宋体" w:hAnsi="宋体" w:cs="仿宋_GB2312"/>
                <w:kern w:val="0"/>
                <w:sz w:val="24"/>
              </w:rPr>
            </w:pPr>
            <w:r>
              <w:rPr>
                <w:rFonts w:hint="eastAsia" w:ascii="宋体" w:hAnsi="宋体" w:cs="仿宋_GB2312"/>
                <w:kern w:val="0"/>
                <w:sz w:val="24"/>
              </w:rPr>
              <w:t>履约保证金的形式：支票、汇票、本票或者金融机构、担保机构出具的保函等非现金形式</w:t>
            </w:r>
          </w:p>
          <w:p>
            <w:pPr>
              <w:autoSpaceDE w:val="0"/>
              <w:autoSpaceDN w:val="0"/>
              <w:adjustRightInd w:val="0"/>
              <w:snapToGrid w:val="0"/>
              <w:spacing w:after="156" w:afterLines="50" w:line="360" w:lineRule="auto"/>
              <w:rPr>
                <w:rFonts w:ascii="宋体" w:hAnsi="宋体" w:cs="仿宋_GB2312"/>
                <w:b/>
                <w:kern w:val="0"/>
                <w:sz w:val="24"/>
              </w:rPr>
            </w:pPr>
            <w:r>
              <w:rPr>
                <w:rFonts w:hint="eastAsia" w:ascii="宋体" w:hAnsi="宋体" w:cs="仿宋_GB2312"/>
                <w:kern w:val="0"/>
                <w:sz w:val="24"/>
              </w:rPr>
              <w:t>履约保证金的金额：/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t>9</w:t>
            </w:r>
            <w:r>
              <w:fldChar w:fldCharType="end"/>
            </w:r>
          </w:p>
        </w:tc>
        <w:tc>
          <w:tcPr>
            <w:tcW w:w="8190" w:type="dxa"/>
            <w:gridSpan w:val="2"/>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1）</w:t>
            </w:r>
          </w:p>
        </w:tc>
        <w:tc>
          <w:tcPr>
            <w:tcW w:w="8190" w:type="dxa"/>
            <w:gridSpan w:val="2"/>
            <w:vAlign w:val="center"/>
          </w:tcPr>
          <w:p>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hint="eastAsia" w:ascii="宋体" w:hAnsi="宋体" w:cs="仿宋_GB2312"/>
                <w:kern w:val="0"/>
                <w:sz w:val="24"/>
              </w:rPr>
              <w:t>收到成交通知书后五个工作日内</w:t>
            </w:r>
            <w:r>
              <w:rPr>
                <w:rFonts w:hint="eastAsia" w:ascii="宋体" w:hAnsi="宋体" w:cs="黑体"/>
                <w:kern w:val="0"/>
                <w:sz w:val="24"/>
              </w:rPr>
              <w:t>向采购代理机构交纳代理服务费。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hint="eastAsia" w:ascii="宋体" w:hAnsi="宋体" w:cs="TimesNewRomanPSMT"/>
                <w:kern w:val="0"/>
                <w:sz w:val="20"/>
                <w:szCs w:val="21"/>
              </w:rPr>
              <w:t>2）</w:t>
            </w:r>
          </w:p>
        </w:tc>
        <w:tc>
          <w:tcPr>
            <w:tcW w:w="2515" w:type="dxa"/>
            <w:vAlign w:val="center"/>
          </w:tcPr>
          <w:p>
            <w:pPr>
              <w:autoSpaceDE w:val="0"/>
              <w:autoSpaceDN w:val="0"/>
              <w:adjustRightInd w:val="0"/>
              <w:snapToGrid w:val="0"/>
              <w:spacing w:line="360" w:lineRule="auto"/>
              <w:rPr>
                <w:rFonts w:ascii="宋体" w:hAnsi="宋体" w:cs="仿宋_GB2312"/>
                <w:kern w:val="0"/>
                <w:sz w:val="24"/>
              </w:rPr>
            </w:pPr>
            <w:r>
              <w:rPr>
                <w:rFonts w:hint="eastAsia" w:ascii="宋体" w:hAnsi="宋体" w:cs="仿宋_GB2312"/>
                <w:kern w:val="0"/>
                <w:sz w:val="24"/>
              </w:rPr>
              <w:t>代理服务费计算</w:t>
            </w:r>
          </w:p>
        </w:tc>
        <w:tc>
          <w:tcPr>
            <w:tcW w:w="5675" w:type="dxa"/>
            <w:vAlign w:val="center"/>
          </w:tcPr>
          <w:p>
            <w:pPr>
              <w:autoSpaceDE w:val="0"/>
              <w:autoSpaceDN w:val="0"/>
              <w:adjustRightInd w:val="0"/>
              <w:snapToGrid w:val="0"/>
              <w:spacing w:line="360" w:lineRule="auto"/>
              <w:rPr>
                <w:rFonts w:ascii="宋体" w:hAnsi="宋体" w:cs="仿宋_GB2312"/>
                <w:kern w:val="0"/>
                <w:sz w:val="24"/>
              </w:rPr>
            </w:pPr>
            <w:r>
              <w:rPr>
                <w:rFonts w:hint="eastAsia" w:cs="仿宋_GB2312" w:asciiTheme="minorEastAsia" w:hAnsiTheme="minorEastAsia" w:eastAsiaTheme="minorEastAsia"/>
                <w:kern w:val="0"/>
                <w:sz w:val="24"/>
              </w:rPr>
              <w:t>代理服务费：按照国家发改委“ 计价格[2002]1980号”文规定，货物类标准90%计取，不足</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000元按</w:t>
            </w:r>
            <w:r>
              <w:rPr>
                <w:rFonts w:cs="仿宋_GB2312" w:asciiTheme="minorEastAsia" w:hAnsiTheme="minorEastAsia" w:eastAsiaTheme="minorEastAsia"/>
                <w:kern w:val="0"/>
                <w:sz w:val="24"/>
              </w:rPr>
              <w:t>5</w:t>
            </w:r>
            <w:r>
              <w:rPr>
                <w:rFonts w:hint="eastAsia" w:cs="仿宋_GB2312" w:asciiTheme="minorEastAsia" w:hAnsiTheme="minorEastAsia" w:eastAsiaTheme="minorEastAsia"/>
                <w:kern w:val="0"/>
                <w:sz w:val="24"/>
              </w:rPr>
              <w:t>000元计取；</w:t>
            </w:r>
            <w:bookmarkStart w:id="278" w:name="_GoBack"/>
            <w:bookmarkEnd w:id="2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4"/>
              </w:rPr>
            </w:pPr>
            <w:r>
              <w:rPr>
                <w:rFonts w:hint="eastAsia" w:ascii="宋体" w:hAnsi="宋体" w:cs="TimesNewRomanPSMT"/>
                <w:kern w:val="0"/>
                <w:sz w:val="20"/>
                <w:szCs w:val="21"/>
              </w:rPr>
              <w:t>（</w:t>
            </w:r>
            <w:r>
              <w:rPr>
                <w:rFonts w:ascii="宋体" w:hAnsi="宋体" w:cs="TimesNewRomanPSMT"/>
                <w:kern w:val="0"/>
                <w:sz w:val="20"/>
                <w:szCs w:val="21"/>
              </w:rPr>
              <w:t>3</w:t>
            </w:r>
            <w:r>
              <w:rPr>
                <w:rFonts w:hint="eastAsia" w:ascii="宋体" w:hAnsi="宋体" w:cs="TimesNewRomanPSMT"/>
                <w:kern w:val="0"/>
                <w:sz w:val="20"/>
                <w:szCs w:val="21"/>
              </w:rPr>
              <w:t>）</w:t>
            </w:r>
          </w:p>
        </w:tc>
        <w:tc>
          <w:tcPr>
            <w:tcW w:w="8190"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响应文件所有内容（尤其是复印件）应清晰可辨，业绩证明文件应体现合同实施范围和实施时间等相关信息，否则谈判小组有权认为供应商所提供的内容无效。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4</w:t>
            </w:r>
            <w:r>
              <w:rPr>
                <w:rFonts w:hint="eastAsia" w:ascii="宋体" w:hAnsi="宋体" w:cs="TimesNewRomanPSMT"/>
                <w:kern w:val="0"/>
                <w:sz w:val="20"/>
                <w:szCs w:val="21"/>
              </w:rPr>
              <w:t>）</w:t>
            </w:r>
          </w:p>
        </w:tc>
        <w:tc>
          <w:tcPr>
            <w:tcW w:w="8190"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响应文件中提供的所有证件证明材料均应在有效期内，如不在有效期内，则应提供其有效性证明材料（包括但不限于国家政策性相关文件以及满足上述政策文件的说明或证明材料），否则谈判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5</w:t>
            </w:r>
            <w:r>
              <w:rPr>
                <w:rFonts w:hint="eastAsia" w:ascii="宋体" w:hAnsi="宋体" w:cs="TimesNewRomanPSMT"/>
                <w:kern w:val="0"/>
                <w:sz w:val="20"/>
                <w:szCs w:val="21"/>
              </w:rPr>
              <w:t>）</w:t>
            </w:r>
          </w:p>
        </w:tc>
        <w:tc>
          <w:tcPr>
            <w:tcW w:w="8190"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tcPr>
          <w:p>
            <w:pPr>
              <w:autoSpaceDE w:val="0"/>
              <w:autoSpaceDN w:val="0"/>
              <w:adjustRightInd w:val="0"/>
              <w:snapToGrid w:val="0"/>
              <w:spacing w:line="360" w:lineRule="auto"/>
              <w:jc w:val="center"/>
              <w:rPr>
                <w:rFonts w:ascii="宋体" w:hAnsi="宋体" w:cs="TimesNewRomanPSMT"/>
                <w:kern w:val="0"/>
                <w:sz w:val="20"/>
                <w:szCs w:val="21"/>
              </w:rPr>
            </w:pPr>
            <w:r>
              <w:rPr>
                <w:rFonts w:hint="eastAsia" w:ascii="宋体" w:hAnsi="宋体" w:cs="TimesNewRomanPSMT"/>
                <w:kern w:val="0"/>
                <w:sz w:val="20"/>
                <w:szCs w:val="21"/>
              </w:rPr>
              <w:t>（</w:t>
            </w:r>
            <w:r>
              <w:rPr>
                <w:rFonts w:ascii="宋体" w:hAnsi="宋体" w:cs="TimesNewRomanPSMT"/>
                <w:kern w:val="0"/>
                <w:sz w:val="20"/>
                <w:szCs w:val="21"/>
              </w:rPr>
              <w:t>6</w:t>
            </w:r>
            <w:r>
              <w:rPr>
                <w:rFonts w:hint="eastAsia" w:ascii="宋体" w:hAnsi="宋体" w:cs="TimesNewRomanPSMT"/>
                <w:kern w:val="0"/>
                <w:sz w:val="20"/>
                <w:szCs w:val="21"/>
              </w:rPr>
              <w:t>）</w:t>
            </w:r>
          </w:p>
        </w:tc>
        <w:tc>
          <w:tcPr>
            <w:tcW w:w="8190" w:type="dxa"/>
            <w:gridSpan w:val="2"/>
          </w:tcPr>
          <w:p>
            <w:pPr>
              <w:autoSpaceDE w:val="0"/>
              <w:autoSpaceDN w:val="0"/>
              <w:adjustRightInd w:val="0"/>
              <w:snapToGrid w:val="0"/>
              <w:spacing w:line="360" w:lineRule="auto"/>
              <w:rPr>
                <w:rFonts w:ascii="宋体" w:hAnsi="宋体" w:cs="TimesNewRomanPSMT"/>
                <w:kern w:val="0"/>
                <w:sz w:val="24"/>
              </w:rPr>
            </w:pPr>
            <w:r>
              <w:rPr>
                <w:rFonts w:hint="eastAsia" w:ascii="宋体" w:hAnsi="宋体"/>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pPr>
        <w:autoSpaceDE w:val="0"/>
        <w:autoSpaceDN w:val="0"/>
        <w:adjustRightInd w:val="0"/>
        <w:snapToGrid w:val="0"/>
        <w:spacing w:after="156" w:afterLines="50"/>
        <w:jc w:val="left"/>
        <w:rPr>
          <w:rFonts w:ascii="宋体" w:hAnsi="宋体" w:cs="黑体"/>
          <w:kern w:val="0"/>
          <w:sz w:val="28"/>
          <w:szCs w:val="28"/>
        </w:rPr>
      </w:pPr>
    </w:p>
    <w:p>
      <w:pPr>
        <w:autoSpaceDE w:val="0"/>
        <w:autoSpaceDN w:val="0"/>
        <w:adjustRightInd w:val="0"/>
        <w:snapToGrid w:val="0"/>
        <w:spacing w:after="156" w:afterLines="50"/>
        <w:jc w:val="center"/>
        <w:outlineLvl w:val="1"/>
        <w:rPr>
          <w:rFonts w:ascii="宋体" w:hAnsi="宋体" w:cs="黑体"/>
          <w:kern w:val="0"/>
          <w:sz w:val="28"/>
          <w:szCs w:val="28"/>
        </w:rPr>
      </w:pPr>
      <w:r>
        <w:rPr>
          <w:rFonts w:ascii="宋体" w:hAnsi="宋体" w:cs="仿宋_GB2312"/>
          <w:kern w:val="0"/>
          <w:szCs w:val="21"/>
        </w:rPr>
        <w:br w:type="page"/>
      </w:r>
      <w:bookmarkStart w:id="17" w:name="_Toc61594742"/>
      <w:r>
        <w:rPr>
          <w:rFonts w:hint="eastAsia" w:ascii="宋体" w:hAnsi="宋体" w:cs="黑体"/>
          <w:kern w:val="0"/>
          <w:sz w:val="28"/>
          <w:szCs w:val="28"/>
        </w:rPr>
        <w:t>（二）供应商须知</w:t>
      </w:r>
      <w:bookmarkEnd w:id="17"/>
    </w:p>
    <w:p>
      <w:pPr>
        <w:numPr>
          <w:ilvl w:val="0"/>
          <w:numId w:val="3"/>
        </w:numPr>
        <w:autoSpaceDE w:val="0"/>
        <w:autoSpaceDN w:val="0"/>
        <w:adjustRightInd w:val="0"/>
        <w:spacing w:after="156" w:afterLines="50"/>
        <w:outlineLvl w:val="2"/>
        <w:rPr>
          <w:rFonts w:ascii="黑体" w:hAnsi="宋体" w:eastAsia="黑体" w:cs="黑体"/>
          <w:kern w:val="0"/>
          <w:sz w:val="24"/>
        </w:rPr>
      </w:pPr>
      <w:bookmarkStart w:id="18" w:name="_Toc61594743"/>
      <w:bookmarkStart w:id="19" w:name="_Toc195921793"/>
      <w:r>
        <w:rPr>
          <w:rFonts w:hint="eastAsia" w:ascii="黑体" w:hAnsi="宋体" w:eastAsia="黑体" w:cs="黑体"/>
          <w:kern w:val="0"/>
          <w:sz w:val="24"/>
        </w:rPr>
        <w:t>总则</w:t>
      </w:r>
      <w:bookmarkEnd w:id="18"/>
      <w:bookmarkEnd w:id="19"/>
    </w:p>
    <w:p>
      <w:pPr>
        <w:numPr>
          <w:ilvl w:val="1"/>
          <w:numId w:val="3"/>
        </w:numPr>
        <w:autoSpaceDE w:val="0"/>
        <w:autoSpaceDN w:val="0"/>
        <w:adjustRightInd w:val="0"/>
        <w:snapToGrid w:val="0"/>
        <w:spacing w:after="156" w:afterLines="50"/>
        <w:rPr>
          <w:rFonts w:ascii="宋体" w:hAnsi="宋体" w:cs="黑体"/>
          <w:kern w:val="0"/>
          <w:sz w:val="24"/>
        </w:rPr>
      </w:pPr>
      <w:bookmarkStart w:id="20" w:name="_Toc195921794"/>
      <w:r>
        <w:rPr>
          <w:rFonts w:hint="eastAsia" w:ascii="宋体" w:hAnsi="宋体" w:cs="黑体"/>
          <w:kern w:val="0"/>
          <w:sz w:val="24"/>
        </w:rPr>
        <w:t>项目概况</w:t>
      </w:r>
      <w:bookmarkEnd w:id="20"/>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根据《中华人民共和国政府采购法》和《中华人民共和国政府采购法实施条例》等有关法律、法规和规章的规定，对本项目通过竞争性谈判进行采购。</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w:t>
      </w:r>
      <w:r>
        <w:rPr>
          <w:rFonts w:hint="eastAsia"/>
          <w:sz w:val="24"/>
        </w:rPr>
        <w:t>指依法进行政府采购的国家机关、事业单位、团体组织。本项目采购人见竞争性谈判公告/谈判邀请书</w:t>
      </w:r>
      <w:r>
        <w:rPr>
          <w:rFonts w:hint="eastAsia" w:ascii="宋体" w:hAnsi="宋体" w:cs="黑体"/>
          <w:kern w:val="0"/>
          <w:sz w:val="24"/>
        </w:rPr>
        <w:t>。</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采购代理机构：</w:t>
      </w:r>
      <w:r>
        <w:rPr>
          <w:rFonts w:hint="eastAsia"/>
          <w:sz w:val="24"/>
        </w:rPr>
        <w:t>指采购人委托的采购代理机构。本项目采购代理机构见竞争性谈判公告/谈判邀请书</w:t>
      </w:r>
      <w:r>
        <w:rPr>
          <w:rFonts w:hint="eastAsia" w:ascii="宋体" w:hAnsi="宋体" w:cs="黑体"/>
          <w:kern w:val="0"/>
          <w:sz w:val="24"/>
        </w:rPr>
        <w:t>。</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采购项目名称：</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见竞争性谈判公告</w:t>
      </w:r>
      <w:r>
        <w:rPr>
          <w:rFonts w:hint="eastAsia"/>
          <w:sz w:val="24"/>
        </w:rPr>
        <w:t>/谈判邀请书</w:t>
      </w:r>
      <w:r>
        <w:rPr>
          <w:rFonts w:hint="eastAsia" w:ascii="宋体" w:hAnsi="宋体"/>
          <w:sz w:val="24"/>
        </w:rPr>
        <w:t>。</w:t>
      </w:r>
    </w:p>
    <w:p>
      <w:pPr>
        <w:numPr>
          <w:ilvl w:val="1"/>
          <w:numId w:val="3"/>
        </w:numPr>
        <w:autoSpaceDE w:val="0"/>
        <w:autoSpaceDN w:val="0"/>
        <w:adjustRightInd w:val="0"/>
        <w:snapToGrid w:val="0"/>
        <w:spacing w:after="156" w:afterLines="50"/>
        <w:rPr>
          <w:rFonts w:ascii="宋体" w:hAnsi="宋体" w:cs="黑体"/>
          <w:kern w:val="0"/>
          <w:sz w:val="24"/>
        </w:rPr>
      </w:pPr>
      <w:bookmarkStart w:id="21" w:name="_Toc195921795"/>
      <w:r>
        <w:rPr>
          <w:rFonts w:hint="eastAsia" w:ascii="宋体" w:hAnsi="宋体" w:cs="黑体"/>
          <w:kern w:val="0"/>
          <w:sz w:val="24"/>
        </w:rPr>
        <w:t>采购预算</w:t>
      </w:r>
      <w:bookmarkEnd w:id="21"/>
      <w:r>
        <w:rPr>
          <w:rFonts w:hint="eastAsia" w:ascii="宋体" w:hAnsi="宋体" w:cs="黑体"/>
          <w:kern w:val="0"/>
          <w:sz w:val="24"/>
        </w:rPr>
        <w:t>及最高限价</w:t>
      </w:r>
    </w:p>
    <w:p>
      <w:pPr>
        <w:autoSpaceDE w:val="0"/>
        <w:autoSpaceDN w:val="0"/>
        <w:adjustRightInd w:val="0"/>
        <w:snapToGrid w:val="0"/>
        <w:spacing w:after="156" w:afterLines="50"/>
        <w:ind w:left="1079"/>
        <w:rPr>
          <w:rFonts w:ascii="宋体" w:hAnsi="宋体"/>
          <w:sz w:val="24"/>
        </w:rPr>
      </w:pPr>
      <w:r>
        <w:rPr>
          <w:rFonts w:hint="eastAsia" w:ascii="宋体" w:hAnsi="宋体"/>
          <w:sz w:val="24"/>
        </w:rPr>
        <w:t>见竞争性谈判公告</w:t>
      </w:r>
      <w:r>
        <w:rPr>
          <w:rFonts w:hint="eastAsia"/>
          <w:sz w:val="24"/>
        </w:rPr>
        <w:t>/谈判邀请书</w:t>
      </w:r>
      <w:r>
        <w:rPr>
          <w:rFonts w:hint="eastAsia" w:ascii="宋体" w:hAnsi="宋体"/>
          <w:sz w:val="24"/>
        </w:rPr>
        <w:t>。</w:t>
      </w:r>
    </w:p>
    <w:p>
      <w:pPr>
        <w:numPr>
          <w:ilvl w:val="1"/>
          <w:numId w:val="3"/>
        </w:numPr>
        <w:autoSpaceDE w:val="0"/>
        <w:autoSpaceDN w:val="0"/>
        <w:adjustRightInd w:val="0"/>
        <w:snapToGrid w:val="0"/>
        <w:spacing w:after="156" w:afterLines="50"/>
        <w:rPr>
          <w:rFonts w:ascii="宋体" w:hAnsi="宋体" w:cs="黑体"/>
          <w:kern w:val="0"/>
          <w:sz w:val="24"/>
        </w:rPr>
      </w:pPr>
      <w:bookmarkStart w:id="22" w:name="_Toc195921796"/>
      <w:r>
        <w:rPr>
          <w:rFonts w:hint="eastAsia" w:ascii="宋体" w:hAnsi="宋体" w:cs="黑体"/>
          <w:kern w:val="0"/>
          <w:sz w:val="24"/>
        </w:rPr>
        <w:t>采购范围、供货期/服务期和质量要求</w:t>
      </w:r>
      <w:bookmarkEnd w:id="22"/>
    </w:p>
    <w:p>
      <w:pPr>
        <w:autoSpaceDE w:val="0"/>
        <w:autoSpaceDN w:val="0"/>
        <w:adjustRightInd w:val="0"/>
        <w:snapToGrid w:val="0"/>
        <w:spacing w:after="156" w:afterLines="50"/>
        <w:ind w:left="1079"/>
        <w:rPr>
          <w:rFonts w:ascii="宋体" w:hAnsi="宋体"/>
          <w:sz w:val="24"/>
        </w:rPr>
      </w:pPr>
      <w:r>
        <w:rPr>
          <w:rFonts w:hint="eastAsia" w:ascii="宋体" w:hAnsi="宋体"/>
          <w:sz w:val="24"/>
        </w:rPr>
        <w:t>见采购需求。</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w:t>
      </w:r>
      <w:r>
        <w:rPr>
          <w:rFonts w:hint="eastAsia" w:asciiTheme="minorEastAsia" w:hAnsiTheme="minorEastAsia"/>
          <w:sz w:val="24"/>
        </w:rPr>
        <w:t>指递交响应文件的法人、其他组织或自然人</w:t>
      </w:r>
      <w:r>
        <w:rPr>
          <w:rFonts w:hint="eastAsia" w:ascii="宋体" w:hAnsi="宋体" w:cs="黑体"/>
          <w:kern w:val="0"/>
          <w:sz w:val="24"/>
        </w:rPr>
        <w:t>。</w:t>
      </w:r>
    </w:p>
    <w:p>
      <w:pPr>
        <w:numPr>
          <w:ilvl w:val="1"/>
          <w:numId w:val="3"/>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对供应商相关要求</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符合竞争性谈判公告</w:t>
      </w:r>
      <w:r>
        <w:rPr>
          <w:rFonts w:hint="eastAsia"/>
          <w:sz w:val="24"/>
        </w:rPr>
        <w:t>/谈判邀请书</w:t>
      </w:r>
      <w:r>
        <w:rPr>
          <w:rFonts w:hint="eastAsia" w:ascii="宋体" w:hAnsi="宋体" w:cs="黑体"/>
          <w:kern w:val="0"/>
          <w:sz w:val="24"/>
        </w:rPr>
        <w:t>“供应商资格要求”。</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供应商应当遵循公平竞争的原则，不得恶意串通，不得妨碍其他供应商的竞争行为，不得损害采购人或者其他供应商的合法权益。</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供应商不得以向采购人、采购代理机构、谈判小组成员行贿或者采取其他不正当手段谋取成交。</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竞争性谈判公告</w:t>
      </w:r>
      <w:r>
        <w:rPr>
          <w:rFonts w:hint="eastAsia"/>
          <w:sz w:val="24"/>
        </w:rPr>
        <w:t>/谈判邀请书</w:t>
      </w:r>
      <w:r>
        <w:rPr>
          <w:rFonts w:hint="eastAsia" w:ascii="宋体" w:hAnsi="宋体" w:cs="黑体"/>
          <w:kern w:val="0"/>
          <w:sz w:val="24"/>
        </w:rPr>
        <w:t>规定接受联合体的，还应遵守以下规定：</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联合体各方应按谈判文件提供的格式签订联合体协议书，明确联合体牵头人和各方工作内容和义务；</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ascii="宋体" w:hAnsi="宋体"/>
          <w:sz w:val="24"/>
        </w:rPr>
        <w:t>联合体各方不得再单独参加或者与其他供应商另外组成联合体参加同一合同项下的</w:t>
      </w:r>
      <w:r>
        <w:rPr>
          <w:rFonts w:hint="eastAsia" w:ascii="宋体" w:hAnsi="宋体"/>
          <w:sz w:val="24"/>
        </w:rPr>
        <w:t>谈判。</w:t>
      </w:r>
    </w:p>
    <w:p>
      <w:pPr>
        <w:numPr>
          <w:ilvl w:val="0"/>
          <w:numId w:val="4"/>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联合体各方应当共同与采购人签订采购合同，就合同约定的事项对采购人承担连带责任。</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本项目将执行在政府采购活动中查询及使用信用记录的规定，具体要求为：</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信用信息查询的截止时点：递交首次响应文件截止时间后。</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查询渠道：“信用中国”网站（</w:t>
      </w:r>
      <w:r>
        <w:rPr>
          <w:rFonts w:ascii="宋体" w:hAnsi="宋体"/>
          <w:sz w:val="24"/>
        </w:rPr>
        <w:t xml:space="preserve">www.creditchina.gov.cn）和中国政府采购网（www.ccgp.gov.cn）； </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信用信息查询记录和证据留存具体方式：将经查询存在不良信用记录的潜在供应商的查询结果网页截图作为查询记录和证据，与其他谈判文件一并保存；</w:t>
      </w:r>
    </w:p>
    <w:p>
      <w:pPr>
        <w:numPr>
          <w:ilvl w:val="0"/>
          <w:numId w:val="5"/>
        </w:numPr>
        <w:tabs>
          <w:tab w:val="left" w:pos="1701"/>
        </w:tabs>
        <w:autoSpaceDE w:val="0"/>
        <w:autoSpaceDN w:val="0"/>
        <w:adjustRightInd w:val="0"/>
        <w:snapToGrid w:val="0"/>
        <w:spacing w:after="156" w:afterLines="50"/>
        <w:ind w:left="1701" w:hanging="622"/>
        <w:rPr>
          <w:rFonts w:ascii="宋体" w:hAnsi="宋体"/>
          <w:sz w:val="24"/>
        </w:rPr>
      </w:pPr>
      <w:r>
        <w:rPr>
          <w:rFonts w:hint="eastAsia" w:ascii="宋体" w:hAnsi="宋体"/>
          <w:sz w:val="24"/>
        </w:rPr>
        <w:t>信用信息的使用规则：</w:t>
      </w:r>
      <w:r>
        <w:rPr>
          <w:rFonts w:ascii="宋体" w:hAnsi="宋体"/>
          <w:sz w:val="24"/>
        </w:rPr>
        <w:t>本政府采购项目的供应商在</w:t>
      </w:r>
      <w:r>
        <w:rPr>
          <w:rFonts w:hint="eastAsia" w:ascii="宋体" w:hAnsi="宋体"/>
          <w:sz w:val="24"/>
        </w:rPr>
        <w:t>信用信息查询</w:t>
      </w:r>
      <w:r>
        <w:rPr>
          <w:rFonts w:ascii="宋体" w:hAnsi="宋体"/>
          <w:sz w:val="24"/>
        </w:rPr>
        <w:t>截止时点（含）之前存在</w:t>
      </w:r>
      <w:r>
        <w:rPr>
          <w:rFonts w:hint="eastAsia" w:ascii="宋体" w:hAnsi="宋体"/>
          <w:sz w:val="24"/>
        </w:rPr>
        <w:t>第一章竞争性谈判公告</w:t>
      </w:r>
      <w:r>
        <w:rPr>
          <w:rFonts w:hint="eastAsia"/>
          <w:sz w:val="24"/>
        </w:rPr>
        <w:t>/谈判邀请书“供应商资格要求”中</w:t>
      </w:r>
      <w:r>
        <w:rPr>
          <w:rFonts w:hint="eastAsia" w:ascii="宋体" w:hAnsi="宋体"/>
          <w:sz w:val="24"/>
        </w:rPr>
        <w:t>所述</w:t>
      </w:r>
      <w:r>
        <w:rPr>
          <w:rFonts w:ascii="宋体" w:hAnsi="宋体"/>
          <w:sz w:val="24"/>
        </w:rPr>
        <w:t>不良信用记录的，不得参与谈判。</w:t>
      </w:r>
    </w:p>
    <w:p>
      <w:pPr>
        <w:numPr>
          <w:ilvl w:val="1"/>
          <w:numId w:val="3"/>
        </w:numPr>
        <w:autoSpaceDE w:val="0"/>
        <w:autoSpaceDN w:val="0"/>
        <w:adjustRightInd w:val="0"/>
        <w:snapToGrid w:val="0"/>
        <w:spacing w:after="156" w:afterLines="50"/>
        <w:rPr>
          <w:rFonts w:ascii="宋体" w:hAnsi="宋体" w:cs="黑体"/>
          <w:kern w:val="0"/>
          <w:sz w:val="24"/>
        </w:rPr>
      </w:pPr>
      <w:bookmarkStart w:id="23" w:name="_Ref527101463"/>
      <w:r>
        <w:rPr>
          <w:rFonts w:hint="eastAsia" w:ascii="宋体" w:hAnsi="宋体" w:cs="黑体"/>
          <w:kern w:val="0"/>
          <w:sz w:val="24"/>
        </w:rPr>
        <w:t>分包</w:t>
      </w:r>
      <w:bookmarkEnd w:id="23"/>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pPr>
        <w:numPr>
          <w:ilvl w:val="1"/>
          <w:numId w:val="3"/>
        </w:numPr>
        <w:autoSpaceDE w:val="0"/>
        <w:autoSpaceDN w:val="0"/>
        <w:adjustRightInd w:val="0"/>
        <w:snapToGrid w:val="0"/>
        <w:spacing w:after="156" w:afterLines="50"/>
        <w:rPr>
          <w:rFonts w:ascii="宋体" w:hAnsi="宋体" w:cs="黑体"/>
          <w:kern w:val="0"/>
          <w:sz w:val="24"/>
        </w:rPr>
      </w:pPr>
      <w:bookmarkStart w:id="24" w:name="_Toc195921799"/>
      <w:r>
        <w:rPr>
          <w:rFonts w:hint="eastAsia" w:ascii="宋体" w:hAnsi="宋体" w:cs="黑体"/>
          <w:kern w:val="0"/>
          <w:sz w:val="24"/>
        </w:rPr>
        <w:t>费用承担</w:t>
      </w:r>
      <w:bookmarkEnd w:id="24"/>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供应商准备和参加谈判活动发生的费用自理。</w:t>
      </w:r>
    </w:p>
    <w:p>
      <w:pPr>
        <w:numPr>
          <w:ilvl w:val="1"/>
          <w:numId w:val="3"/>
        </w:numPr>
        <w:autoSpaceDE w:val="0"/>
        <w:autoSpaceDN w:val="0"/>
        <w:adjustRightInd w:val="0"/>
        <w:snapToGrid w:val="0"/>
        <w:spacing w:after="156" w:afterLines="50"/>
        <w:rPr>
          <w:rFonts w:ascii="宋体" w:hAnsi="宋体" w:cs="黑体"/>
          <w:kern w:val="0"/>
          <w:sz w:val="24"/>
        </w:rPr>
      </w:pPr>
      <w:bookmarkStart w:id="25" w:name="_Toc195921800"/>
      <w:r>
        <w:rPr>
          <w:rFonts w:hint="eastAsia" w:ascii="宋体" w:hAnsi="宋体" w:cs="黑体"/>
          <w:kern w:val="0"/>
          <w:sz w:val="24"/>
        </w:rPr>
        <w:t>保密</w:t>
      </w:r>
      <w:bookmarkEnd w:id="25"/>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参与谈判活动的各方应对谈判文件和响应文件中的商业和技术等秘密保密，违者应对由此造成的后果承担法律责任。</w:t>
      </w:r>
    </w:p>
    <w:p>
      <w:pPr>
        <w:numPr>
          <w:ilvl w:val="1"/>
          <w:numId w:val="3"/>
        </w:numPr>
        <w:autoSpaceDE w:val="0"/>
        <w:autoSpaceDN w:val="0"/>
        <w:adjustRightInd w:val="0"/>
        <w:snapToGrid w:val="0"/>
        <w:spacing w:after="156" w:afterLines="50"/>
        <w:rPr>
          <w:rFonts w:ascii="宋体" w:hAnsi="宋体" w:cs="黑体"/>
          <w:kern w:val="0"/>
          <w:sz w:val="24"/>
        </w:rPr>
      </w:pPr>
      <w:bookmarkStart w:id="26" w:name="_Toc195921801"/>
      <w:r>
        <w:rPr>
          <w:rFonts w:hint="eastAsia" w:ascii="宋体" w:hAnsi="宋体" w:cs="黑体"/>
          <w:kern w:val="0"/>
          <w:sz w:val="24"/>
        </w:rPr>
        <w:t>语言文字</w:t>
      </w:r>
      <w:bookmarkEnd w:id="26"/>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除专用术语外，与谈判有关的语言均使用中文。必要时专用术语应附有中文注释。</w:t>
      </w:r>
    </w:p>
    <w:p>
      <w:pPr>
        <w:numPr>
          <w:ilvl w:val="1"/>
          <w:numId w:val="3"/>
        </w:numPr>
        <w:autoSpaceDE w:val="0"/>
        <w:autoSpaceDN w:val="0"/>
        <w:adjustRightInd w:val="0"/>
        <w:snapToGrid w:val="0"/>
        <w:spacing w:after="156" w:afterLines="50"/>
        <w:rPr>
          <w:rFonts w:ascii="宋体" w:hAnsi="宋体" w:cs="黑体"/>
          <w:kern w:val="0"/>
          <w:sz w:val="24"/>
        </w:rPr>
      </w:pPr>
      <w:bookmarkStart w:id="27" w:name="_Toc195921802"/>
      <w:r>
        <w:rPr>
          <w:rFonts w:hint="eastAsia" w:ascii="宋体" w:hAnsi="宋体" w:cs="黑体"/>
          <w:kern w:val="0"/>
          <w:sz w:val="24"/>
        </w:rPr>
        <w:t>计量单位</w:t>
      </w:r>
      <w:bookmarkEnd w:id="27"/>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所有计量均采用中华人民共和国法定计量单位。</w:t>
      </w:r>
    </w:p>
    <w:p>
      <w:pPr>
        <w:numPr>
          <w:ilvl w:val="1"/>
          <w:numId w:val="3"/>
        </w:numPr>
        <w:autoSpaceDE w:val="0"/>
        <w:autoSpaceDN w:val="0"/>
        <w:adjustRightInd w:val="0"/>
        <w:snapToGrid w:val="0"/>
        <w:spacing w:after="156" w:afterLines="50"/>
        <w:rPr>
          <w:rFonts w:ascii="宋体" w:hAnsi="宋体" w:cs="黑体"/>
          <w:kern w:val="0"/>
          <w:sz w:val="24"/>
        </w:rPr>
      </w:pPr>
      <w:bookmarkStart w:id="28" w:name="_Ref527101478"/>
      <w:r>
        <w:rPr>
          <w:rFonts w:ascii="宋体" w:hAnsi="宋体" w:cs="黑体"/>
          <w:kern w:val="0"/>
          <w:sz w:val="24"/>
        </w:rPr>
        <w:t>踏勘现场</w:t>
      </w:r>
      <w:bookmarkEnd w:id="28"/>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29" w:name="_Ref527657954"/>
      <w:r>
        <w:rPr>
          <w:rFonts w:ascii="宋体" w:hAnsi="宋体" w:cs="黑体"/>
          <w:kern w:val="0"/>
          <w:sz w:val="24"/>
        </w:rPr>
        <w:t>供应商须知前附表规定组织踏勘现场的，采购人须按照规定时间、地点组织供应商踏勘项目现场。</w:t>
      </w:r>
      <w:bookmarkEnd w:id="29"/>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供应商承担踏勘现场所发生的自身费用、责任和风险。</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pPr>
        <w:autoSpaceDE w:val="0"/>
        <w:autoSpaceDN w:val="0"/>
        <w:adjustRightInd w:val="0"/>
        <w:snapToGrid w:val="0"/>
        <w:spacing w:after="156" w:afterLines="50"/>
        <w:ind w:left="1134" w:leftChars="540"/>
        <w:rPr>
          <w:rFonts w:ascii="宋体" w:hAnsi="宋体" w:cs="黑体"/>
          <w:kern w:val="0"/>
          <w:sz w:val="24"/>
        </w:rPr>
      </w:pPr>
    </w:p>
    <w:p>
      <w:pPr>
        <w:numPr>
          <w:ilvl w:val="0"/>
          <w:numId w:val="3"/>
        </w:numPr>
        <w:autoSpaceDE w:val="0"/>
        <w:autoSpaceDN w:val="0"/>
        <w:adjustRightInd w:val="0"/>
        <w:spacing w:after="156" w:afterLines="50"/>
        <w:outlineLvl w:val="2"/>
        <w:rPr>
          <w:rFonts w:ascii="黑体" w:hAnsi="宋体" w:eastAsia="黑体" w:cs="黑体"/>
          <w:kern w:val="0"/>
          <w:sz w:val="24"/>
        </w:rPr>
      </w:pPr>
      <w:bookmarkStart w:id="30" w:name="_Toc61594744"/>
      <w:r>
        <w:rPr>
          <w:rFonts w:hint="eastAsia" w:ascii="黑体" w:hAnsi="宋体" w:eastAsia="黑体" w:cs="黑体"/>
          <w:kern w:val="0"/>
          <w:sz w:val="24"/>
        </w:rPr>
        <w:t>谈判文件</w:t>
      </w:r>
      <w:bookmarkEnd w:id="30"/>
    </w:p>
    <w:p>
      <w:pPr>
        <w:numPr>
          <w:ilvl w:val="1"/>
          <w:numId w:val="3"/>
        </w:numPr>
        <w:autoSpaceDE w:val="0"/>
        <w:autoSpaceDN w:val="0"/>
        <w:adjustRightInd w:val="0"/>
        <w:snapToGrid w:val="0"/>
        <w:spacing w:after="156" w:afterLines="50"/>
        <w:rPr>
          <w:rFonts w:ascii="宋体" w:hAnsi="宋体" w:cs="黑体"/>
          <w:kern w:val="0"/>
          <w:sz w:val="24"/>
        </w:rPr>
      </w:pPr>
      <w:bookmarkStart w:id="31" w:name="_Toc195921808"/>
      <w:r>
        <w:rPr>
          <w:rFonts w:hint="eastAsia" w:ascii="宋体" w:hAnsi="宋体" w:cs="黑体"/>
          <w:kern w:val="0"/>
          <w:sz w:val="24"/>
        </w:rPr>
        <w:t>谈判文件的组成</w:t>
      </w:r>
      <w:bookmarkEnd w:id="31"/>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本谈判文件包括：</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竞争性谈判公告；</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供应商须知；</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评审办法和标准；</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合同条款；</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采购需求</w:t>
      </w:r>
    </w:p>
    <w:p>
      <w:pPr>
        <w:pStyle w:val="420"/>
        <w:numPr>
          <w:ilvl w:val="0"/>
          <w:numId w:val="6"/>
        </w:numPr>
        <w:autoSpaceDE w:val="0"/>
        <w:autoSpaceDN w:val="0"/>
        <w:adjustRightInd w:val="0"/>
        <w:snapToGrid w:val="0"/>
        <w:spacing w:after="156" w:afterLines="50"/>
        <w:ind w:firstLineChars="0"/>
        <w:rPr>
          <w:rFonts w:ascii="宋体" w:hAnsi="宋体" w:cs="黑体"/>
          <w:kern w:val="0"/>
          <w:sz w:val="24"/>
        </w:rPr>
      </w:pPr>
      <w:r>
        <w:rPr>
          <w:rFonts w:hint="eastAsia" w:ascii="宋体" w:hAnsi="宋体" w:cs="黑体"/>
          <w:kern w:val="0"/>
          <w:sz w:val="24"/>
        </w:rPr>
        <w:t>响应文件格式。</w:t>
      </w:r>
    </w:p>
    <w:p>
      <w:p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根据本章第</w:t>
      </w:r>
      <w:r>
        <w:fldChar w:fldCharType="begin"/>
      </w:r>
      <w:r>
        <w:instrText xml:space="preserve"> REF _Ref527652798 \r \h  \* MERGEFORMAT </w:instrText>
      </w:r>
      <w:r>
        <w:fldChar w:fldCharType="separate"/>
      </w:r>
      <w:r>
        <w:rPr>
          <w:rFonts w:ascii="宋体" w:hAnsi="宋体" w:cs="黑体"/>
          <w:kern w:val="0"/>
          <w:sz w:val="24"/>
        </w:rPr>
        <w:t>2.2</w:t>
      </w:r>
      <w:r>
        <w:fldChar w:fldCharType="end"/>
      </w:r>
      <w:r>
        <w:rPr>
          <w:rFonts w:hint="eastAsia" w:ascii="宋体" w:hAnsi="宋体" w:cs="黑体"/>
          <w:kern w:val="0"/>
          <w:sz w:val="24"/>
        </w:rPr>
        <w:t>款对谈判文件所作的澄清、修改，构成谈判文件的组成部分。</w:t>
      </w:r>
    </w:p>
    <w:p>
      <w:pPr>
        <w:numPr>
          <w:ilvl w:val="1"/>
          <w:numId w:val="3"/>
        </w:numPr>
        <w:autoSpaceDE w:val="0"/>
        <w:autoSpaceDN w:val="0"/>
        <w:adjustRightInd w:val="0"/>
        <w:snapToGrid w:val="0"/>
        <w:spacing w:after="156" w:afterLines="50"/>
        <w:rPr>
          <w:rFonts w:ascii="宋体" w:hAnsi="宋体" w:cs="黑体"/>
          <w:kern w:val="0"/>
          <w:sz w:val="24"/>
        </w:rPr>
      </w:pPr>
      <w:bookmarkStart w:id="32" w:name="_Ref426441946"/>
      <w:bookmarkStart w:id="33" w:name="_Toc195921809"/>
      <w:bookmarkStart w:id="34" w:name="_Ref527652798"/>
      <w:r>
        <w:rPr>
          <w:rFonts w:hint="eastAsia" w:ascii="宋体" w:hAnsi="宋体" w:cs="黑体"/>
          <w:kern w:val="0"/>
          <w:sz w:val="24"/>
        </w:rPr>
        <w:t>谈判文件的澄清</w:t>
      </w:r>
      <w:bookmarkEnd w:id="32"/>
      <w:bookmarkEnd w:id="33"/>
      <w:r>
        <w:rPr>
          <w:rFonts w:hint="eastAsia" w:ascii="宋体" w:hAnsi="宋体" w:cs="黑体"/>
          <w:kern w:val="0"/>
          <w:sz w:val="24"/>
        </w:rPr>
        <w:t>或修改</w:t>
      </w:r>
      <w:bookmarkEnd w:id="3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供应商应仔细阅读和检查谈判文件的全部内容。如发现缺页或附件不全，应及时向采购人提出，以便补齐。</w:t>
      </w:r>
    </w:p>
    <w:p>
      <w:pPr>
        <w:numPr>
          <w:ilvl w:val="2"/>
          <w:numId w:val="3"/>
        </w:numPr>
        <w:tabs>
          <w:tab w:val="left" w:pos="1260"/>
        </w:tabs>
        <w:autoSpaceDE w:val="0"/>
        <w:autoSpaceDN w:val="0"/>
        <w:adjustRightInd w:val="0"/>
        <w:snapToGrid w:val="0"/>
        <w:spacing w:after="156" w:afterLines="50"/>
        <w:rPr>
          <w:rFonts w:ascii="宋体" w:hAnsi="宋体"/>
          <w:sz w:val="24"/>
        </w:rPr>
      </w:pPr>
      <w:bookmarkStart w:id="35" w:name="_Ref527101604"/>
      <w:r>
        <w:rPr>
          <w:rFonts w:hint="eastAsia" w:ascii="宋体" w:hAnsi="宋体"/>
          <w:sz w:val="24"/>
        </w:rPr>
        <w:t>供应商</w:t>
      </w:r>
      <w:r>
        <w:rPr>
          <w:rFonts w:hint="eastAsia" w:ascii="宋体" w:hAnsi="宋体" w:cs="黑体"/>
          <w:kern w:val="0"/>
          <w:sz w:val="24"/>
        </w:rPr>
        <w:t>如有疑问</w:t>
      </w:r>
      <w:r>
        <w:rPr>
          <w:rFonts w:cs="宋体" w:asciiTheme="minorEastAsia" w:hAnsiTheme="minorEastAsia" w:eastAsiaTheme="minorEastAsia"/>
          <w:sz w:val="24"/>
        </w:rPr>
        <w:t>可以在供应商须知前附表规定的时间内向采购人提出询问</w:t>
      </w:r>
      <w:r>
        <w:rPr>
          <w:rFonts w:hint="eastAsia" w:ascii="宋体" w:hAnsi="宋体" w:cs="黑体"/>
          <w:kern w:val="0"/>
          <w:sz w:val="24"/>
        </w:rPr>
        <w:t>，要求采购人对谈判文件予以澄清。</w:t>
      </w:r>
      <w:bookmarkEnd w:id="35"/>
    </w:p>
    <w:p>
      <w:pPr>
        <w:numPr>
          <w:ilvl w:val="2"/>
          <w:numId w:val="3"/>
        </w:numPr>
        <w:tabs>
          <w:tab w:val="left" w:pos="1260"/>
        </w:tabs>
        <w:autoSpaceDE w:val="0"/>
        <w:autoSpaceDN w:val="0"/>
        <w:adjustRightInd w:val="0"/>
        <w:snapToGrid w:val="0"/>
        <w:spacing w:after="156" w:afterLines="50"/>
        <w:rPr>
          <w:rFonts w:hAnsi="宋体" w:cs="宋体"/>
          <w:sz w:val="24"/>
        </w:rPr>
      </w:pPr>
      <w:r>
        <w:rPr>
          <w:rFonts w:hint="eastAsia" w:hAnsi="宋体" w:cs="宋体"/>
          <w:sz w:val="24"/>
        </w:rPr>
        <w:t>提交首次响应文件截止之日前，采购人、采购代理机构或者谈判小组可以对已发出的谈判文件进行必要的澄清或者修改，澄清或者修改的内容作为谈判文件</w:t>
      </w:r>
      <w:r>
        <w:rPr>
          <w:rFonts w:hint="eastAsia" w:cs="宋体" w:asciiTheme="minorEastAsia" w:hAnsiTheme="minorEastAsia" w:eastAsiaTheme="minor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autoSpaceDE w:val="0"/>
        <w:autoSpaceDN w:val="0"/>
        <w:adjustRightInd w:val="0"/>
        <w:snapToGrid w:val="0"/>
        <w:spacing w:after="156" w:afterLines="50"/>
        <w:ind w:left="1134" w:leftChars="540"/>
        <w:rPr>
          <w:rFonts w:hAnsi="宋体" w:cs="宋体"/>
          <w:sz w:val="24"/>
        </w:rPr>
      </w:pPr>
      <w:r>
        <w:rPr>
          <w:rFonts w:hint="eastAsia" w:ascii="宋体" w:hAnsi="宋体" w:cs="黑体"/>
          <w:kern w:val="0"/>
          <w:sz w:val="24"/>
        </w:rPr>
        <w:t>通过发布公告邀请供应商参加谈判的，澄清修改和更正内容将在谈判公告发布媒体上予以公告。</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供应商应在收到澄清或修改文件后</w:t>
      </w:r>
      <w:r>
        <w:rPr>
          <w:rFonts w:hint="eastAsia" w:ascii="宋体" w:hAnsi="宋体" w:cs="宋体"/>
          <w:sz w:val="24"/>
        </w:rPr>
        <w:t>24小时内或根据澄清通知中要求的时间内</w:t>
      </w:r>
      <w:r>
        <w:rPr>
          <w:rFonts w:hint="eastAsia" w:ascii="宋体" w:hAnsi="宋体" w:cs="黑体"/>
          <w:kern w:val="0"/>
          <w:sz w:val="24"/>
        </w:rPr>
        <w:t>，将加盖公章的回执书面形式通知采购人</w:t>
      </w:r>
      <w:r>
        <w:rPr>
          <w:rFonts w:hAnsi="宋体" w:cs="宋体"/>
          <w:sz w:val="24"/>
        </w:rPr>
        <w:t>、采购代理机构或谈判小组</w:t>
      </w:r>
      <w:r>
        <w:rPr>
          <w:rFonts w:hint="eastAsia" w:ascii="宋体" w:hAnsi="宋体" w:cs="黑体"/>
          <w:kern w:val="0"/>
          <w:sz w:val="24"/>
        </w:rPr>
        <w:t>，确认已收到该澄清。否则，视为同意和接受该澄清或者修改内容。</w:t>
      </w:r>
    </w:p>
    <w:p>
      <w:pPr>
        <w:numPr>
          <w:ilvl w:val="1"/>
          <w:numId w:val="3"/>
        </w:numPr>
        <w:autoSpaceDE w:val="0"/>
        <w:autoSpaceDN w:val="0"/>
        <w:adjustRightInd w:val="0"/>
        <w:snapToGrid w:val="0"/>
        <w:spacing w:after="156" w:afterLines="50"/>
        <w:rPr>
          <w:rFonts w:ascii="宋体" w:hAnsi="宋体" w:cs="黑体"/>
          <w:kern w:val="0"/>
          <w:sz w:val="24"/>
        </w:rPr>
      </w:pPr>
      <w:bookmarkStart w:id="36" w:name="_Ref527101721"/>
      <w:r>
        <w:rPr>
          <w:rFonts w:cs="宋体" w:asciiTheme="minorEastAsia" w:hAnsiTheme="minorEastAsia" w:eastAsiaTheme="minorEastAsia"/>
          <w:sz w:val="24"/>
        </w:rPr>
        <w:t>供应商对谈判文件提出质疑的，</w:t>
      </w:r>
      <w:r>
        <w:rPr>
          <w:rFonts w:hint="eastAsia" w:asciiTheme="minorEastAsia" w:hAnsiTheme="minorEastAsia"/>
          <w:sz w:val="24"/>
        </w:rPr>
        <w:t>应当在获取谈判文件或者谈判文件公告期限届满之日起7个工作日内</w:t>
      </w:r>
      <w:r>
        <w:rPr>
          <w:rFonts w:hint="eastAsia" w:ascii="宋体" w:hAnsi="宋体"/>
          <w:sz w:val="24"/>
        </w:rPr>
        <w:t>，按供应商须知前附表中质疑函送达的方式以书面形式一次性提出质疑</w:t>
      </w:r>
      <w:r>
        <w:rPr>
          <w:rFonts w:cs="宋体" w:asciiTheme="minorEastAsia" w:hAnsiTheme="minorEastAsia" w:eastAsiaTheme="minorEastAsia"/>
          <w:sz w:val="24"/>
        </w:rPr>
        <w:t>。供应商</w:t>
      </w:r>
      <w:r>
        <w:rPr>
          <w:rFonts w:hint="eastAsia" w:asciiTheme="minorEastAsia" w:hAnsiTheme="minorEastAsia"/>
          <w:sz w:val="24"/>
        </w:rPr>
        <w:t>提出质疑应当提交质疑函和必要的证明材料，质疑函的内容应符合政府采购质疑和投诉办法的规定。</w:t>
      </w:r>
      <w:bookmarkEnd w:id="36"/>
    </w:p>
    <w:p>
      <w:pPr>
        <w:numPr>
          <w:ilvl w:val="0"/>
          <w:numId w:val="3"/>
        </w:numPr>
        <w:autoSpaceDE w:val="0"/>
        <w:autoSpaceDN w:val="0"/>
        <w:adjustRightInd w:val="0"/>
        <w:spacing w:after="156" w:afterLines="50"/>
        <w:outlineLvl w:val="2"/>
        <w:rPr>
          <w:rFonts w:ascii="黑体" w:hAnsi="宋体" w:eastAsia="黑体" w:cs="黑体"/>
          <w:kern w:val="0"/>
          <w:sz w:val="24"/>
        </w:rPr>
      </w:pPr>
      <w:bookmarkStart w:id="37" w:name="_Toc61594745"/>
      <w:r>
        <w:rPr>
          <w:rFonts w:hint="eastAsia" w:ascii="黑体" w:hAnsi="宋体" w:eastAsia="黑体" w:cs="黑体"/>
          <w:kern w:val="0"/>
          <w:sz w:val="24"/>
        </w:rPr>
        <w:t>响应文件编制</w:t>
      </w:r>
      <w:bookmarkEnd w:id="37"/>
    </w:p>
    <w:p>
      <w:pPr>
        <w:numPr>
          <w:ilvl w:val="1"/>
          <w:numId w:val="3"/>
        </w:numPr>
        <w:autoSpaceDE w:val="0"/>
        <w:autoSpaceDN w:val="0"/>
        <w:adjustRightInd w:val="0"/>
        <w:snapToGrid w:val="0"/>
        <w:spacing w:after="156" w:afterLines="50"/>
        <w:rPr>
          <w:rFonts w:ascii="宋体" w:hAnsi="宋体" w:cs="黑体"/>
          <w:kern w:val="0"/>
          <w:sz w:val="24"/>
        </w:rPr>
      </w:pPr>
      <w:bookmarkStart w:id="38" w:name="_Toc195921812"/>
      <w:r>
        <w:rPr>
          <w:rFonts w:hint="eastAsia" w:ascii="宋体" w:hAnsi="宋体" w:cs="黑体"/>
          <w:kern w:val="0"/>
          <w:sz w:val="24"/>
        </w:rPr>
        <w:t>响应文件的组成</w:t>
      </w:r>
      <w:bookmarkEnd w:id="38"/>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响应文件应包括下列内容：</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首次报价函及其附录；</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法定代表人身份证明；</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授权委托书；</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谈判保证金；</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分项报价表；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商务、合同条款偏差表；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供应商基本情况表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资格证明文件（详见响应文件格式要求）；</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供应商业绩一览表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小微企业、监狱企业、残疾人福利单位的声明函或证明材料（如有）</w:t>
      </w:r>
      <w:r>
        <w:rPr>
          <w:rFonts w:ascii="宋体" w:hAnsi="宋体" w:cs="黑体"/>
          <w:kern w:val="0"/>
          <w:sz w:val="24"/>
        </w:rPr>
        <w:t>；</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响应承诺书；</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技术偏差表</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对物资的技术规格、数量、服务标准、验收等要求的响应；</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拟派服务实施人员表和资历表（适用于服务谈判）；</w:t>
      </w:r>
    </w:p>
    <w:p>
      <w:pPr>
        <w:numPr>
          <w:ilvl w:val="0"/>
          <w:numId w:val="7"/>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售后服务支持能力</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供应商其他承诺；</w:t>
      </w:r>
    </w:p>
    <w:p>
      <w:pPr>
        <w:numPr>
          <w:ilvl w:val="0"/>
          <w:numId w:val="7"/>
        </w:numPr>
        <w:autoSpaceDE w:val="0"/>
        <w:autoSpaceDN w:val="0"/>
        <w:adjustRightInd w:val="0"/>
        <w:snapToGrid w:val="0"/>
        <w:spacing w:after="156" w:afterLines="50"/>
        <w:rPr>
          <w:rFonts w:ascii="宋体" w:hAnsi="宋体" w:cs="黑体"/>
          <w:kern w:val="0"/>
          <w:sz w:val="24"/>
        </w:rPr>
      </w:pPr>
      <w:r>
        <w:rPr>
          <w:rFonts w:ascii="宋体" w:hAnsi="宋体" w:cs="黑体"/>
          <w:kern w:val="0"/>
          <w:sz w:val="24"/>
        </w:rPr>
        <w:t>最后报价函（谈判结束后，根据谈判小组要求提交）；</w:t>
      </w:r>
    </w:p>
    <w:p>
      <w:pPr>
        <w:numPr>
          <w:ilvl w:val="0"/>
          <w:numId w:val="7"/>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谈判文件要求的其他内容以及供应商认为必要的其他内容。</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39" w:name="_Toc195921813"/>
      <w:r>
        <w:rPr>
          <w:rFonts w:hint="eastAsia" w:ascii="宋体" w:hAnsi="宋体" w:cs="黑体"/>
          <w:kern w:val="0"/>
          <w:sz w:val="24"/>
        </w:rPr>
        <w:t>首次报价</w:t>
      </w:r>
      <w:bookmarkEnd w:id="39"/>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0" w:name="_Toc195921814"/>
      <w:r>
        <w:rPr>
          <w:rFonts w:hint="eastAsia" w:ascii="宋体" w:hAnsi="宋体" w:cs="黑体"/>
          <w:kern w:val="0"/>
          <w:sz w:val="24"/>
        </w:rPr>
        <w:t>供应商应按谈判文件第六章提供的格式进行首次报价。</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所有根据合同或其它原因应由供应商支付的税款和其它应交纳的费用都应包括在供应商提交的报价中。</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ascii="宋体" w:hAnsi="宋体" w:cs="黑体"/>
          <w:kern w:val="0"/>
          <w:sz w:val="24"/>
        </w:rPr>
        <w:t>供应商应仔细阅读所有谈判文件，填报自己认为正确的报价。</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供应商对采购内容只允许有一个报价，采购人不接受任何有选择的报价。</w:t>
      </w:r>
    </w:p>
    <w:p>
      <w:pPr>
        <w:numPr>
          <w:ilvl w:val="1"/>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pPr>
        <w:numPr>
          <w:ilvl w:val="1"/>
          <w:numId w:val="3"/>
        </w:numPr>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报价不得有选择性报价和附有条件的报价，且不得高于预算价或最高限价，否则其报价无效。</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1" w:name="_Ref421009326"/>
      <w:r>
        <w:rPr>
          <w:rFonts w:hint="eastAsia" w:ascii="宋体" w:hAnsi="宋体" w:cs="黑体"/>
          <w:kern w:val="0"/>
          <w:sz w:val="24"/>
        </w:rPr>
        <w:t>响应文件有效期</w:t>
      </w:r>
      <w:bookmarkEnd w:id="40"/>
      <w:bookmarkEnd w:id="41"/>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2" w:name="_Ref527102185"/>
      <w:r>
        <w:rPr>
          <w:rFonts w:hint="eastAsia" w:asciiTheme="minorEastAsia" w:hAnsiTheme="minorEastAsia"/>
          <w:sz w:val="24"/>
        </w:rPr>
        <w:t>本项目</w:t>
      </w:r>
      <w:r>
        <w:rPr>
          <w:rFonts w:hint="eastAsia" w:ascii="宋体" w:hAnsi="宋体" w:cs="黑体"/>
          <w:kern w:val="0"/>
          <w:sz w:val="24"/>
        </w:rPr>
        <w:t>响应文件</w:t>
      </w:r>
      <w:r>
        <w:rPr>
          <w:rFonts w:hint="eastAsia" w:asciiTheme="minorEastAsia" w:hAnsiTheme="minorEastAsia"/>
          <w:sz w:val="24"/>
        </w:rPr>
        <w:t>有效期见供应商须知前附表。</w:t>
      </w:r>
      <w:r>
        <w:rPr>
          <w:rFonts w:hint="eastAsia" w:ascii="宋体" w:hAnsi="宋体" w:cs="黑体"/>
          <w:kern w:val="0"/>
          <w:sz w:val="24"/>
        </w:rPr>
        <w:t>响应文件</w:t>
      </w:r>
      <w:r>
        <w:rPr>
          <w:rFonts w:hint="eastAsia" w:asciiTheme="minorEastAsia" w:hAnsiTheme="minorEastAsia"/>
          <w:sz w:val="24"/>
        </w:rPr>
        <w:t>有效期从提交响应文件的截止之日起算。响应文件中承诺的有效期应当不少于谈判文件中载明的有效期。</w:t>
      </w:r>
      <w:bookmarkEnd w:id="42"/>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在供应商须知前附表规定的响应文件有效期内，供应商不得要求撤销或修改其响应文件。</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3" w:name="_Toc195921815"/>
      <w:r>
        <w:rPr>
          <w:rFonts w:hint="eastAsia" w:ascii="宋体" w:hAnsi="宋体" w:cs="黑体"/>
          <w:kern w:val="0"/>
          <w:sz w:val="24"/>
        </w:rPr>
        <w:t>谈判保证金</w:t>
      </w:r>
      <w:bookmarkEnd w:id="43"/>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4" w:name="_Ref419361076"/>
      <w:r>
        <w:rPr>
          <w:rFonts w:hint="eastAsia" w:ascii="宋体" w:hAnsi="宋体" w:cs="黑体"/>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供应商不按本章第</w:t>
      </w:r>
      <w:r>
        <w:fldChar w:fldCharType="begin"/>
      </w:r>
      <w:r>
        <w:instrText xml:space="preserve"> REF _Ref419361076 \r \h  \* MERGEFORMAT </w:instrText>
      </w:r>
      <w:r>
        <w:fldChar w:fldCharType="separate"/>
      </w:r>
      <w:r>
        <w:rPr>
          <w:rFonts w:ascii="宋体" w:hAnsi="宋体" w:cs="黑体"/>
          <w:kern w:val="0"/>
          <w:sz w:val="24"/>
        </w:rPr>
        <w:t>3.7.1</w:t>
      </w:r>
      <w:r>
        <w:fldChar w:fldCharType="end"/>
      </w:r>
      <w:r>
        <w:rPr>
          <w:rFonts w:hint="eastAsia" w:ascii="宋体" w:hAnsi="宋体" w:cs="黑体"/>
          <w:kern w:val="0"/>
          <w:sz w:val="24"/>
        </w:rPr>
        <w:t>项要求提交谈判保证金的，其响应文件无效。</w:t>
      </w:r>
    </w:p>
    <w:p>
      <w:pPr>
        <w:numPr>
          <w:ilvl w:val="2"/>
          <w:numId w:val="3"/>
        </w:numPr>
        <w:tabs>
          <w:tab w:val="left" w:pos="1260"/>
        </w:tabs>
        <w:autoSpaceDE w:val="0"/>
        <w:autoSpaceDN w:val="0"/>
        <w:adjustRightInd w:val="0"/>
        <w:snapToGrid w:val="0"/>
        <w:spacing w:after="156" w:afterLines="50"/>
        <w:rPr>
          <w:rFonts w:ascii="宋体" w:hAnsi="宋体"/>
          <w:sz w:val="24"/>
        </w:rPr>
      </w:pPr>
      <w:bookmarkStart w:id="45" w:name="_Ref419361088"/>
      <w:r>
        <w:rPr>
          <w:rFonts w:hint="eastAsia" w:ascii="宋体" w:hAnsi="宋体"/>
          <w:sz w:val="24"/>
        </w:rPr>
        <w:t>供应商在首次递交响应文件截止时间3日前，按谈判文件的要求向采购代理机构递交谈判保证金，递交首次响应文件截止时间之后递交的谈判保证金将被拒绝。</w:t>
      </w:r>
      <w:bookmarkEnd w:id="45"/>
    </w:p>
    <w:p>
      <w:pPr>
        <w:numPr>
          <w:ilvl w:val="2"/>
          <w:numId w:val="3"/>
        </w:numPr>
        <w:tabs>
          <w:tab w:val="left" w:pos="1260"/>
        </w:tabs>
        <w:autoSpaceDE w:val="0"/>
        <w:autoSpaceDN w:val="0"/>
        <w:adjustRightInd w:val="0"/>
        <w:snapToGrid w:val="0"/>
        <w:spacing w:after="156" w:afterLines="50"/>
        <w:rPr>
          <w:rFonts w:ascii="宋体" w:hAnsi="宋体"/>
          <w:sz w:val="24"/>
        </w:rPr>
      </w:pPr>
      <w:r>
        <w:rPr>
          <w:rFonts w:hint="eastAsia" w:ascii="宋体" w:hAnsi="宋体"/>
          <w:sz w:val="24"/>
        </w:rPr>
        <w:t>供应商在汇款时务必注明所参与谈判项目的编号及用途，否则，因款项用途不明导致响应文件无效等后果由供应商自行承担。</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采购人或者采购代理机构应当自成交通知书发出之日起5个工作日内退还非成交供应商的谈判保证金，自政府采购合同签订之日起5个工作日内退还成交供应商的谈判保证金</w:t>
      </w:r>
      <w:r>
        <w:rPr>
          <w:rFonts w:hint="eastAsia" w:asciiTheme="minorEastAsia" w:hAnsiTheme="minorEastAsia"/>
          <w:sz w:val="24"/>
        </w:rPr>
        <w:t>或者转为成交供应商的履约保证金</w:t>
      </w:r>
      <w:r>
        <w:rPr>
          <w:rFonts w:hint="eastAsia" w:ascii="宋体" w:hAnsi="宋体" w:cs="黑体"/>
          <w:kern w:val="0"/>
          <w:sz w:val="24"/>
        </w:rPr>
        <w:t>。</w:t>
      </w:r>
    </w:p>
    <w:p>
      <w:pPr>
        <w:numPr>
          <w:ilvl w:val="255"/>
          <w:numId w:val="0"/>
        </w:numPr>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hAnsi="宋体" w:cs="宋体"/>
          <w:sz w:val="24"/>
        </w:rPr>
        <w:t>供应商有下列行为之一者，其谈判保证金可不予退还：</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（1）供应商在响应文件有效期内撤回响应文件的；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（2）供应商在响应文件中提供虚假材料的；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（3）除因不可抗力或谈判文件认可的情形以外，成交供应商不与采购人签订合同的；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（4）供应商与采购人、其他供应商或者采购代理机构恶意串通的；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（5）谈判文件规定应由成交供应商缴纳代理服务费而成交供应商未缴纳的；</w:t>
      </w:r>
    </w:p>
    <w:p>
      <w:pPr>
        <w:tabs>
          <w:tab w:val="left" w:pos="1843"/>
        </w:tabs>
        <w:autoSpaceDE w:val="0"/>
        <w:autoSpaceDN w:val="0"/>
        <w:adjustRightInd w:val="0"/>
        <w:snapToGrid w:val="0"/>
        <w:spacing w:after="156" w:afterLines="50"/>
        <w:ind w:left="1734" w:leftChars="540" w:hanging="600" w:hangingChars="250"/>
        <w:rPr>
          <w:rFonts w:ascii="宋体" w:hAnsi="宋体" w:cs="黑体"/>
          <w:kern w:val="0"/>
          <w:sz w:val="24"/>
        </w:rPr>
      </w:pPr>
      <w:r>
        <w:rPr>
          <w:rFonts w:hint="eastAsia" w:ascii="宋体" w:hAnsi="宋体" w:cs="黑体"/>
          <w:kern w:val="0"/>
          <w:sz w:val="24"/>
        </w:rPr>
        <w:t>（6）谈判文件规定的其他情形。</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46" w:name="_Toc195921818"/>
      <w:r>
        <w:rPr>
          <w:rFonts w:hint="eastAsia" w:ascii="宋体" w:hAnsi="宋体" w:cs="黑体"/>
          <w:kern w:val="0"/>
          <w:sz w:val="24"/>
        </w:rPr>
        <w:t>响应文件的编制</w:t>
      </w:r>
      <w:bookmarkEnd w:id="46"/>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响应文件应按第六章“响应文件格式”进行编写，如有必要，可以增加附页，作为响应文件的组成部分。供应商可以提出比谈判文件要求更有利于采购人的承诺。</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响应文件应当对谈判文件有关采购范围、供货期/服务期、响应文件有效期及谈判文件要求实质性内容作出响应。</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7" w:name="_Ref527102437"/>
      <w:r>
        <w:rPr>
          <w:rFonts w:hint="eastAsia" w:ascii="宋体" w:hAnsi="宋体" w:cs="黑体"/>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7"/>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首次响应文件递交截止时间前，如对首次响应文件进行了修改，包括在响应文件行间插字、涂改和增删，均应由供应商的法定代表人或经授权的代表在修改的每一页上签字。</w:t>
      </w:r>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响应文件的副本可采用正本的复印件。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响应文件正本一份，副本及电子文档要求份数见供应商须知前附表。正本和副本的封面上应清楚地标记“正本”或“副本”的字样。当副本和正本不一致时，以正本为准。</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48" w:name="_Ref527102466"/>
      <w:r>
        <w:rPr>
          <w:rFonts w:hint="eastAsia" w:ascii="宋体" w:hAnsi="宋体" w:cs="黑体"/>
          <w:kern w:val="0"/>
          <w:sz w:val="24"/>
        </w:rPr>
        <w:t>响应文件的正本与副本应分别装订成册，并编制目录，具体分册及装订要求见供应商须知前附表规定。</w:t>
      </w:r>
      <w:bookmarkEnd w:id="48"/>
    </w:p>
    <w:p>
      <w:pPr>
        <w:numPr>
          <w:ilvl w:val="0"/>
          <w:numId w:val="3"/>
        </w:numPr>
        <w:autoSpaceDE w:val="0"/>
        <w:autoSpaceDN w:val="0"/>
        <w:adjustRightInd w:val="0"/>
        <w:spacing w:after="156" w:afterLines="50"/>
        <w:outlineLvl w:val="2"/>
        <w:rPr>
          <w:rFonts w:ascii="黑体" w:hAnsi="宋体" w:eastAsia="黑体" w:cs="黑体"/>
          <w:kern w:val="0"/>
          <w:sz w:val="24"/>
        </w:rPr>
      </w:pPr>
      <w:bookmarkStart w:id="49" w:name="_Toc195921819"/>
      <w:bookmarkStart w:id="50" w:name="_Toc61594746"/>
      <w:r>
        <w:rPr>
          <w:rFonts w:hint="eastAsia" w:ascii="黑体" w:hAnsi="宋体" w:eastAsia="黑体" w:cs="黑体"/>
          <w:kern w:val="0"/>
          <w:sz w:val="24"/>
        </w:rPr>
        <w:t>响应文件</w:t>
      </w:r>
      <w:bookmarkEnd w:id="49"/>
      <w:r>
        <w:rPr>
          <w:rFonts w:hint="eastAsia" w:ascii="黑体" w:hAnsi="宋体" w:eastAsia="黑体" w:cs="黑体"/>
          <w:kern w:val="0"/>
          <w:sz w:val="24"/>
        </w:rPr>
        <w:t>提交</w:t>
      </w:r>
      <w:bookmarkEnd w:id="50"/>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1" w:name="_Toc195921820"/>
      <w:r>
        <w:rPr>
          <w:rFonts w:hint="eastAsia" w:ascii="宋体" w:hAnsi="宋体" w:cs="黑体"/>
          <w:kern w:val="0"/>
          <w:sz w:val="24"/>
        </w:rPr>
        <w:t>响应文件的</w:t>
      </w:r>
      <w:bookmarkEnd w:id="51"/>
      <w:r>
        <w:rPr>
          <w:rFonts w:hint="eastAsia" w:ascii="宋体" w:hAnsi="宋体" w:cs="黑体"/>
          <w:kern w:val="0"/>
          <w:sz w:val="24"/>
        </w:rPr>
        <w:t>密封和标记</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2" w:name="_Ref421008478"/>
      <w:r>
        <w:rPr>
          <w:rFonts w:hint="eastAsia" w:ascii="宋体" w:hAnsi="宋体" w:cs="黑体"/>
          <w:kern w:val="0"/>
          <w:sz w:val="24"/>
        </w:rPr>
        <w:t>供应商递交的响应文件，应按照标包分别加以密封。密封方式为在响应文件外包装封口处加盖公章或“密封章”。</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3" w:name="_Ref527102501"/>
      <w:r>
        <w:rPr>
          <w:rFonts w:hint="eastAsia" w:ascii="宋体" w:hAnsi="宋体" w:cs="黑体"/>
          <w:kern w:val="0"/>
          <w:sz w:val="24"/>
        </w:rPr>
        <w:t>响应文件的封套上应标识的其他内容见供应商须知前附表。</w:t>
      </w:r>
      <w:bookmarkEnd w:id="52"/>
      <w:bookmarkEnd w:id="53"/>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未按本章第</w:t>
      </w:r>
      <w:r>
        <w:fldChar w:fldCharType="begin"/>
      </w:r>
      <w:r>
        <w:instrText xml:space="preserve"> REF _Ref421008478 \r \h  \* MERGEFORMAT </w:instrText>
      </w:r>
      <w:r>
        <w:fldChar w:fldCharType="separate"/>
      </w:r>
      <w:r>
        <w:rPr>
          <w:rFonts w:ascii="宋体" w:hAnsi="宋体" w:cs="黑体"/>
          <w:kern w:val="0"/>
          <w:sz w:val="24"/>
        </w:rPr>
        <w:t>4.1.1</w:t>
      </w:r>
      <w:r>
        <w:fldChar w:fldCharType="end"/>
      </w:r>
      <w:r>
        <w:rPr>
          <w:rFonts w:hint="eastAsia" w:ascii="宋体" w:hAnsi="宋体" w:cs="黑体"/>
          <w:kern w:val="0"/>
          <w:sz w:val="24"/>
        </w:rPr>
        <w:t>项、第</w:t>
      </w:r>
      <w:r>
        <w:fldChar w:fldCharType="begin"/>
      </w:r>
      <w:r>
        <w:instrText xml:space="preserve"> REF _Ref421008478 \r \h  \* MERGEFORMAT </w:instrText>
      </w:r>
      <w:r>
        <w:fldChar w:fldCharType="separate"/>
      </w:r>
      <w:r>
        <w:rPr>
          <w:rFonts w:ascii="宋体" w:hAnsi="宋体" w:cs="黑体"/>
          <w:kern w:val="0"/>
          <w:sz w:val="24"/>
        </w:rPr>
        <w:t>4.1.1</w:t>
      </w:r>
      <w:r>
        <w:fldChar w:fldCharType="end"/>
      </w:r>
      <w:r>
        <w:rPr>
          <w:rFonts w:hint="eastAsia" w:ascii="宋体" w:hAnsi="宋体" w:cs="黑体"/>
          <w:kern w:val="0"/>
          <w:sz w:val="24"/>
        </w:rPr>
        <w:t>项要求密封并加写标识的响应文件，采购人不予受理。</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4" w:name="_Toc195921821"/>
      <w:r>
        <w:rPr>
          <w:rFonts w:hint="eastAsia" w:ascii="宋体" w:hAnsi="宋体" w:cs="黑体"/>
          <w:kern w:val="0"/>
          <w:sz w:val="24"/>
        </w:rPr>
        <w:t>首次响应文件的递交</w:t>
      </w:r>
      <w:bookmarkEnd w:id="54"/>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供应商应在竞争性谈判公告</w:t>
      </w:r>
      <w:r>
        <w:rPr>
          <w:rFonts w:hint="eastAsia"/>
          <w:sz w:val="24"/>
        </w:rPr>
        <w:t>/邀请书</w:t>
      </w:r>
      <w:r>
        <w:rPr>
          <w:rFonts w:hint="eastAsia" w:ascii="宋体" w:hAnsi="宋体" w:cs="黑体"/>
          <w:kern w:val="0"/>
          <w:sz w:val="24"/>
        </w:rPr>
        <w:t>规定的递交响应文件截止时间前递交首次响应文件。如有变化，见澄清修改文件。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供应商递交首次响应文件的地点：见竞争性谈判公告</w:t>
      </w:r>
      <w:r>
        <w:rPr>
          <w:rFonts w:hint="eastAsia"/>
          <w:sz w:val="24"/>
        </w:rPr>
        <w:t>/邀请书</w:t>
      </w:r>
      <w:r>
        <w:rPr>
          <w:rFonts w:hint="eastAsia" w:ascii="宋体" w:hAnsi="宋体" w:cs="黑体"/>
          <w:kern w:val="0"/>
          <w:sz w:val="24"/>
        </w:rPr>
        <w:t>。如有变化，见澄清修改文件。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除因供应商家数不满足要求未进行谈判的情形外，供应商所递交的响应文件不予退还。</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逾期送达、</w:t>
      </w:r>
      <w:r>
        <w:rPr>
          <w:rFonts w:hint="eastAsia" w:ascii="宋体" w:hAnsi="宋体" w:cs="黑体"/>
          <w:kern w:val="0"/>
          <w:sz w:val="24"/>
        </w:rPr>
        <w:t>未送达指定地点</w:t>
      </w:r>
      <w:r>
        <w:rPr>
          <w:rFonts w:hint="eastAsia" w:asciiTheme="minorEastAsia" w:hAnsiTheme="minorEastAsia"/>
          <w:sz w:val="24"/>
        </w:rPr>
        <w:t>的响应文件</w:t>
      </w:r>
      <w:r>
        <w:rPr>
          <w:rFonts w:hint="eastAsia" w:ascii="宋体" w:hAnsi="宋体" w:cs="黑体"/>
          <w:kern w:val="0"/>
          <w:sz w:val="24"/>
        </w:rPr>
        <w:t>，采购人不予受理。</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55" w:name="_Toc195921822"/>
      <w:r>
        <w:rPr>
          <w:rFonts w:hint="eastAsia" w:ascii="宋体" w:hAnsi="宋体" w:cs="黑体"/>
          <w:kern w:val="0"/>
          <w:sz w:val="24"/>
        </w:rPr>
        <w:t>响应文件的修改与撤回</w:t>
      </w:r>
      <w:bookmarkEnd w:id="55"/>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在竞争性谈判公告</w:t>
      </w:r>
      <w:r>
        <w:rPr>
          <w:rFonts w:hint="eastAsia"/>
          <w:sz w:val="24"/>
        </w:rPr>
        <w:t>/邀请书</w:t>
      </w:r>
      <w:r>
        <w:rPr>
          <w:rFonts w:hint="eastAsia" w:ascii="宋体" w:hAnsi="宋体" w:cs="黑体"/>
          <w:kern w:val="0"/>
          <w:sz w:val="24"/>
        </w:rPr>
        <w:t>规定的首次响应文件递交截止时间前，供应商可以修改或撤回已递交的首次响应文件，但应以书面形式通知采购人。</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修改的内容为首次响应文件的组成部分。修改的首次响应文件应按照本章第</w:t>
      </w:r>
      <w:r>
        <w:rPr>
          <w:rFonts w:ascii="宋体" w:hAnsi="宋体" w:cs="黑体"/>
          <w:kern w:val="0"/>
          <w:sz w:val="24"/>
        </w:rPr>
        <w:t>3</w:t>
      </w:r>
      <w:r>
        <w:rPr>
          <w:rFonts w:hint="eastAsia" w:ascii="宋体" w:hAnsi="宋体" w:cs="黑体"/>
          <w:kern w:val="0"/>
          <w:sz w:val="24"/>
        </w:rPr>
        <w:t>条、第</w:t>
      </w:r>
      <w:r>
        <w:rPr>
          <w:rFonts w:ascii="宋体" w:hAnsi="宋体" w:cs="黑体"/>
          <w:kern w:val="0"/>
          <w:sz w:val="24"/>
        </w:rPr>
        <w:t>4</w:t>
      </w:r>
      <w:r>
        <w:rPr>
          <w:rFonts w:hint="eastAsia" w:ascii="宋体" w:hAnsi="宋体" w:cs="黑体"/>
          <w:kern w:val="0"/>
          <w:sz w:val="24"/>
        </w:rPr>
        <w:t>条规定进行编制、标记和递交，并标明“修改”字样。</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56" w:name="_Toc61594747"/>
      <w:r>
        <w:rPr>
          <w:rFonts w:hint="eastAsia" w:ascii="黑体" w:hAnsi="宋体" w:eastAsia="黑体" w:cs="黑体"/>
          <w:kern w:val="0"/>
          <w:sz w:val="24"/>
        </w:rPr>
        <w:t>评审与谈判</w:t>
      </w:r>
      <w:bookmarkEnd w:id="56"/>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谈判小组</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57" w:name="_Ref527102573"/>
      <w:r>
        <w:rPr>
          <w:rFonts w:hint="eastAsia" w:ascii="宋体" w:hAnsi="宋体" w:cs="黑体"/>
          <w:kern w:val="0"/>
          <w:sz w:val="24"/>
        </w:rPr>
        <w:t>竞争性谈判小组由采购人代表和评审专家组成，采购人代表和评审专家人数见供应商须知前附表。</w:t>
      </w:r>
      <w:bookmarkEnd w:id="57"/>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谈判小组成员有下列情形之一的，应当回避：</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参加采购活动前3年内与供应商存在劳动关系；</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参加采购活动前3年内担任供应商的董事、监事；</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参加采购活动前3年内是供应商的控股股东或者实际控制人；</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pPr>
        <w:pStyle w:val="39"/>
        <w:numPr>
          <w:ilvl w:val="0"/>
          <w:numId w:val="8"/>
        </w:numPr>
        <w:snapToGrid w:val="0"/>
        <w:spacing w:after="156" w:afterLines="50"/>
        <w:ind w:left="1985" w:hanging="851"/>
        <w:rPr>
          <w:rFonts w:hAnsi="宋体" w:cs="宋体"/>
          <w:sz w:val="24"/>
          <w:szCs w:val="24"/>
        </w:rPr>
      </w:pPr>
      <w:r>
        <w:rPr>
          <w:rFonts w:hAnsi="宋体" w:cs="宋体"/>
          <w:sz w:val="24"/>
          <w:szCs w:val="24"/>
        </w:rPr>
        <w:t>与供应商有其他可能影响政府采购活动公平、公正进行的关系。</w:t>
      </w:r>
    </w:p>
    <w:p>
      <w:pPr>
        <w:numPr>
          <w:ilvl w:val="2"/>
          <w:numId w:val="3"/>
        </w:numPr>
        <w:tabs>
          <w:tab w:val="left" w:pos="1260"/>
          <w:tab w:val="left" w:pos="1418"/>
          <w:tab w:val="left" w:pos="1800"/>
        </w:tabs>
        <w:autoSpaceDE w:val="0"/>
        <w:autoSpaceDN w:val="0"/>
        <w:adjustRightInd w:val="0"/>
        <w:snapToGrid w:val="0"/>
        <w:spacing w:before="120" w:after="156" w:afterLines="50"/>
        <w:rPr>
          <w:rFonts w:ascii="宋体" w:hAnsi="宋体" w:cs="黑体"/>
          <w:kern w:val="0"/>
          <w:sz w:val="24"/>
        </w:rPr>
      </w:pPr>
      <w:r>
        <w:rPr>
          <w:rFonts w:hint="eastAsia" w:ascii="宋体" w:hAnsi="宋体" w:cs="黑体"/>
          <w:kern w:val="0"/>
          <w:sz w:val="24"/>
        </w:rPr>
        <w:t>谈判小组</w:t>
      </w:r>
      <w:r>
        <w:rPr>
          <w:rFonts w:hint="eastAsia" w:asciiTheme="minorEastAsia" w:hAnsiTheme="minorEastAsia"/>
          <w:sz w:val="24"/>
        </w:rPr>
        <w:t>负责具体评审事务，并独立履行下列职责</w:t>
      </w:r>
      <w:r>
        <w:rPr>
          <w:rFonts w:hint="eastAsia" w:ascii="宋体" w:hAnsi="宋体" w:cs="黑体"/>
          <w:kern w:val="0"/>
          <w:sz w:val="24"/>
        </w:rPr>
        <w:t>：</w:t>
      </w:r>
    </w:p>
    <w:p>
      <w:pPr>
        <w:pStyle w:val="39"/>
        <w:numPr>
          <w:ilvl w:val="0"/>
          <w:numId w:val="9"/>
        </w:numPr>
        <w:snapToGrid w:val="0"/>
        <w:spacing w:after="156" w:afterLines="50"/>
        <w:ind w:left="1985" w:hanging="851"/>
        <w:rPr>
          <w:rFonts w:hAnsi="宋体" w:cs="宋体"/>
          <w:sz w:val="24"/>
          <w:szCs w:val="24"/>
        </w:rPr>
      </w:pPr>
      <w:bookmarkStart w:id="58" w:name="_Toc195921828"/>
      <w:r>
        <w:rPr>
          <w:rFonts w:hint="eastAsia" w:hAnsi="宋体" w:cs="宋体"/>
          <w:sz w:val="24"/>
          <w:szCs w:val="24"/>
        </w:rPr>
        <w:t>确认谈判文件；</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审查供应商的响应文件并作出评价；</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要求供应商解释或者澄清其响应文件；</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编写评审报告；</w:t>
      </w:r>
    </w:p>
    <w:p>
      <w:pPr>
        <w:pStyle w:val="39"/>
        <w:numPr>
          <w:ilvl w:val="0"/>
          <w:numId w:val="9"/>
        </w:numPr>
        <w:snapToGrid w:val="0"/>
        <w:spacing w:after="156" w:afterLines="50"/>
        <w:ind w:left="1985" w:hanging="851"/>
        <w:rPr>
          <w:rFonts w:hAnsi="宋体" w:cs="宋体"/>
          <w:sz w:val="24"/>
          <w:szCs w:val="24"/>
        </w:rPr>
      </w:pPr>
      <w:r>
        <w:rPr>
          <w:rFonts w:hint="eastAsia" w:hAnsi="宋体" w:cs="宋体"/>
          <w:sz w:val="24"/>
          <w:szCs w:val="24"/>
        </w:rPr>
        <w:t>告知采购人、采购代理机构在评审过程中发现的供应商的违法违规行为。</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谈判小组所有成员集中与单一供应商分别进行谈判，并给予所有参加谈判的供应商平等的谈判机会。</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供应商应当按照谈判文件的变动情况和谈判小组的要求重新提交最后报价函，并由其法定代表人或授权代表签字或者加盖公章。由授权代表签字的，应当附法定代表人授权书。</w:t>
      </w:r>
    </w:p>
    <w:p>
      <w:pPr>
        <w:autoSpaceDE w:val="0"/>
        <w:autoSpaceDN w:val="0"/>
        <w:adjustRightInd w:val="0"/>
        <w:snapToGrid w:val="0"/>
        <w:spacing w:after="156" w:afterLines="50"/>
        <w:ind w:left="1134" w:leftChars="540"/>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最后报价函是供应商响应文件的有效组成部分。</w:t>
      </w:r>
    </w:p>
    <w:p>
      <w:pPr>
        <w:numPr>
          <w:ilvl w:val="1"/>
          <w:numId w:val="3"/>
        </w:numPr>
        <w:autoSpaceDE w:val="0"/>
        <w:autoSpaceDN w:val="0"/>
        <w:adjustRightInd w:val="0"/>
        <w:snapToGrid w:val="0"/>
        <w:spacing w:after="156" w:afterLines="50"/>
        <w:ind w:left="1133" w:hanging="1132" w:hangingChars="472"/>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若竞争性谈判最后报价函与供应商首次递交的报价函及报价函附录的内容有差异，以竞争性谈判最后报价函内容为准。</w:t>
      </w:r>
    </w:p>
    <w:p>
      <w:pPr>
        <w:numPr>
          <w:ilvl w:val="1"/>
          <w:numId w:val="3"/>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pPr>
        <w:numPr>
          <w:ilvl w:val="1"/>
          <w:numId w:val="3"/>
        </w:numPr>
        <w:autoSpaceDE w:val="0"/>
        <w:autoSpaceDN w:val="0"/>
        <w:adjustRightInd w:val="0"/>
        <w:snapToGrid w:val="0"/>
        <w:spacing w:after="156" w:afterLines="50"/>
        <w:ind w:left="1133" w:hanging="1132" w:hangingChars="472"/>
        <w:rPr>
          <w:rFonts w:asciiTheme="minorEastAsia" w:hAnsiTheme="minorEastAsia"/>
          <w:sz w:val="24"/>
        </w:rPr>
      </w:pPr>
      <w:r>
        <w:rPr>
          <w:rFonts w:hint="eastAsia" w:cs="TimesNewRomanPSMT" w:asciiTheme="minorEastAsia" w:hAnsiTheme="minorEastAsia" w:eastAsiaTheme="minorEastAsia"/>
          <w:kern w:val="0"/>
          <w:sz w:val="24"/>
        </w:rPr>
        <w:t>谈判小组</w:t>
      </w:r>
      <w:r>
        <w:rPr>
          <w:rFonts w:hint="eastAsia" w:asciiTheme="minorEastAsia" w:hAnsiTheme="minorEastAsia"/>
          <w:sz w:val="24"/>
        </w:rPr>
        <w:t>按照第三章“评审办法和标准”规定的评审方法和标准，对提交最后报价函的响应文件进行评审。“评审办法”没有规定的方法、评审因素和标准，不作为评审依据。</w:t>
      </w:r>
    </w:p>
    <w:bookmarkEnd w:id="58"/>
    <w:p>
      <w:pPr>
        <w:numPr>
          <w:ilvl w:val="0"/>
          <w:numId w:val="3"/>
        </w:numPr>
        <w:autoSpaceDE w:val="0"/>
        <w:autoSpaceDN w:val="0"/>
        <w:adjustRightInd w:val="0"/>
        <w:spacing w:after="156" w:afterLines="50"/>
        <w:outlineLvl w:val="2"/>
        <w:rPr>
          <w:rFonts w:ascii="黑体" w:hAnsi="宋体" w:eastAsia="黑体" w:cs="黑体"/>
          <w:kern w:val="0"/>
          <w:sz w:val="24"/>
        </w:rPr>
      </w:pPr>
      <w:bookmarkStart w:id="59" w:name="_Toc61594748"/>
      <w:bookmarkStart w:id="60" w:name="_Toc195921830"/>
      <w:r>
        <w:rPr>
          <w:rFonts w:hint="eastAsia" w:ascii="黑体" w:hAnsi="宋体" w:eastAsia="黑体" w:cs="黑体"/>
          <w:kern w:val="0"/>
          <w:sz w:val="24"/>
        </w:rPr>
        <w:t>合同授予</w:t>
      </w:r>
      <w:bookmarkEnd w:id="59"/>
      <w:bookmarkEnd w:id="60"/>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bookmarkStart w:id="61" w:name="_Ref526866822"/>
      <w:bookmarkStart w:id="62" w:name="_Ref527102841"/>
      <w:bookmarkStart w:id="63" w:name="_Toc195921831"/>
      <w:r>
        <w:rPr>
          <w:rFonts w:hint="eastAsia" w:ascii="宋体" w:hAnsi="宋体" w:cs="黑体"/>
          <w:kern w:val="0"/>
          <w:sz w:val="24"/>
        </w:rPr>
        <w:t>确定成交供应商方式</w:t>
      </w:r>
      <w:bookmarkEnd w:id="61"/>
      <w:bookmarkEnd w:id="62"/>
      <w:bookmarkEnd w:id="63"/>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采购人应当从评审报告提出的成交候选人中，根据质量和服务均能满足采购文件实质性响应要求且最后报价最低的原则确定成交供应商，也可以书面授权谈判小组直接确定成交供应商。具体方式见供应商须知前附表。</w:t>
      </w:r>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r>
        <w:rPr>
          <w:rFonts w:hint="eastAsia" w:ascii="宋体" w:hAnsi="宋体" w:cs="黑体"/>
          <w:kern w:val="0"/>
          <w:sz w:val="24"/>
        </w:rPr>
        <w:t>成交公告</w:t>
      </w:r>
    </w:p>
    <w:p>
      <w:pPr>
        <w:numPr>
          <w:ilvl w:val="2"/>
          <w:numId w:val="3"/>
        </w:numPr>
        <w:tabs>
          <w:tab w:val="left" w:pos="1260"/>
        </w:tabs>
        <w:autoSpaceDE w:val="0"/>
        <w:autoSpaceDN w:val="0"/>
        <w:adjustRightInd w:val="0"/>
        <w:snapToGrid w:val="0"/>
        <w:spacing w:after="156" w:afterLines="50"/>
        <w:rPr>
          <w:rFonts w:ascii="宋体" w:hAnsi="宋体"/>
          <w:sz w:val="24"/>
        </w:rPr>
      </w:pPr>
      <w:r>
        <w:rPr>
          <w:rFonts w:hint="eastAsia" w:asciiTheme="minorEastAsia" w:hAnsiTheme="minorEastAsia"/>
          <w:sz w:val="24"/>
        </w:rPr>
        <w:t>采购人或者采购代理机构应当自成交供应商确定之日起2个工作日内，在省级以上财政部门指定的媒体上公告成交结果。</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成交公告期限为1个工作日。</w:t>
      </w:r>
    </w:p>
    <w:p>
      <w:pPr>
        <w:numPr>
          <w:ilvl w:val="2"/>
          <w:numId w:val="3"/>
        </w:numPr>
        <w:tabs>
          <w:tab w:val="left" w:pos="1260"/>
        </w:tabs>
        <w:autoSpaceDE w:val="0"/>
        <w:autoSpaceDN w:val="0"/>
        <w:adjustRightInd w:val="0"/>
        <w:snapToGrid w:val="0"/>
        <w:spacing w:after="156" w:afterLines="50"/>
        <w:rPr>
          <w:rFonts w:ascii="宋体" w:hAnsi="宋体"/>
          <w:sz w:val="24"/>
        </w:rPr>
      </w:pPr>
      <w:r>
        <w:rPr>
          <w:rFonts w:ascii="宋体" w:hAnsi="宋体" w:cs="黑体"/>
          <w:kern w:val="0"/>
          <w:sz w:val="24"/>
        </w:rPr>
        <w:t>供应商</w:t>
      </w:r>
      <w:r>
        <w:rPr>
          <w:rFonts w:hint="eastAsia" w:ascii="宋体" w:hAnsi="宋体" w:cs="黑体"/>
          <w:kern w:val="0"/>
          <w:sz w:val="24"/>
        </w:rPr>
        <w:t>可以在成交公告期限届满之日</w:t>
      </w:r>
      <w:r>
        <w:rPr>
          <w:rFonts w:hint="eastAsia" w:ascii="宋体" w:hAnsi="宋体"/>
          <w:sz w:val="24"/>
        </w:rPr>
        <w:t>起七个工作日内，按本须知</w:t>
      </w:r>
      <w:r>
        <w:fldChar w:fldCharType="begin"/>
      </w:r>
      <w:r>
        <w:instrText xml:space="preserve"> REF _Ref527101721 \r \h  \* MERGEFORMAT </w:instrText>
      </w:r>
      <w:r>
        <w:fldChar w:fldCharType="separate"/>
      </w:r>
      <w:r>
        <w:rPr>
          <w:rFonts w:ascii="宋体" w:hAnsi="宋体"/>
          <w:sz w:val="24"/>
        </w:rPr>
        <w:t>2.3</w:t>
      </w:r>
      <w:r>
        <w:fldChar w:fldCharType="end"/>
      </w:r>
      <w:r>
        <w:rPr>
          <w:rFonts w:hint="eastAsia" w:ascii="宋体" w:hAnsi="宋体"/>
          <w:sz w:val="24"/>
        </w:rPr>
        <w:t>款接收质疑函的方式以书面形式一次性提出对成交结果的质疑。</w:t>
      </w:r>
    </w:p>
    <w:p>
      <w:pPr>
        <w:numPr>
          <w:ilvl w:val="1"/>
          <w:numId w:val="3"/>
        </w:numPr>
        <w:autoSpaceDE w:val="0"/>
        <w:autoSpaceDN w:val="0"/>
        <w:adjustRightInd w:val="0"/>
        <w:snapToGrid w:val="0"/>
        <w:spacing w:after="156" w:afterLines="50"/>
        <w:ind w:left="1680" w:hanging="1680" w:hangingChars="700"/>
        <w:rPr>
          <w:rFonts w:ascii="宋体" w:hAnsi="宋体" w:cs="黑体"/>
          <w:kern w:val="0"/>
          <w:sz w:val="24"/>
        </w:rPr>
      </w:pPr>
      <w:bookmarkStart w:id="64" w:name="_Toc195921832"/>
      <w:r>
        <w:rPr>
          <w:rFonts w:hint="eastAsia" w:ascii="宋体" w:hAnsi="宋体" w:cs="黑体"/>
          <w:kern w:val="0"/>
          <w:sz w:val="24"/>
        </w:rPr>
        <w:t>成交通知</w:t>
      </w:r>
      <w:bookmarkEnd w:id="64"/>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宋体"/>
          <w:kern w:val="0"/>
          <w:sz w:val="24"/>
        </w:rPr>
        <w:t>在公告成交结果的同时</w:t>
      </w:r>
      <w:r>
        <w:rPr>
          <w:rFonts w:hint="eastAsia" w:ascii="宋体" w:hAnsi="宋体" w:cs="黑体"/>
          <w:kern w:val="0"/>
          <w:sz w:val="24"/>
        </w:rPr>
        <w:t>，采购人以书面形式向成交供应商发出成交通知书，同时将成交结果通知其他参加谈判的供应商。</w:t>
      </w:r>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Theme="minorEastAsia" w:hAnsiTheme="minorEastAsia"/>
          <w:sz w:val="24"/>
        </w:rPr>
        <w:t>成交通知书发出后，采购人不得违法改变成交结果，成交供应商无正当理由不得放弃。</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履约保证金</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bookmarkStart w:id="65" w:name="_Ref421009348"/>
      <w:r>
        <w:rPr>
          <w:rFonts w:hint="eastAsia" w:ascii="宋体" w:hAnsi="宋体" w:cs="黑体"/>
          <w:kern w:val="0"/>
          <w:sz w:val="24"/>
        </w:rPr>
        <w:t>在签订合同前，成交供应商应按供应商须知前附表规定的金额、担保形式和谈判文件第四章“合同条款及格式”规定的履约保证金格式向采购人提交履约保证金。</w:t>
      </w:r>
      <w:bookmarkEnd w:id="65"/>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成交供应商不能按本章第</w:t>
      </w:r>
      <w:r>
        <w:fldChar w:fldCharType="begin"/>
      </w:r>
      <w:r>
        <w:instrText xml:space="preserve"> REF _Ref421009348 \r \h  \* MERGEFORMAT </w:instrText>
      </w:r>
      <w:r>
        <w:fldChar w:fldCharType="separate"/>
      </w:r>
      <w:r>
        <w:rPr>
          <w:rFonts w:ascii="宋体" w:hAnsi="宋体" w:cs="黑体"/>
          <w:kern w:val="0"/>
          <w:sz w:val="24"/>
        </w:rPr>
        <w:t>6.4.1</w:t>
      </w:r>
      <w:r>
        <w:fldChar w:fldCharType="end"/>
      </w:r>
      <w:r>
        <w:rPr>
          <w:rFonts w:hint="eastAsia" w:ascii="宋体" w:hAnsi="宋体" w:cs="黑体"/>
          <w:kern w:val="0"/>
          <w:sz w:val="24"/>
        </w:rPr>
        <w:t>项要求提交履约保证金的，视为放弃成交，其谈判保证金不予退还，给采购人造成的损失超过谈判保证金数额的，成交供应商还应当对超过部分予以赔偿。</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66" w:name="_Toc195921834"/>
      <w:r>
        <w:rPr>
          <w:rFonts w:hint="eastAsia" w:ascii="宋体" w:hAnsi="宋体" w:cs="黑体"/>
          <w:kern w:val="0"/>
          <w:sz w:val="24"/>
        </w:rPr>
        <w:t>签订合同</w:t>
      </w:r>
      <w:bookmarkEnd w:id="66"/>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Theme="minorEastAsia" w:hAnsiTheme="minorEastAsia"/>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pPr>
        <w:tabs>
          <w:tab w:val="left" w:pos="1260"/>
        </w:tabs>
        <w:autoSpaceDE w:val="0"/>
        <w:autoSpaceDN w:val="0"/>
        <w:adjustRightInd w:val="0"/>
        <w:snapToGrid w:val="0"/>
        <w:spacing w:after="156" w:afterLines="50"/>
        <w:ind w:left="1134"/>
        <w:rPr>
          <w:rFonts w:asciiTheme="minorEastAsia" w:hAnsiTheme="minorEastAsia"/>
          <w:sz w:val="24"/>
        </w:rPr>
      </w:pPr>
      <w:r>
        <w:rPr>
          <w:rFonts w:hint="eastAsia" w:asciiTheme="minorEastAsia" w:hAnsiTheme="minorEastAsia"/>
          <w:sz w:val="24"/>
        </w:rPr>
        <w:t>采购人不得向成交供应商提出任何不合理的要求作为签订合同的条件。</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成交供应商无正当理由拒签合同的，采购人取消其成交资格，其谈判保证金不予退还；给采购人造成的损失超过谈判保证金数额的，成交供应商还应当对超过部分予以赔偿。</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发出成交通知书后，采购人无正当理由拒签合同的，采购人向成交供应商退还谈判保证金；给成交供应商造成损失的，还应当赔偿损失。</w:t>
      </w:r>
    </w:p>
    <w:p>
      <w:pPr>
        <w:numPr>
          <w:ilvl w:val="2"/>
          <w:numId w:val="3"/>
        </w:numPr>
        <w:tabs>
          <w:tab w:val="left" w:pos="1260"/>
        </w:tabs>
        <w:autoSpaceDE w:val="0"/>
        <w:autoSpaceDN w:val="0"/>
        <w:adjustRightInd w:val="0"/>
        <w:snapToGrid w:val="0"/>
        <w:spacing w:after="156" w:afterLines="50"/>
        <w:rPr>
          <w:rFonts w:ascii="宋体" w:hAnsi="宋体" w:cs="黑体"/>
          <w:kern w:val="0"/>
          <w:sz w:val="24"/>
        </w:rPr>
      </w:pPr>
      <w:r>
        <w:rPr>
          <w:rFonts w:hint="eastAsia" w:ascii="宋体" w:hAnsi="宋体" w:cs="黑体"/>
          <w:kern w:val="0"/>
          <w:sz w:val="24"/>
        </w:rPr>
        <w:t>成交供应商拒绝签订政府采购合同的，采购人可以按照第</w:t>
      </w:r>
      <w:r>
        <w:fldChar w:fldCharType="begin"/>
      </w:r>
      <w:r>
        <w:instrText xml:space="preserve"> REF _Ref526866822 \r \h  \* MERGEFORMAT </w:instrText>
      </w:r>
      <w:r>
        <w:fldChar w:fldCharType="separate"/>
      </w:r>
      <w:r>
        <w:rPr>
          <w:rFonts w:ascii="宋体" w:hAnsi="宋体" w:cs="黑体"/>
          <w:kern w:val="0"/>
          <w:sz w:val="24"/>
        </w:rPr>
        <w:t>6.1</w:t>
      </w:r>
      <w:r>
        <w:fldChar w:fldCharType="end"/>
      </w:r>
      <w:r>
        <w:rPr>
          <w:rFonts w:ascii="宋体" w:hAnsi="宋体" w:cs="黑体"/>
          <w:kern w:val="0"/>
          <w:sz w:val="24"/>
        </w:rPr>
        <w:t>款</w:t>
      </w:r>
      <w:r>
        <w:rPr>
          <w:rFonts w:hint="eastAsia" w:ascii="宋体" w:hAnsi="宋体" w:cs="黑体"/>
          <w:kern w:val="0"/>
          <w:sz w:val="24"/>
        </w:rPr>
        <w:t>原则确定其他供应商作为成交供应商并签订政府采购合同，也可以重新开展采购活动。拒绝签订政府采购合同的成交供应商不得参加对该项目重新开展的采购活动。</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67" w:name="_Toc61594749"/>
      <w:bookmarkStart w:id="68" w:name="_Toc195921838"/>
      <w:r>
        <w:rPr>
          <w:rFonts w:hint="eastAsia" w:ascii="黑体" w:hAnsi="宋体" w:eastAsia="黑体" w:cs="黑体"/>
          <w:kern w:val="0"/>
          <w:sz w:val="24"/>
        </w:rPr>
        <w:t>重新开展采购活动</w:t>
      </w:r>
      <w:bookmarkEnd w:id="67"/>
    </w:p>
    <w:p>
      <w:pPr>
        <w:tabs>
          <w:tab w:val="left" w:pos="1260"/>
        </w:tabs>
        <w:autoSpaceDE w:val="0"/>
        <w:autoSpaceDN w:val="0"/>
        <w:adjustRightInd w:val="0"/>
        <w:snapToGrid w:val="0"/>
        <w:spacing w:after="156" w:afterLines="50"/>
        <w:ind w:left="1134" w:leftChars="540"/>
        <w:rPr>
          <w:rFonts w:ascii="宋体" w:hAnsi="宋体" w:cs="黑体"/>
          <w:kern w:val="0"/>
          <w:sz w:val="24"/>
        </w:rPr>
      </w:pPr>
      <w:r>
        <w:rPr>
          <w:rFonts w:hint="eastAsia" w:ascii="宋体" w:hAnsi="宋体" w:cs="黑体"/>
          <w:kern w:val="0"/>
          <w:sz w:val="24"/>
        </w:rPr>
        <w:t>出现下列情形之一的，采购人或者采购代理机构应当终止竞争性谈判采购活动，通过发布公告邀请供应商参加谈判的，将在谈判公告发布媒体上发布（通过邀请方式的，将通知每位接受邀请的供应商）项目终止公告并说明原因，重新开展采购活动：</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（1）</w:t>
      </w:r>
      <w:r>
        <w:rPr>
          <w:rFonts w:hint="eastAsia" w:ascii="宋体" w:hAnsi="宋体" w:cs="黑体"/>
          <w:kern w:val="0"/>
          <w:sz w:val="24"/>
        </w:rPr>
        <w:tab/>
      </w:r>
      <w:r>
        <w:rPr>
          <w:rFonts w:hint="eastAsia" w:ascii="宋体" w:hAnsi="宋体" w:cs="黑体"/>
          <w:kern w:val="0"/>
          <w:sz w:val="24"/>
        </w:rPr>
        <w:t>因情况变化，不再符合规定的竞争性谈判采购方式适用情形的；</w:t>
      </w:r>
    </w:p>
    <w:p>
      <w:pPr>
        <w:tabs>
          <w:tab w:val="left" w:pos="1260"/>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（2）</w:t>
      </w:r>
      <w:r>
        <w:rPr>
          <w:rFonts w:hint="eastAsia" w:ascii="宋体" w:hAnsi="宋体" w:cs="黑体"/>
          <w:kern w:val="0"/>
          <w:sz w:val="24"/>
        </w:rPr>
        <w:tab/>
      </w:r>
      <w:r>
        <w:rPr>
          <w:rFonts w:hint="eastAsia" w:ascii="宋体" w:hAnsi="宋体" w:cs="黑体"/>
          <w:kern w:val="0"/>
          <w:sz w:val="24"/>
        </w:rPr>
        <w:t>出现影响采购公正的违法、违规行为的；</w:t>
      </w:r>
    </w:p>
    <w:p>
      <w:pPr>
        <w:tabs>
          <w:tab w:val="left" w:pos="2127"/>
        </w:tabs>
        <w:autoSpaceDE w:val="0"/>
        <w:autoSpaceDN w:val="0"/>
        <w:adjustRightInd w:val="0"/>
        <w:snapToGrid w:val="0"/>
        <w:spacing w:after="156" w:afterLines="50"/>
        <w:ind w:left="1983" w:leftChars="540" w:hanging="849" w:hangingChars="354"/>
        <w:rPr>
          <w:rFonts w:ascii="宋体" w:hAnsi="宋体" w:cs="黑体"/>
          <w:kern w:val="0"/>
          <w:sz w:val="24"/>
        </w:rPr>
      </w:pPr>
      <w:r>
        <w:rPr>
          <w:rFonts w:hint="eastAsia" w:ascii="宋体" w:hAnsi="宋体" w:cs="黑体"/>
          <w:kern w:val="0"/>
          <w:sz w:val="24"/>
        </w:rPr>
        <w:t>（</w:t>
      </w:r>
      <w:r>
        <w:rPr>
          <w:rFonts w:ascii="宋体" w:hAnsi="宋体" w:cs="黑体"/>
          <w:kern w:val="0"/>
          <w:sz w:val="24"/>
        </w:rPr>
        <w:t>3）</w:t>
      </w:r>
      <w:r>
        <w:rPr>
          <w:rFonts w:ascii="宋体" w:hAnsi="宋体" w:cs="黑体"/>
          <w:kern w:val="0"/>
          <w:sz w:val="24"/>
        </w:rPr>
        <w:tab/>
      </w:r>
      <w:r>
        <w:rPr>
          <w:rFonts w:hint="eastAsia" w:ascii="宋体" w:hAnsi="宋体" w:cs="黑体"/>
          <w:kern w:val="0"/>
          <w:sz w:val="24"/>
        </w:rPr>
        <w:t>在采购过程中符合竞争要求的供应商或者报价未超过采购预算或最高限价的供应商不足</w:t>
      </w:r>
      <w:r>
        <w:rPr>
          <w:rFonts w:ascii="宋体" w:hAnsi="宋体" w:cs="黑体"/>
          <w:kern w:val="0"/>
          <w:sz w:val="24"/>
        </w:rPr>
        <w:t>3家的，但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r>
        <w:rPr>
          <w:rFonts w:hint="eastAsia" w:ascii="宋体" w:hAnsi="宋体" w:cs="黑体"/>
          <w:kern w:val="0"/>
          <w:sz w:val="24"/>
        </w:rPr>
        <w:t>。</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69" w:name="_Toc61594750"/>
      <w:r>
        <w:rPr>
          <w:rFonts w:hint="eastAsia" w:ascii="黑体" w:hAnsi="宋体" w:eastAsia="黑体" w:cs="黑体"/>
          <w:kern w:val="0"/>
          <w:sz w:val="24"/>
        </w:rPr>
        <w:t>纪律和监督</w:t>
      </w:r>
      <w:bookmarkEnd w:id="68"/>
      <w:bookmarkEnd w:id="69"/>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0" w:name="_Toc195921839"/>
      <w:r>
        <w:rPr>
          <w:rFonts w:hint="eastAsia" w:ascii="宋体" w:hAnsi="宋体" w:cs="黑体"/>
          <w:kern w:val="0"/>
          <w:sz w:val="24"/>
        </w:rPr>
        <w:t>对采购人的要求</w:t>
      </w:r>
      <w:bookmarkEnd w:id="70"/>
    </w:p>
    <w:p>
      <w:pPr>
        <w:tabs>
          <w:tab w:val="left" w:pos="1260"/>
        </w:tabs>
        <w:autoSpaceDE w:val="0"/>
        <w:autoSpaceDN w:val="0"/>
        <w:adjustRightInd w:val="0"/>
        <w:snapToGrid w:val="0"/>
        <w:spacing w:after="156" w:afterLines="50"/>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int="eastAsia" w:hAnsi="宋体" w:cs="宋体"/>
          <w:sz w:val="24"/>
        </w:rPr>
        <w:t>。</w:t>
      </w:r>
      <w:r>
        <w:rPr>
          <w:rFonts w:hAnsi="宋体" w:cs="宋体"/>
          <w:sz w:val="24"/>
        </w:rPr>
        <w:t>采购人不得向供应商索要或者接受其给予的赠品、回扣或者与采购无关的其他商品、服务</w:t>
      </w:r>
      <w:r>
        <w:rPr>
          <w:rFonts w:hint="eastAsia" w:ascii="宋体" w:hAnsi="宋体" w:cs="黑体"/>
          <w:kern w:val="0"/>
          <w:sz w:val="24"/>
        </w:rPr>
        <w:t>。</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1" w:name="_Toc195921840"/>
      <w:r>
        <w:rPr>
          <w:rFonts w:hint="eastAsia" w:ascii="宋体" w:hAnsi="宋体" w:cs="黑体"/>
          <w:kern w:val="0"/>
          <w:sz w:val="24"/>
        </w:rPr>
        <w:t>对采购代理机构的要求</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采购代理机构不得与采购人、供应商恶意串通操纵政府采购活动。</w:t>
      </w:r>
    </w:p>
    <w:p>
      <w:pPr>
        <w:tabs>
          <w:tab w:val="left" w:pos="1260"/>
        </w:tabs>
        <w:autoSpaceDE w:val="0"/>
        <w:autoSpaceDN w:val="0"/>
        <w:adjustRightInd w:val="0"/>
        <w:snapToGrid w:val="0"/>
        <w:spacing w:after="156" w:afterLines="50"/>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r>
        <w:rPr>
          <w:rFonts w:hint="eastAsia" w:ascii="宋体" w:hAnsi="宋体" w:cs="黑体"/>
          <w:kern w:val="0"/>
          <w:sz w:val="24"/>
        </w:rPr>
        <w:t>对供应商的纪律要求</w:t>
      </w:r>
      <w:bookmarkEnd w:id="71"/>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供应商不得相互串通或者与采购人串通，不得向采购人或者谈判小组成员行贿谋取成交，不得以他人名义或者以其他方式弄虚作假骗取成交；供应商不得以任何方式干扰、影响谈判工作。</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2" w:name="_Toc195921841"/>
      <w:r>
        <w:rPr>
          <w:rFonts w:hint="eastAsia" w:ascii="宋体" w:hAnsi="宋体" w:cs="黑体"/>
          <w:kern w:val="0"/>
          <w:sz w:val="24"/>
        </w:rPr>
        <w:t>谈判小组及其成员不得有下列行为</w:t>
      </w:r>
      <w:bookmarkEnd w:id="72"/>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确定参与谈判至谈判结束前私自接触供应商；</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接受供应商提出的与响应文件不一致的澄清或者说明，谈判小组要求供应商作出必要的澄清、说明或者补正的情形除外；</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违反评审纪律发表倾向性意见或者征询采购人的倾向性意见；</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在评审与谈判过程中擅离职守，影响评审程序正常进行的；</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记录、复制或者带走任何评审资料；</w:t>
      </w:r>
    </w:p>
    <w:p>
      <w:pPr>
        <w:pStyle w:val="420"/>
        <w:numPr>
          <w:ilvl w:val="0"/>
          <w:numId w:val="10"/>
        </w:numPr>
        <w:snapToGrid w:val="0"/>
        <w:spacing w:after="156" w:afterLines="50"/>
        <w:ind w:left="1985" w:hanging="853" w:firstLineChars="0"/>
        <w:rPr>
          <w:rFonts w:asciiTheme="minorEastAsia" w:hAnsiTheme="minorEastAsia"/>
          <w:sz w:val="24"/>
        </w:rPr>
      </w:pPr>
      <w:r>
        <w:rPr>
          <w:rFonts w:hint="eastAsia" w:asciiTheme="minorEastAsia" w:hAnsiTheme="minorEastAsia"/>
          <w:sz w:val="24"/>
        </w:rPr>
        <w:t>其他不遵守评审纪律的行为。</w:t>
      </w:r>
    </w:p>
    <w:p>
      <w:pPr>
        <w:numPr>
          <w:ilvl w:val="1"/>
          <w:numId w:val="3"/>
        </w:numPr>
        <w:autoSpaceDE w:val="0"/>
        <w:autoSpaceDN w:val="0"/>
        <w:adjustRightInd w:val="0"/>
        <w:snapToGrid w:val="0"/>
        <w:spacing w:after="156" w:afterLines="50"/>
        <w:ind w:left="1133" w:hanging="1132" w:hangingChars="472"/>
        <w:rPr>
          <w:rFonts w:ascii="宋体" w:hAnsi="宋体" w:cs="黑体"/>
          <w:kern w:val="0"/>
          <w:sz w:val="24"/>
        </w:rPr>
      </w:pPr>
      <w:bookmarkStart w:id="73" w:name="_Toc195921842"/>
      <w:r>
        <w:rPr>
          <w:rFonts w:hint="eastAsia" w:ascii="宋体" w:hAnsi="宋体" w:cs="黑体"/>
          <w:kern w:val="0"/>
          <w:sz w:val="24"/>
        </w:rPr>
        <w:t>对与评审活动有关的工作人员的纪律要求</w:t>
      </w:r>
      <w:bookmarkEnd w:id="73"/>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与</w:t>
      </w:r>
      <w:r>
        <w:rPr>
          <w:rFonts w:hint="eastAsia" w:asciiTheme="minorEastAsia" w:hAnsiTheme="minorEastAsia"/>
          <w:sz w:val="24"/>
        </w:rPr>
        <w:t>评审与谈判</w:t>
      </w:r>
      <w:r>
        <w:rPr>
          <w:rFonts w:hint="eastAsia" w:ascii="宋体" w:hAnsi="宋体" w:cs="黑体"/>
          <w:kern w:val="0"/>
          <w:sz w:val="24"/>
        </w:rPr>
        <w:t>活动有关的工作人员不得收受他人的财物或者其他好处，不得向他人透漏对响应文件的</w:t>
      </w:r>
      <w:r>
        <w:rPr>
          <w:rFonts w:hint="eastAsia" w:asciiTheme="minorEastAsia" w:hAnsiTheme="minorEastAsia"/>
          <w:sz w:val="24"/>
        </w:rPr>
        <w:t>评审与谈判</w:t>
      </w:r>
      <w:r>
        <w:rPr>
          <w:rFonts w:hint="eastAsia" w:ascii="宋体" w:hAnsi="宋体" w:cs="黑体"/>
          <w:kern w:val="0"/>
          <w:sz w:val="24"/>
        </w:rPr>
        <w:t>、成交候选人的推荐情况以及</w:t>
      </w:r>
      <w:r>
        <w:rPr>
          <w:rFonts w:hint="eastAsia" w:asciiTheme="minorEastAsia" w:hAnsiTheme="minorEastAsia"/>
          <w:sz w:val="24"/>
        </w:rPr>
        <w:t>评审与谈判</w:t>
      </w:r>
      <w:r>
        <w:rPr>
          <w:rFonts w:hint="eastAsia" w:ascii="宋体" w:hAnsi="宋体" w:cs="黑体"/>
          <w:kern w:val="0"/>
          <w:sz w:val="24"/>
        </w:rPr>
        <w:t>有关的其他情况。在评审活动中，参与</w:t>
      </w:r>
      <w:r>
        <w:rPr>
          <w:rFonts w:hint="eastAsia" w:asciiTheme="minorEastAsia" w:hAnsiTheme="minorEastAsia"/>
          <w:sz w:val="24"/>
        </w:rPr>
        <w:t>评审与谈判</w:t>
      </w:r>
      <w:r>
        <w:rPr>
          <w:rFonts w:hint="eastAsia" w:ascii="宋体" w:hAnsi="宋体" w:cs="黑体"/>
          <w:kern w:val="0"/>
          <w:sz w:val="24"/>
        </w:rPr>
        <w:t>活动有关的工作人员不得擅离职守，影响</w:t>
      </w:r>
      <w:r>
        <w:rPr>
          <w:rFonts w:hint="eastAsia" w:asciiTheme="minorEastAsia" w:hAnsiTheme="minorEastAsia"/>
          <w:sz w:val="24"/>
        </w:rPr>
        <w:t>评审与谈判</w:t>
      </w:r>
      <w:r>
        <w:rPr>
          <w:rFonts w:hint="eastAsia" w:ascii="宋体" w:hAnsi="宋体" w:cs="黑体"/>
          <w:kern w:val="0"/>
          <w:sz w:val="24"/>
        </w:rPr>
        <w:t>程序正常进行。</w:t>
      </w:r>
    </w:p>
    <w:p>
      <w:pPr>
        <w:numPr>
          <w:ilvl w:val="1"/>
          <w:numId w:val="3"/>
        </w:numPr>
        <w:autoSpaceDE w:val="0"/>
        <w:autoSpaceDN w:val="0"/>
        <w:adjustRightInd w:val="0"/>
        <w:snapToGrid w:val="0"/>
        <w:spacing w:after="156" w:afterLines="50"/>
        <w:ind w:left="1920" w:hanging="1920" w:hangingChars="800"/>
        <w:rPr>
          <w:rFonts w:ascii="宋体" w:hAnsi="宋体" w:cs="黑体"/>
          <w:kern w:val="0"/>
          <w:sz w:val="24"/>
        </w:rPr>
      </w:pPr>
      <w:bookmarkStart w:id="74" w:name="_Toc195921843"/>
      <w:r>
        <w:rPr>
          <w:rFonts w:hint="eastAsia" w:ascii="宋体" w:hAnsi="宋体" w:cs="黑体"/>
          <w:kern w:val="0"/>
          <w:sz w:val="24"/>
        </w:rPr>
        <w:t>投诉</w:t>
      </w:r>
      <w:bookmarkEnd w:id="74"/>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质疑供应商对采购人、采购代理机构的答复不满意或者采购人、采购代理机构未在规定的时间内作出答复的，可以在答复期满后十五个工作日内向同级政府采购监督管理部门投诉。</w:t>
      </w:r>
    </w:p>
    <w:p>
      <w:pPr>
        <w:numPr>
          <w:ilvl w:val="0"/>
          <w:numId w:val="3"/>
        </w:numPr>
        <w:autoSpaceDE w:val="0"/>
        <w:autoSpaceDN w:val="0"/>
        <w:adjustRightInd w:val="0"/>
        <w:spacing w:after="156" w:afterLines="50"/>
        <w:outlineLvl w:val="2"/>
        <w:rPr>
          <w:rFonts w:ascii="黑体" w:hAnsi="宋体" w:eastAsia="黑体" w:cs="黑体"/>
          <w:kern w:val="0"/>
          <w:sz w:val="24"/>
        </w:rPr>
      </w:pPr>
      <w:bookmarkStart w:id="75" w:name="_Toc61594751"/>
      <w:bookmarkStart w:id="76" w:name="_Toc195921844"/>
      <w:bookmarkStart w:id="77" w:name="_Ref527103019"/>
      <w:r>
        <w:rPr>
          <w:rFonts w:hint="eastAsia" w:ascii="黑体" w:hAnsi="宋体" w:eastAsia="黑体" w:cs="黑体"/>
          <w:kern w:val="0"/>
          <w:sz w:val="24"/>
        </w:rPr>
        <w:t>其他</w:t>
      </w:r>
      <w:bookmarkEnd w:id="75"/>
      <w:bookmarkEnd w:id="76"/>
      <w:bookmarkEnd w:id="77"/>
    </w:p>
    <w:p>
      <w:pPr>
        <w:tabs>
          <w:tab w:val="left" w:pos="1260"/>
        </w:tabs>
        <w:autoSpaceDE w:val="0"/>
        <w:autoSpaceDN w:val="0"/>
        <w:adjustRightInd w:val="0"/>
        <w:snapToGrid w:val="0"/>
        <w:spacing w:after="156" w:afterLines="50"/>
        <w:ind w:left="1134"/>
        <w:rPr>
          <w:rFonts w:ascii="宋体" w:hAnsi="宋体" w:cs="黑体"/>
          <w:kern w:val="0"/>
          <w:sz w:val="24"/>
        </w:rPr>
      </w:pPr>
      <w:r>
        <w:rPr>
          <w:rFonts w:hint="eastAsia" w:ascii="宋体" w:hAnsi="宋体" w:cs="黑体"/>
          <w:kern w:val="0"/>
          <w:sz w:val="24"/>
        </w:rPr>
        <w:t>需要补充的其他内容见供应商须知前附表。</w:t>
      </w:r>
    </w:p>
    <w:p>
      <w:pPr>
        <w:autoSpaceDE w:val="0"/>
        <w:autoSpaceDN w:val="0"/>
        <w:adjustRightInd w:val="0"/>
        <w:snapToGrid w:val="0"/>
        <w:spacing w:before="312" w:beforeLines="100" w:after="312" w:afterLines="100"/>
        <w:jc w:val="center"/>
        <w:outlineLvl w:val="0"/>
        <w:rPr>
          <w:rFonts w:ascii="宋体" w:hAnsi="宋体" w:cs="黑体"/>
          <w:kern w:val="0"/>
          <w:sz w:val="32"/>
          <w:szCs w:val="32"/>
        </w:rPr>
      </w:pPr>
      <w:r>
        <w:br w:type="page"/>
      </w:r>
      <w:bookmarkStart w:id="78" w:name="_Toc195921851"/>
      <w:bookmarkStart w:id="79" w:name="_Toc61594752"/>
      <w:r>
        <w:rPr>
          <w:rFonts w:hint="eastAsia" w:ascii="宋体" w:hAnsi="宋体" w:cs="黑体"/>
          <w:b/>
          <w:bCs/>
          <w:kern w:val="0"/>
          <w:sz w:val="32"/>
          <w:szCs w:val="32"/>
        </w:rPr>
        <w:t>第三章 评审办法</w:t>
      </w:r>
      <w:bookmarkEnd w:id="78"/>
      <w:r>
        <w:rPr>
          <w:rFonts w:hint="eastAsia" w:ascii="宋体" w:hAnsi="宋体" w:cs="黑体"/>
          <w:b/>
          <w:bCs/>
          <w:kern w:val="0"/>
          <w:sz w:val="32"/>
          <w:szCs w:val="32"/>
        </w:rPr>
        <w:t>和标准</w:t>
      </w:r>
      <w:bookmarkEnd w:id="79"/>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0" w:name="_Toc61594753"/>
      <w:r>
        <w:rPr>
          <w:rFonts w:hint="eastAsia" w:ascii="黑体" w:hAnsi="TimesNewRomanPSMT" w:eastAsia="黑体" w:cs="TimesNewRomanPSMT"/>
          <w:kern w:val="0"/>
          <w:sz w:val="24"/>
        </w:rPr>
        <w:t>资格审查及符合性审查</w:t>
      </w:r>
      <w:bookmarkEnd w:id="80"/>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谈判小组按附表一所列审查标准，对供应商资格进行审查，以确定供应商是否具备谈判资格。</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谈判小组对符合资格要求的供应商按本章附表二进行符合性审查，以确定其是否满足谈判文件的实质性要求。</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cs="TimesNewRomanPSMT" w:asciiTheme="minorEastAsia" w:hAnsiTheme="minorEastAsia" w:eastAsiaTheme="minorEastAsia"/>
          <w:kern w:val="0"/>
          <w:sz w:val="24"/>
        </w:rPr>
        <w:t>谈判小组</w:t>
      </w:r>
      <w:r>
        <w:rPr>
          <w:rFonts w:hint="eastAsia" w:ascii="宋体" w:hAnsi="宋体" w:cs="TimesNewRomanPSMT"/>
          <w:kern w:val="0"/>
          <w:sz w:val="24"/>
        </w:rPr>
        <w:t>不接受供应商主动提出的澄清、说明或补正。</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ascii="宋体" w:hAnsi="宋体" w:cs="TimesNewRomanPSMT"/>
          <w:kern w:val="0"/>
          <w:sz w:val="24"/>
        </w:rPr>
        <w:t>供应商的书面澄清、说明和补正属于响应文件的组成部分。</w:t>
      </w:r>
    </w:p>
    <w:p>
      <w:pPr>
        <w:tabs>
          <w:tab w:val="left" w:pos="993"/>
          <w:tab w:val="left" w:pos="1418"/>
        </w:tabs>
        <w:autoSpaceDE w:val="0"/>
        <w:autoSpaceDN w:val="0"/>
        <w:adjustRightInd w:val="0"/>
        <w:snapToGrid w:val="0"/>
        <w:spacing w:before="120" w:after="156" w:afterLines="50"/>
        <w:ind w:left="1050" w:leftChars="500"/>
        <w:jc w:val="left"/>
        <w:rPr>
          <w:rFonts w:ascii="宋体" w:hAnsi="宋体" w:cs="TimesNewRomanPSMT"/>
          <w:kern w:val="0"/>
          <w:sz w:val="24"/>
        </w:rPr>
      </w:pPr>
      <w:r>
        <w:rPr>
          <w:rFonts w:hint="eastAsia" w:cs="TimesNewRomanPSMT" w:asciiTheme="minorEastAsia" w:hAnsiTheme="minorEastAsia" w:eastAsiaTheme="minorEastAsia"/>
          <w:kern w:val="0"/>
          <w:sz w:val="24"/>
        </w:rPr>
        <w:t>谈判小组</w:t>
      </w:r>
      <w:r>
        <w:rPr>
          <w:rFonts w:hint="eastAsia" w:ascii="宋体" w:hAnsi="宋体" w:cs="TimesNewRomanPSMT"/>
          <w:kern w:val="0"/>
          <w:sz w:val="24"/>
        </w:rPr>
        <w:t>对供应商提交的澄清、说明或补正有疑问的，可以要求供应商进一步澄清、说明或补正，直至满足谈判小组的要求。</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不具备谈判文件要求的资格或未通过符合性审查的供应商，不参与谈判，由谈判小组告知该供应商。</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通过资格审查和符合性审查的合格供应商不足3家的，不再进行评审和谈判</w:t>
      </w:r>
      <w:r>
        <w:rPr>
          <w:rFonts w:ascii="宋体" w:hAnsi="宋体" w:cs="黑体"/>
          <w:kern w:val="0"/>
          <w:sz w:val="24"/>
        </w:rPr>
        <w:t>，但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1" w:name="_Toc61594754"/>
      <w:r>
        <w:rPr>
          <w:rFonts w:hint="eastAsia" w:ascii="黑体" w:hAnsi="TimesNewRomanPSMT" w:eastAsia="黑体" w:cs="TimesNewRomanPSMT"/>
          <w:kern w:val="0"/>
          <w:sz w:val="24"/>
        </w:rPr>
        <w:t>谈判</w:t>
      </w:r>
      <w:bookmarkEnd w:id="81"/>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谈判小组所有成员集中与单一供应商分别进行谈判，并给予所有参加谈判的供应商平等的谈判机会。</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hint="eastAsia" w:cs="宋体" w:asciiTheme="minorEastAsia" w:hAnsiTheme="minorEastAsia" w:eastAsiaTheme="minorEastAsia"/>
          <w:sz w:val="24"/>
        </w:rPr>
        <w:t>公开招标的货物、服务采购项目，招标过程中提交投标文件或者经评审实质性响应招标文件要求的供应商只有两家时，经财政部门批准后采用竞争</w:t>
      </w:r>
      <w:r>
        <w:rPr>
          <w:rFonts w:hint="eastAsia" w:cs="TimesNewRomanPSMT" w:asciiTheme="minorEastAsia" w:hAnsiTheme="minorEastAsia" w:eastAsiaTheme="minorEastAsia"/>
          <w:kern w:val="0"/>
          <w:sz w:val="24"/>
        </w:rPr>
        <w:t>性谈判采购方式的除外。</w:t>
      </w:r>
    </w:p>
    <w:p>
      <w:pPr>
        <w:numPr>
          <w:ilvl w:val="0"/>
          <w:numId w:val="11"/>
        </w:numPr>
        <w:tabs>
          <w:tab w:val="left" w:pos="1122"/>
          <w:tab w:val="clear" w:pos="1077"/>
        </w:tabs>
        <w:autoSpaceDE w:val="0"/>
        <w:autoSpaceDN w:val="0"/>
        <w:adjustRightInd w:val="0"/>
        <w:snapToGrid w:val="0"/>
        <w:spacing w:after="156" w:afterLines="50"/>
        <w:ind w:left="1134" w:hanging="1134"/>
        <w:jc w:val="left"/>
        <w:outlineLvl w:val="1"/>
        <w:rPr>
          <w:rFonts w:ascii="黑体" w:hAnsi="TimesNewRomanPSMT" w:eastAsia="黑体" w:cs="TimesNewRomanPSMT"/>
          <w:kern w:val="0"/>
          <w:sz w:val="24"/>
        </w:rPr>
      </w:pPr>
      <w:bookmarkStart w:id="82" w:name="_Toc61594755"/>
      <w:r>
        <w:rPr>
          <w:rFonts w:hint="eastAsia" w:ascii="黑体" w:hAnsi="TimesNewRomanPSMT" w:eastAsia="黑体" w:cs="TimesNewRomanPSMT"/>
          <w:kern w:val="0"/>
          <w:sz w:val="24"/>
        </w:rPr>
        <w:t>评审</w:t>
      </w:r>
      <w:bookmarkEnd w:id="82"/>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报价评审</w:t>
      </w:r>
    </w:p>
    <w:p>
      <w:pPr>
        <w:numPr>
          <w:ilvl w:val="2"/>
          <w:numId w:val="11"/>
        </w:numPr>
        <w:tabs>
          <w:tab w:val="left" w:pos="1134"/>
          <w:tab w:val="left" w:pos="1843"/>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谈判小组发现供应商的最后报价明显低于其他供应商的最后报价或者明显低于预算价或最高限价，有可能影响采购项目质量和不能诚信履约的，应当要求其在规定的期限内提供书面文件予以解释说明，并提交相关证明材料。该供应商</w:t>
      </w:r>
      <w:r>
        <w:rPr>
          <w:rFonts w:hint="eastAsia" w:ascii="宋体" w:hAnsi="宋体" w:cs="黑体"/>
          <w:kern w:val="0"/>
          <w:sz w:val="24"/>
        </w:rPr>
        <w:t>不能合理说明或者不能提供相应证明材料的，</w:t>
      </w:r>
      <w:r>
        <w:rPr>
          <w:rFonts w:hint="eastAsia" w:cs="TimesNewRomanPSMT" w:asciiTheme="minorEastAsia" w:hAnsiTheme="minorEastAsia" w:eastAsiaTheme="minorEastAsia"/>
          <w:kern w:val="0"/>
          <w:sz w:val="24"/>
        </w:rPr>
        <w:t>谈判小组可以取消其谈判资格。</w:t>
      </w:r>
    </w:p>
    <w:p>
      <w:pPr>
        <w:numPr>
          <w:ilvl w:val="2"/>
          <w:numId w:val="11"/>
        </w:numPr>
        <w:tabs>
          <w:tab w:val="left" w:pos="1134"/>
          <w:tab w:val="left" w:pos="1843"/>
        </w:tabs>
        <w:autoSpaceDE w:val="0"/>
        <w:autoSpaceDN w:val="0"/>
        <w:adjustRightInd w:val="0"/>
        <w:snapToGrid w:val="0"/>
        <w:spacing w:after="156" w:afterLines="50"/>
        <w:ind w:left="1134" w:hanging="1134"/>
        <w:jc w:val="left"/>
        <w:rPr>
          <w:rFonts w:cs="TimesNewRomanPSMT" w:asciiTheme="minorEastAsia" w:hAnsiTheme="minorEastAsia" w:eastAsiaTheme="minorEastAsia"/>
          <w:kern w:val="0"/>
          <w:sz w:val="24"/>
        </w:rPr>
      </w:pPr>
      <w:bookmarkStart w:id="83" w:name="_Ref526928181"/>
      <w:r>
        <w:rPr>
          <w:rFonts w:hint="eastAsia" w:cs="TimesNewRomanPSMT" w:asciiTheme="minorEastAsia" w:hAnsiTheme="minorEastAsia" w:eastAsiaTheme="minorEastAsia"/>
          <w:kern w:val="0"/>
          <w:sz w:val="24"/>
        </w:rPr>
        <w:t>根据《政府采购促进中小企业发展暂行办法》（财库[2011]181号）调整供应商参与评审的价格。（非专门面向中小企业的项目）</w:t>
      </w:r>
      <w:bookmarkEnd w:id="83"/>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cs="宋体" w:asciiTheme="minorEastAsia" w:hAnsiTheme="minorEastAsia" w:eastAsiaTheme="minorEastAsia"/>
          <w:b/>
          <w:bCs/>
          <w:sz w:val="24"/>
        </w:rPr>
        <w:t xml:space="preserve">对小型和微型企业产品的价格给予 </w:t>
      </w:r>
      <w:r>
        <w:rPr>
          <w:rFonts w:cs="宋体" w:asciiTheme="minorEastAsia" w:hAnsiTheme="minorEastAsia" w:eastAsiaTheme="minorEastAsia"/>
          <w:b/>
          <w:bCs/>
          <w:sz w:val="24"/>
        </w:rPr>
        <w:t>6</w:t>
      </w:r>
      <w:r>
        <w:rPr>
          <w:rFonts w:hint="eastAsia" w:cs="宋体" w:asciiTheme="minorEastAsia" w:hAnsiTheme="minorEastAsia" w:eastAsiaTheme="minorEastAsia"/>
          <w:b/>
          <w:bCs/>
          <w:sz w:val="24"/>
        </w:rPr>
        <w:t xml:space="preserve"> %（6%至10%）的扣除。</w:t>
      </w:r>
      <w:r>
        <w:rPr>
          <w:rFonts w:hint="eastAsia" w:cs="宋体" w:asciiTheme="minorEastAsia" w:hAnsiTheme="minorEastAsia" w:eastAsiaTheme="minorEastAsia"/>
          <w:sz w:val="24"/>
        </w:rPr>
        <w:t>或</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cs="宋体" w:asciiTheme="minorEastAsia" w:hAnsiTheme="minorEastAsia" w:eastAsiaTheme="minorEastAsia"/>
          <w:sz w:val="24"/>
        </w:rPr>
        <w:t xml:space="preserve">小型、微型企业的协议合同金额占到联合体协议合同总金额30%以上的，可给予联合体 </w:t>
      </w:r>
      <w:r>
        <w:rPr>
          <w:rFonts w:cs="宋体" w:asciiTheme="minorEastAsia" w:hAnsiTheme="minorEastAsia" w:eastAsiaTheme="minorEastAsia"/>
          <w:sz w:val="24"/>
        </w:rPr>
        <w:t>/</w:t>
      </w:r>
      <w:r>
        <w:rPr>
          <w:rFonts w:hint="eastAsia" w:cs="宋体" w:asciiTheme="minorEastAsia" w:hAnsiTheme="minorEastAsia" w:eastAsiaTheme="minorEastAsia"/>
          <w:sz w:val="24"/>
        </w:rPr>
        <w:t xml:space="preserve"> %（2%至3%）的价格扣除。（不适用）</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cs="宋体" w:asciiTheme="minorEastAsia" w:hAnsiTheme="minorEastAsia" w:eastAsiaTheme="minorEastAsia"/>
          <w:sz w:val="24"/>
        </w:rPr>
        <w:t>注：监狱企业、残疾人福利性单位视同小微企业；残疾人福利性单位属于小型、微型企业的，不重复享受政策。</w:t>
      </w:r>
    </w:p>
    <w:p>
      <w:pPr>
        <w:numPr>
          <w:ilvl w:val="2"/>
          <w:numId w:val="11"/>
        </w:numPr>
        <w:tabs>
          <w:tab w:val="left" w:pos="1134"/>
          <w:tab w:val="left" w:pos="1843"/>
        </w:tabs>
        <w:autoSpaceDE w:val="0"/>
        <w:autoSpaceDN w:val="0"/>
        <w:adjustRightInd w:val="0"/>
        <w:snapToGrid w:val="0"/>
        <w:spacing w:after="156" w:afterLines="50"/>
        <w:ind w:left="1134" w:hanging="1134"/>
        <w:jc w:val="left"/>
        <w:rPr>
          <w:rFonts w:cs="TimesNewRomanPSMT" w:asciiTheme="minorEastAsia" w:hAnsiTheme="minorEastAsia" w:eastAsiaTheme="minorEastAsia"/>
          <w:b/>
          <w:bCs/>
          <w:kern w:val="0"/>
          <w:sz w:val="24"/>
        </w:rPr>
      </w:pPr>
      <w:bookmarkStart w:id="84" w:name="_Ref529265369"/>
      <w:r>
        <w:rPr>
          <w:rFonts w:hint="eastAsia" w:cs="TimesNewRomanPSMT" w:asciiTheme="minorEastAsia" w:hAnsiTheme="minorEastAsia" w:eastAsiaTheme="minorEastAsia"/>
          <w:b/>
          <w:bCs/>
          <w:kern w:val="0"/>
          <w:sz w:val="24"/>
        </w:rPr>
        <w:t>对供应商提供的产品属于优先采购的节能、环境标志产品时给予1</w:t>
      </w:r>
      <w:r>
        <w:rPr>
          <w:rFonts w:cs="TimesNewRomanPSMT" w:asciiTheme="minorEastAsia" w:hAnsiTheme="minorEastAsia" w:eastAsiaTheme="minorEastAsia"/>
          <w:b/>
          <w:bCs/>
          <w:kern w:val="0"/>
          <w:sz w:val="24"/>
        </w:rPr>
        <w:t>%</w:t>
      </w:r>
      <w:r>
        <w:rPr>
          <w:rFonts w:hint="eastAsia" w:cs="TimesNewRomanPSMT" w:asciiTheme="minorEastAsia" w:hAnsiTheme="minorEastAsia" w:eastAsiaTheme="minorEastAsia"/>
          <w:b/>
          <w:bCs/>
          <w:kern w:val="0"/>
          <w:sz w:val="24"/>
        </w:rPr>
        <w:t>的价格扣除。</w:t>
      </w:r>
      <w:bookmarkEnd w:id="84"/>
    </w:p>
    <w:p>
      <w:pPr>
        <w:numPr>
          <w:ilvl w:val="1"/>
          <w:numId w:val="11"/>
        </w:numPr>
        <w:tabs>
          <w:tab w:val="left" w:pos="1134"/>
        </w:tabs>
        <w:autoSpaceDE w:val="0"/>
        <w:autoSpaceDN w:val="0"/>
        <w:adjustRightInd w:val="0"/>
        <w:snapToGrid w:val="0"/>
        <w:spacing w:after="156" w:afterLines="50"/>
        <w:jc w:val="left"/>
        <w:rPr>
          <w:rFonts w:cs="TimesNewRomanPSMT" w:asciiTheme="minorEastAsia" w:hAnsiTheme="minorEastAsia" w:eastAsiaTheme="minorEastAsia"/>
          <w:kern w:val="0"/>
          <w:sz w:val="24"/>
        </w:rPr>
      </w:pPr>
      <w:r>
        <w:rPr>
          <w:rFonts w:hint="eastAsia" w:cs="TimesNewRomanPSMT" w:asciiTheme="minorEastAsia" w:hAnsiTheme="minorEastAsia" w:eastAsiaTheme="minorEastAsia"/>
          <w:kern w:val="0"/>
          <w:sz w:val="24"/>
        </w:rPr>
        <w:t>评审结果</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rPr>
      </w:pPr>
      <w:r>
        <w:rPr>
          <w:rFonts w:hint="eastAsia" w:ascii="宋体" w:hAnsi="宋体" w:cs="TimesNewRomanPSMT"/>
          <w:kern w:val="0"/>
          <w:sz w:val="24"/>
        </w:rPr>
        <w:t>除第二章供应商须知前附表授权直接确定成交供应商外,</w:t>
      </w:r>
      <w:r>
        <w:rPr>
          <w:rFonts w:hint="eastAsia" w:cs="宋体" w:asciiTheme="minorEastAsia" w:hAnsiTheme="minorEastAsia" w:eastAsiaTheme="minorEastAsia"/>
          <w:sz w:val="24"/>
        </w:rPr>
        <w:t>谈判小组应当从质量和服务均能满足采购文件实质性响应要求的供应商中，按照第</w:t>
      </w:r>
      <w:r>
        <w:fldChar w:fldCharType="begin"/>
      </w:r>
      <w:r>
        <w:instrText xml:space="preserve"> REF _Ref526928181 \r \h  \* MERGEFORMAT </w:instrText>
      </w:r>
      <w:r>
        <w:fldChar w:fldCharType="separate"/>
      </w:r>
      <w:r>
        <w:rPr>
          <w:rFonts w:cs="宋体" w:asciiTheme="minorEastAsia" w:hAnsiTheme="minorEastAsia" w:eastAsiaTheme="minorEastAsia"/>
          <w:sz w:val="24"/>
        </w:rPr>
        <w:t>3.1.2</w:t>
      </w:r>
      <w:r>
        <w:fldChar w:fldCharType="end"/>
      </w:r>
      <w:r>
        <w:t>和</w:t>
      </w:r>
      <w:r>
        <w:fldChar w:fldCharType="begin"/>
      </w:r>
      <w:r>
        <w:instrText xml:space="preserve"> REF _Ref529265369 \r \h  \* MERGEFORMAT </w:instrText>
      </w:r>
      <w:r>
        <w:fldChar w:fldCharType="separate"/>
      </w:r>
      <w:r>
        <w:rPr>
          <w:rFonts w:cs="宋体" w:asciiTheme="minorEastAsia" w:hAnsiTheme="minorEastAsia" w:eastAsiaTheme="minorEastAsia"/>
          <w:sz w:val="24"/>
        </w:rPr>
        <w:t>3.1.3</w:t>
      </w:r>
      <w:r>
        <w:fldChar w:fldCharType="end"/>
      </w:r>
      <w:r>
        <w:rPr>
          <w:rFonts w:hint="eastAsia" w:cs="宋体" w:asciiTheme="minorEastAsia" w:hAnsiTheme="minorEastAsia" w:eastAsiaTheme="minorEastAsia"/>
          <w:sz w:val="24"/>
        </w:rPr>
        <w:t>项调整后的最后报价由低到高的顺序提出3名以上成交候选人，并编写评审报告。</w:t>
      </w:r>
    </w:p>
    <w:p>
      <w:pPr>
        <w:tabs>
          <w:tab w:val="left" w:pos="1134"/>
          <w:tab w:val="left" w:pos="1260"/>
          <w:tab w:val="left" w:pos="1418"/>
          <w:tab w:val="left" w:pos="1800"/>
        </w:tabs>
        <w:autoSpaceDE w:val="0"/>
        <w:autoSpaceDN w:val="0"/>
        <w:adjustRightInd w:val="0"/>
        <w:snapToGrid w:val="0"/>
        <w:spacing w:before="120" w:after="156" w:afterLines="50"/>
        <w:ind w:left="1134" w:leftChars="540"/>
        <w:rPr>
          <w:rFonts w:cs="宋体" w:asciiTheme="minorEastAsia" w:hAnsiTheme="minorEastAsia" w:eastAsiaTheme="minorEastAsia"/>
          <w:sz w:val="24"/>
          <w:lang w:val="en-GB"/>
        </w:rPr>
      </w:pPr>
      <w:r>
        <w:rPr>
          <w:rFonts w:hint="eastAsia" w:cs="宋体" w:asciiTheme="minorEastAsia" w:hAnsiTheme="minorEastAsia" w:eastAsiaTheme="minorEastAsia"/>
          <w:sz w:val="24"/>
          <w:lang w:val="en-GB"/>
        </w:rPr>
        <w:t>若两家及以上供应商在最后轮次报价中相同的，由谈判小组以随机抽取的方式确定其排序。</w:t>
      </w:r>
    </w:p>
    <w:p>
      <w:pPr>
        <w:tabs>
          <w:tab w:val="left" w:pos="-94"/>
          <w:tab w:val="left" w:pos="428"/>
        </w:tabs>
        <w:adjustRightInd w:val="0"/>
        <w:spacing w:line="360" w:lineRule="auto"/>
        <w:ind w:left="23" w:leftChars="11"/>
        <w:jc w:val="center"/>
        <w:textAlignment w:val="baseline"/>
        <w:outlineLvl w:val="1"/>
        <w:rPr>
          <w:b/>
          <w:sz w:val="28"/>
          <w:szCs w:val="28"/>
        </w:rPr>
      </w:pPr>
      <w:r>
        <w:br w:type="page"/>
      </w:r>
      <w:bookmarkStart w:id="85" w:name="_Toc61594756"/>
      <w:bookmarkStart w:id="86" w:name="_Toc410631196"/>
      <w:bookmarkStart w:id="87" w:name="_Toc414446032"/>
      <w:r>
        <w:rPr>
          <w:b/>
          <w:sz w:val="28"/>
          <w:szCs w:val="28"/>
        </w:rPr>
        <w:t>附表一</w:t>
      </w:r>
      <w:r>
        <w:rPr>
          <w:rFonts w:hint="eastAsia"/>
          <w:b/>
          <w:sz w:val="28"/>
          <w:szCs w:val="28"/>
        </w:rPr>
        <w:t xml:space="preserve"> </w:t>
      </w:r>
      <w:r>
        <w:rPr>
          <w:b/>
          <w:sz w:val="28"/>
          <w:szCs w:val="28"/>
        </w:rPr>
        <w:t>资格审查表</w:t>
      </w:r>
      <w:bookmarkEnd w:id="85"/>
      <w:bookmarkEnd w:id="86"/>
      <w:bookmarkEnd w:id="87"/>
    </w:p>
    <w:tbl>
      <w:tblPr>
        <w:tblStyle w:val="73"/>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3096"/>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 w:val="24"/>
              </w:rPr>
            </w:pPr>
            <w:bookmarkStart w:id="88" w:name="_Hlk49941886"/>
            <w:r>
              <w:rPr>
                <w:rFonts w:hint="eastAsia" w:ascii="宋体" w:hAnsi="宋体" w:cs="宋体"/>
                <w:b/>
                <w:bCs/>
                <w:sz w:val="24"/>
              </w:rPr>
              <w:t>序号</w:t>
            </w:r>
          </w:p>
        </w:tc>
        <w:tc>
          <w:tcPr>
            <w:tcW w:w="3096"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评审内容</w:t>
            </w:r>
          </w:p>
        </w:tc>
        <w:tc>
          <w:tcPr>
            <w:tcW w:w="4898" w:type="dxa"/>
            <w:vAlign w:val="center"/>
          </w:tcPr>
          <w:p>
            <w:pPr>
              <w:snapToGrid w:val="0"/>
              <w:spacing w:line="360" w:lineRule="auto"/>
              <w:jc w:val="center"/>
              <w:rPr>
                <w:rFonts w:ascii="宋体" w:hAnsi="宋体" w:cs="宋体"/>
                <w:b/>
                <w:bCs/>
                <w:sz w:val="24"/>
              </w:rPr>
            </w:pPr>
            <w:r>
              <w:rPr>
                <w:rFonts w:hint="eastAsia" w:ascii="宋体" w:hAnsi="宋体" w:cs="宋体"/>
                <w:b/>
                <w:bCs/>
                <w:sz w:val="24"/>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 w:val="24"/>
              </w:rPr>
            </w:pPr>
            <w:r>
              <w:rPr>
                <w:rFonts w:hint="eastAsia" w:ascii="宋体" w:hAnsi="宋体"/>
                <w:szCs w:val="21"/>
              </w:rPr>
              <w:t>1</w:t>
            </w:r>
          </w:p>
        </w:tc>
        <w:tc>
          <w:tcPr>
            <w:tcW w:w="3096" w:type="dxa"/>
            <w:vAlign w:val="center"/>
          </w:tcPr>
          <w:p>
            <w:pPr>
              <w:snapToGrid w:val="0"/>
              <w:spacing w:line="360" w:lineRule="auto"/>
              <w:jc w:val="left"/>
              <w:rPr>
                <w:rFonts w:ascii="宋体" w:hAnsi="宋体" w:cs="宋体"/>
                <w:b/>
                <w:bCs/>
                <w:sz w:val="24"/>
              </w:rPr>
            </w:pPr>
            <w:r>
              <w:rPr>
                <w:rFonts w:hint="eastAsia" w:ascii="宋体" w:hAnsi="宋体"/>
                <w:szCs w:val="21"/>
              </w:rPr>
              <w:t>供应商名称</w:t>
            </w:r>
          </w:p>
        </w:tc>
        <w:tc>
          <w:tcPr>
            <w:tcW w:w="4898" w:type="dxa"/>
            <w:vAlign w:val="center"/>
          </w:tcPr>
          <w:p>
            <w:pPr>
              <w:snapToGrid w:val="0"/>
              <w:spacing w:line="360" w:lineRule="auto"/>
              <w:jc w:val="left"/>
              <w:rPr>
                <w:rFonts w:ascii="宋体" w:hAnsi="宋体" w:cs="宋体"/>
                <w:sz w:val="24"/>
              </w:rPr>
            </w:pPr>
            <w:r>
              <w:rPr>
                <w:rFonts w:hint="eastAsia" w:ascii="宋体" w:hAnsi="宋体" w:cs="宋体"/>
                <w:szCs w:val="21"/>
              </w:rPr>
              <w:t>与谈判报名、营业执照一致（符合法定工商变更程序除外）。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2</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具有独立承担民事责任的能力</w:t>
            </w:r>
          </w:p>
        </w:tc>
        <w:tc>
          <w:tcPr>
            <w:tcW w:w="4898" w:type="dxa"/>
            <w:vAlign w:val="center"/>
          </w:tcPr>
          <w:p>
            <w:pPr>
              <w:snapToGrid w:val="0"/>
              <w:spacing w:line="360" w:lineRule="auto"/>
              <w:jc w:val="left"/>
              <w:rPr>
                <w:rFonts w:ascii="宋体" w:hAnsi="宋体" w:cs="宋体"/>
                <w:sz w:val="24"/>
              </w:rPr>
            </w:pPr>
            <w:r>
              <w:rPr>
                <w:rFonts w:ascii="宋体" w:hAnsi="宋体"/>
                <w:szCs w:val="21"/>
              </w:rPr>
              <w:t>提供了</w:t>
            </w:r>
            <w:r>
              <w:rPr>
                <w:rFonts w:hint="eastAsia" w:ascii="宋体" w:hAnsi="宋体"/>
                <w:szCs w:val="21"/>
              </w:rPr>
              <w:t>有效的</w:t>
            </w:r>
            <w:r>
              <w:rPr>
                <w:rFonts w:ascii="宋体" w:hAnsi="宋体" w:cs="宋体"/>
                <w:szCs w:val="21"/>
              </w:rPr>
              <w:t>法人营业执照等证明文件</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3</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具有健全的财务会计制度</w:t>
            </w:r>
          </w:p>
        </w:tc>
        <w:tc>
          <w:tcPr>
            <w:tcW w:w="4898" w:type="dxa"/>
            <w:vAlign w:val="center"/>
          </w:tcPr>
          <w:p>
            <w:pPr>
              <w:snapToGrid w:val="0"/>
              <w:spacing w:line="360" w:lineRule="auto"/>
              <w:jc w:val="left"/>
              <w:rPr>
                <w:rFonts w:ascii="宋体" w:hAnsi="宋体"/>
                <w:iCs/>
                <w:szCs w:val="21"/>
              </w:rPr>
            </w:pPr>
            <w:bookmarkStart w:id="89" w:name="_Hlk49953795"/>
            <w:r>
              <w:rPr>
                <w:rFonts w:ascii="宋体" w:hAnsi="宋体"/>
                <w:szCs w:val="21"/>
              </w:rPr>
              <w:t>提供了</w:t>
            </w:r>
            <w:r>
              <w:rPr>
                <w:rFonts w:hint="eastAsia" w:ascii="宋体" w:hAnsi="宋体"/>
                <w:szCs w:val="21"/>
              </w:rPr>
              <w:t>20</w:t>
            </w:r>
            <w:r>
              <w:rPr>
                <w:rFonts w:ascii="宋体" w:hAnsi="宋体"/>
                <w:szCs w:val="21"/>
              </w:rPr>
              <w:t>20</w:t>
            </w:r>
            <w:r>
              <w:rPr>
                <w:rFonts w:hint="eastAsia" w:ascii="宋体" w:hAnsi="宋体"/>
                <w:szCs w:val="21"/>
              </w:rPr>
              <w:t>年</w:t>
            </w:r>
            <w:r>
              <w:rPr>
                <w:rFonts w:ascii="宋体" w:hAnsi="宋体"/>
                <w:szCs w:val="21"/>
              </w:rPr>
              <w:t>经审计的财务报表</w:t>
            </w:r>
            <w:r>
              <w:rPr>
                <w:rFonts w:hint="eastAsia" w:ascii="宋体" w:hAnsi="宋体"/>
                <w:szCs w:val="21"/>
              </w:rPr>
              <w:t>（至少包括审计报告正文（含审计单位盖章页）、资产负债表、现金流量表、利润表）</w:t>
            </w:r>
            <w:r>
              <w:rPr>
                <w:rFonts w:hint="eastAsia" w:ascii="宋体" w:hAnsi="宋体"/>
                <w:iCs/>
                <w:szCs w:val="21"/>
              </w:rPr>
              <w:t>或本年度基本开户银行出具的资信证明原件或复印件。供应商为新成立的，提供成立至今的月或季度财务报告或报表复印件。</w:t>
            </w:r>
            <w:bookmarkEnd w:id="89"/>
          </w:p>
          <w:p>
            <w:pPr>
              <w:snapToGrid w:val="0"/>
              <w:spacing w:line="360" w:lineRule="auto"/>
              <w:jc w:val="left"/>
              <w:rPr>
                <w:rFonts w:ascii="宋体" w:hAnsi="宋体" w:cs="宋体"/>
                <w:sz w:val="24"/>
              </w:rPr>
            </w:pPr>
            <w:r>
              <w:rPr>
                <w:rFonts w:hint="eastAsia" w:ascii="宋体" w:hAnsi="宋体"/>
                <w:iCs/>
                <w:szCs w:val="21"/>
              </w:rPr>
              <w:t>“如供应商无法提供20</w:t>
            </w:r>
            <w:r>
              <w:rPr>
                <w:rFonts w:ascii="宋体" w:hAnsi="宋体"/>
                <w:iCs/>
                <w:szCs w:val="21"/>
              </w:rPr>
              <w:t>20</w:t>
            </w:r>
            <w:r>
              <w:rPr>
                <w:rFonts w:hint="eastAsia" w:ascii="宋体" w:hAnsi="宋体"/>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szCs w:val="21"/>
              </w:rPr>
            </w:pPr>
            <w:r>
              <w:rPr>
                <w:rFonts w:hint="eastAsia" w:ascii="宋体" w:hAnsi="宋体"/>
                <w:szCs w:val="21"/>
              </w:rPr>
              <w:t>4</w:t>
            </w:r>
          </w:p>
        </w:tc>
        <w:tc>
          <w:tcPr>
            <w:tcW w:w="3096" w:type="dxa"/>
            <w:vAlign w:val="center"/>
          </w:tcPr>
          <w:p>
            <w:pPr>
              <w:snapToGrid w:val="0"/>
              <w:spacing w:line="360" w:lineRule="auto"/>
              <w:jc w:val="left"/>
              <w:rPr>
                <w:rFonts w:ascii="宋体" w:hAnsi="宋体"/>
                <w:szCs w:val="21"/>
              </w:rPr>
            </w:pPr>
            <w:r>
              <w:rPr>
                <w:rFonts w:hint="eastAsia" w:ascii="宋体" w:hAnsi="宋体"/>
                <w:szCs w:val="21"/>
              </w:rPr>
              <w:t>具有履行合同所必需的设备和专业技术能力</w:t>
            </w:r>
          </w:p>
        </w:tc>
        <w:tc>
          <w:tcPr>
            <w:tcW w:w="4898" w:type="dxa"/>
            <w:vAlign w:val="center"/>
          </w:tcPr>
          <w:p>
            <w:pPr>
              <w:snapToGrid w:val="0"/>
              <w:spacing w:line="360" w:lineRule="auto"/>
              <w:jc w:val="left"/>
              <w:rPr>
                <w:rFonts w:ascii="宋体" w:hAnsi="宋体"/>
                <w:szCs w:val="21"/>
              </w:rPr>
            </w:pPr>
            <w:r>
              <w:rPr>
                <w:rFonts w:ascii="宋体" w:hAnsi="宋体"/>
                <w:szCs w:val="21"/>
              </w:rPr>
              <w:t>提供了可充分满足履行合同所需设备和专业技术能力的证明材料</w:t>
            </w:r>
            <w:r>
              <w:rPr>
                <w:rFonts w:hint="eastAsia" w:ascii="宋体" w:hAnsi="宋体"/>
                <w:szCs w:val="21"/>
              </w:rPr>
              <w:t>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szCs w:val="21"/>
              </w:rPr>
            </w:pPr>
            <w:r>
              <w:rPr>
                <w:rFonts w:ascii="宋体" w:hAnsi="宋体"/>
                <w:szCs w:val="21"/>
              </w:rPr>
              <w:t>5</w:t>
            </w:r>
          </w:p>
        </w:tc>
        <w:tc>
          <w:tcPr>
            <w:tcW w:w="3096" w:type="dxa"/>
            <w:vAlign w:val="center"/>
          </w:tcPr>
          <w:p>
            <w:pPr>
              <w:snapToGrid w:val="0"/>
              <w:spacing w:line="360" w:lineRule="auto"/>
              <w:jc w:val="left"/>
              <w:rPr>
                <w:rFonts w:ascii="宋体" w:hAnsi="宋体"/>
                <w:szCs w:val="21"/>
              </w:rPr>
            </w:pPr>
            <w:r>
              <w:rPr>
                <w:rFonts w:hint="eastAsia" w:ascii="宋体" w:hAnsi="宋体"/>
                <w:szCs w:val="21"/>
              </w:rPr>
              <w:t>有依法缴纳税收和社会保障资金的良好记录</w:t>
            </w:r>
          </w:p>
        </w:tc>
        <w:tc>
          <w:tcPr>
            <w:tcW w:w="4898" w:type="dxa"/>
            <w:vAlign w:val="center"/>
          </w:tcPr>
          <w:p>
            <w:pPr>
              <w:snapToGrid w:val="0"/>
              <w:spacing w:line="360" w:lineRule="auto"/>
              <w:jc w:val="left"/>
              <w:rPr>
                <w:rFonts w:ascii="宋体" w:hAnsi="宋体"/>
                <w:szCs w:val="21"/>
              </w:rPr>
            </w:pPr>
            <w:r>
              <w:rPr>
                <w:rFonts w:hint="eastAsia" w:ascii="宋体" w:hAnsi="宋体"/>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6</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参加政府采购活动前三年内，在经营活动中没有重大违法记录</w:t>
            </w:r>
          </w:p>
        </w:tc>
        <w:tc>
          <w:tcPr>
            <w:tcW w:w="4898" w:type="dxa"/>
            <w:vAlign w:val="center"/>
          </w:tcPr>
          <w:p>
            <w:pPr>
              <w:snapToGrid w:val="0"/>
              <w:spacing w:line="360" w:lineRule="auto"/>
              <w:jc w:val="left"/>
              <w:rPr>
                <w:rFonts w:ascii="宋体" w:hAnsi="宋体" w:cs="宋体"/>
                <w:sz w:val="24"/>
              </w:rPr>
            </w:pPr>
            <w:r>
              <w:rPr>
                <w:rFonts w:hint="eastAsia" w:ascii="宋体" w:hAnsi="宋体"/>
                <w:szCs w:val="21"/>
              </w:rPr>
              <w:t>提供了有效的参加政府采购活动前3年内在经营活动中没有重大违法记录的书面声明。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7</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法律、行政法规规定的其他条件</w:t>
            </w:r>
          </w:p>
        </w:tc>
        <w:tc>
          <w:tcPr>
            <w:tcW w:w="4898" w:type="dxa"/>
            <w:vAlign w:val="center"/>
          </w:tcPr>
          <w:p>
            <w:pPr>
              <w:snapToGrid w:val="0"/>
              <w:spacing w:line="360" w:lineRule="auto"/>
              <w:jc w:val="left"/>
              <w:rPr>
                <w:rFonts w:ascii="宋体" w:hAnsi="宋体" w:cs="宋体"/>
                <w:sz w:val="24"/>
              </w:rPr>
            </w:pPr>
            <w:r>
              <w:rPr>
                <w:rFonts w:ascii="宋体" w:hAnsi="宋体"/>
                <w:szCs w:val="21"/>
              </w:rPr>
              <w:t>不存在违反法律、法规的情况</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8</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信用中国网站和中国政府采购网（www.ccgp.gov.cn）查询记录</w:t>
            </w:r>
          </w:p>
        </w:tc>
        <w:tc>
          <w:tcPr>
            <w:tcW w:w="4898" w:type="dxa"/>
            <w:vAlign w:val="center"/>
          </w:tcPr>
          <w:p>
            <w:pPr>
              <w:snapToGrid w:val="0"/>
              <w:spacing w:line="360" w:lineRule="auto"/>
              <w:jc w:val="left"/>
              <w:rPr>
                <w:rFonts w:ascii="宋体" w:hAnsi="宋体" w:cs="宋体"/>
                <w:sz w:val="24"/>
              </w:rPr>
            </w:pPr>
            <w:r>
              <w:rPr>
                <w:rFonts w:hint="eastAsia" w:ascii="宋体" w:hAnsi="宋体"/>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82" w:type="dxa"/>
            <w:vAlign w:val="center"/>
          </w:tcPr>
          <w:p>
            <w:pPr>
              <w:snapToGrid w:val="0"/>
              <w:spacing w:line="360" w:lineRule="auto"/>
              <w:jc w:val="center"/>
              <w:rPr>
                <w:rFonts w:ascii="宋体" w:hAnsi="宋体" w:cs="宋体"/>
                <w:sz w:val="24"/>
              </w:rPr>
            </w:pPr>
            <w:r>
              <w:rPr>
                <w:rFonts w:hint="eastAsia" w:ascii="宋体" w:hAnsi="宋体"/>
                <w:szCs w:val="21"/>
              </w:rPr>
              <w:t>9</w:t>
            </w:r>
          </w:p>
        </w:tc>
        <w:tc>
          <w:tcPr>
            <w:tcW w:w="3096" w:type="dxa"/>
            <w:vAlign w:val="center"/>
          </w:tcPr>
          <w:p>
            <w:pPr>
              <w:snapToGrid w:val="0"/>
              <w:spacing w:line="360" w:lineRule="auto"/>
              <w:jc w:val="left"/>
              <w:rPr>
                <w:rFonts w:ascii="宋体" w:hAnsi="宋体" w:cs="宋体"/>
                <w:sz w:val="24"/>
              </w:rPr>
            </w:pPr>
            <w:r>
              <w:rPr>
                <w:rFonts w:hint="eastAsia" w:ascii="宋体" w:hAnsi="宋体"/>
                <w:szCs w:val="21"/>
              </w:rPr>
              <w:t>单位负责人为同一人或者存在控股、管理关系的不同单位，不得同时参加本项目的谈判</w:t>
            </w:r>
          </w:p>
        </w:tc>
        <w:tc>
          <w:tcPr>
            <w:tcW w:w="4898" w:type="dxa"/>
            <w:vAlign w:val="center"/>
          </w:tcPr>
          <w:p>
            <w:pPr>
              <w:snapToGrid w:val="0"/>
              <w:spacing w:line="360" w:lineRule="auto"/>
              <w:jc w:val="left"/>
              <w:rPr>
                <w:rFonts w:ascii="宋体" w:hAnsi="宋体" w:cs="宋体"/>
                <w:sz w:val="24"/>
              </w:rPr>
            </w:pPr>
            <w:r>
              <w:rPr>
                <w:rFonts w:ascii="宋体" w:hAnsi="宋体"/>
                <w:szCs w:val="21"/>
              </w:rPr>
              <w:t>提供</w:t>
            </w:r>
            <w:r>
              <w:rPr>
                <w:rFonts w:hint="eastAsia" w:ascii="宋体" w:hAnsi="宋体"/>
                <w:szCs w:val="21"/>
              </w:rPr>
              <w:t>供应商控股股东名称、控股公司的名称和存在管理、被管理关系的单位名称说明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2" w:type="dxa"/>
            <w:vAlign w:val="center"/>
          </w:tcPr>
          <w:p>
            <w:pPr>
              <w:snapToGrid w:val="0"/>
              <w:spacing w:line="360" w:lineRule="auto"/>
              <w:ind w:firstLine="210" w:firstLineChars="100"/>
              <w:rPr>
                <w:rFonts w:ascii="宋体" w:hAnsi="宋体"/>
                <w:szCs w:val="21"/>
              </w:rPr>
            </w:pPr>
            <w:r>
              <w:rPr>
                <w:rFonts w:hint="eastAsia" w:ascii="宋体" w:hAnsi="宋体"/>
                <w:szCs w:val="21"/>
              </w:rPr>
              <w:t>1</w:t>
            </w:r>
            <w:r>
              <w:rPr>
                <w:rFonts w:ascii="宋体" w:hAnsi="宋体"/>
                <w:szCs w:val="21"/>
              </w:rPr>
              <w:t>0</w:t>
            </w:r>
          </w:p>
        </w:tc>
        <w:tc>
          <w:tcPr>
            <w:tcW w:w="3096" w:type="dxa"/>
            <w:vAlign w:val="center"/>
          </w:tcPr>
          <w:p>
            <w:pPr>
              <w:snapToGrid w:val="0"/>
              <w:spacing w:line="360" w:lineRule="auto"/>
              <w:jc w:val="left"/>
              <w:rPr>
                <w:rFonts w:ascii="宋体" w:hAnsi="宋体"/>
                <w:szCs w:val="21"/>
              </w:rPr>
            </w:pPr>
            <w:r>
              <w:rPr>
                <w:rFonts w:hint="eastAsia" w:ascii="宋体" w:hAnsi="宋体"/>
                <w:szCs w:val="21"/>
              </w:rPr>
              <w:t>本项目不接受联合体</w:t>
            </w:r>
          </w:p>
        </w:tc>
        <w:tc>
          <w:tcPr>
            <w:tcW w:w="4898" w:type="dxa"/>
            <w:vAlign w:val="center"/>
          </w:tcPr>
          <w:p>
            <w:pPr>
              <w:snapToGrid w:val="0"/>
              <w:spacing w:line="360" w:lineRule="auto"/>
              <w:jc w:val="left"/>
              <w:rPr>
                <w:rFonts w:ascii="宋体" w:hAnsi="宋体"/>
                <w:szCs w:val="21"/>
              </w:rPr>
            </w:pPr>
            <w:r>
              <w:rPr>
                <w:rFonts w:ascii="宋体" w:hAnsi="宋体"/>
                <w:szCs w:val="21"/>
              </w:rPr>
              <w:t>谈判文件允许联合体参加谈判时，提供了满足谈判文件要求的联合体协议书。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82" w:type="dxa"/>
            <w:vAlign w:val="center"/>
          </w:tcPr>
          <w:p>
            <w:pPr>
              <w:snapToGrid w:val="0"/>
              <w:spacing w:line="360" w:lineRule="auto"/>
              <w:ind w:firstLine="210" w:firstLineChars="100"/>
              <w:rPr>
                <w:rFonts w:ascii="宋体" w:hAnsi="宋体"/>
                <w:szCs w:val="21"/>
              </w:rPr>
            </w:pPr>
            <w:r>
              <w:rPr>
                <w:rFonts w:hint="eastAsia" w:ascii="宋体" w:hAnsi="宋体"/>
                <w:szCs w:val="21"/>
              </w:rPr>
              <w:t>1</w:t>
            </w:r>
            <w:r>
              <w:rPr>
                <w:rFonts w:ascii="宋体" w:hAnsi="宋体"/>
                <w:szCs w:val="21"/>
              </w:rPr>
              <w:t>1</w:t>
            </w:r>
          </w:p>
        </w:tc>
        <w:tc>
          <w:tcPr>
            <w:tcW w:w="3096" w:type="dxa"/>
            <w:vAlign w:val="center"/>
          </w:tcPr>
          <w:p>
            <w:pPr>
              <w:snapToGrid w:val="0"/>
              <w:spacing w:line="360" w:lineRule="auto"/>
              <w:jc w:val="left"/>
              <w:rPr>
                <w:rFonts w:ascii="宋体" w:hAnsi="宋体"/>
                <w:szCs w:val="21"/>
              </w:rPr>
            </w:pPr>
            <w:r>
              <w:rPr>
                <w:rFonts w:hint="eastAsia" w:ascii="宋体" w:hAnsi="宋体"/>
                <w:szCs w:val="21"/>
              </w:rPr>
              <w:t>本项目不允许转包、分包</w:t>
            </w:r>
          </w:p>
        </w:tc>
        <w:tc>
          <w:tcPr>
            <w:tcW w:w="4898" w:type="dxa"/>
            <w:vAlign w:val="center"/>
          </w:tcPr>
          <w:p>
            <w:pPr>
              <w:snapToGrid w:val="0"/>
              <w:spacing w:line="360" w:lineRule="auto"/>
              <w:jc w:val="left"/>
              <w:rPr>
                <w:rFonts w:ascii="宋体" w:hAnsi="宋体"/>
                <w:szCs w:val="21"/>
              </w:rPr>
            </w:pPr>
            <w:r>
              <w:rPr>
                <w:rFonts w:hint="eastAsia" w:ascii="宋体" w:hAnsi="宋体"/>
                <w:szCs w:val="21"/>
              </w:rPr>
              <w:t>提供了“本项目不转包、不分包”的承诺。</w:t>
            </w:r>
          </w:p>
        </w:tc>
      </w:tr>
      <w:bookmarkEnd w:id="88"/>
    </w:tbl>
    <w:p>
      <w:pPr>
        <w:spacing w:line="0" w:lineRule="atLeast"/>
        <w:ind w:left="425"/>
        <w:rPr>
          <w:rFonts w:ascii="宋体" w:hAnsi="宋体"/>
          <w:szCs w:val="21"/>
        </w:rPr>
      </w:pPr>
    </w:p>
    <w:p>
      <w:pPr>
        <w:spacing w:line="0" w:lineRule="atLeast"/>
        <w:ind w:left="425"/>
        <w:rPr>
          <w:szCs w:val="21"/>
        </w:rPr>
      </w:pPr>
      <w:r>
        <w:rPr>
          <w:rFonts w:hint="eastAsia" w:ascii="宋体" w:hAnsi="宋体"/>
          <w:szCs w:val="21"/>
        </w:rPr>
        <w:t>注</w:t>
      </w:r>
      <w:r>
        <w:rPr>
          <w:rFonts w:hint="eastAsia"/>
          <w:szCs w:val="21"/>
        </w:rPr>
        <w:t>：符合要求用“√”表示，不符合用“×”表示。有一项不符合要求，结论为不合格。</w:t>
      </w:r>
    </w:p>
    <w:p>
      <w:pPr>
        <w:tabs>
          <w:tab w:val="left" w:pos="-94"/>
          <w:tab w:val="left" w:pos="428"/>
        </w:tabs>
        <w:adjustRightInd w:val="0"/>
        <w:spacing w:line="360" w:lineRule="auto"/>
        <w:ind w:left="23" w:leftChars="11"/>
        <w:jc w:val="center"/>
        <w:textAlignment w:val="baseline"/>
        <w:outlineLvl w:val="1"/>
        <w:rPr>
          <w:b/>
          <w:sz w:val="28"/>
          <w:szCs w:val="28"/>
        </w:rPr>
      </w:pPr>
      <w:r>
        <w:rPr>
          <w:szCs w:val="21"/>
        </w:rPr>
        <w:br w:type="page"/>
      </w:r>
      <w:bookmarkStart w:id="90" w:name="_Toc410631197"/>
      <w:bookmarkStart w:id="91" w:name="_Toc61594757"/>
      <w:bookmarkStart w:id="92" w:name="_Toc414446033"/>
      <w:r>
        <w:rPr>
          <w:rFonts w:hint="eastAsia"/>
          <w:b/>
          <w:sz w:val="28"/>
          <w:szCs w:val="28"/>
        </w:rPr>
        <w:t xml:space="preserve">附表二 </w:t>
      </w:r>
      <w:r>
        <w:rPr>
          <w:b/>
          <w:sz w:val="28"/>
          <w:szCs w:val="28"/>
        </w:rPr>
        <w:t>符合性审查表</w:t>
      </w:r>
      <w:bookmarkEnd w:id="90"/>
      <w:bookmarkEnd w:id="91"/>
      <w:bookmarkEnd w:id="92"/>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hint="eastAsia" w:ascii="宋体" w:hAnsi="宋体"/>
                <w:b/>
                <w:caps/>
                <w:sz w:val="22"/>
                <w:szCs w:val="22"/>
              </w:rPr>
              <w:t>评审项目</w:t>
            </w:r>
          </w:p>
        </w:tc>
        <w:tc>
          <w:tcPr>
            <w:tcW w:w="5245"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hint="eastAsia" w:ascii="宋体" w:hAnsi="宋体"/>
                <w:b/>
                <w:caps/>
                <w:sz w:val="22"/>
                <w:szCs w:val="22"/>
              </w:rPr>
              <w:t>评审标准</w:t>
            </w:r>
          </w:p>
        </w:tc>
        <w:tc>
          <w:tcPr>
            <w:tcW w:w="1275" w:type="dxa"/>
            <w:vAlign w:val="center"/>
          </w:tcPr>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hint="eastAsia" w:ascii="宋体" w:hAnsi="宋体"/>
                <w:sz w:val="22"/>
                <w:szCs w:val="22"/>
              </w:rPr>
              <w:t>√</w:t>
            </w:r>
            <w:r>
              <w:rPr>
                <w:rFonts w:ascii="宋体" w:hAnsi="宋体"/>
                <w:b/>
                <w:caps/>
                <w:sz w:val="22"/>
                <w:szCs w:val="22"/>
              </w:rPr>
              <w:t>/</w:t>
            </w:r>
            <w:r>
              <w:rPr>
                <w:rFonts w:hint="eastAsia" w:ascii="宋体" w:hAnsi="宋体"/>
                <w:sz w:val="22"/>
                <w:szCs w:val="22"/>
              </w:rPr>
              <w:t>×</w:t>
            </w:r>
            <w:r>
              <w:rPr>
                <w:rFonts w:ascii="宋体" w:hAnsi="宋体"/>
                <w:b/>
                <w:caps/>
                <w:sz w:val="2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谈判保证金</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按照谈判文件的规定提交谈判保证金（包括形式及金额）；</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响应文件签署盖章</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按谈判文件格式要求加</w:t>
            </w:r>
            <w:r>
              <w:rPr>
                <w:rFonts w:ascii="宋体" w:hAnsi="宋体"/>
                <w:sz w:val="22"/>
                <w:szCs w:val="22"/>
              </w:rPr>
              <w:t>盖了</w:t>
            </w:r>
            <w:r>
              <w:rPr>
                <w:rFonts w:hint="eastAsia" w:ascii="宋体" w:hAnsi="宋体"/>
                <w:sz w:val="22"/>
                <w:szCs w:val="22"/>
              </w:rPr>
              <w:t>供应商公</w:t>
            </w:r>
            <w:r>
              <w:rPr>
                <w:rFonts w:ascii="宋体" w:hAnsi="宋体"/>
                <w:sz w:val="22"/>
                <w:szCs w:val="22"/>
              </w:rPr>
              <w:t>章</w:t>
            </w:r>
            <w:r>
              <w:rPr>
                <w:rFonts w:hint="eastAsia" w:ascii="宋体" w:hAnsi="宋体"/>
                <w:sz w:val="22"/>
                <w:szCs w:val="22"/>
              </w:rPr>
              <w:t>和（/或）有</w:t>
            </w:r>
            <w:r>
              <w:rPr>
                <w:rFonts w:ascii="宋体" w:hAnsi="宋体"/>
                <w:sz w:val="22"/>
                <w:szCs w:val="22"/>
              </w:rPr>
              <w:t>法定代表人或</w:t>
            </w:r>
            <w:r>
              <w:rPr>
                <w:rFonts w:hint="eastAsia" w:ascii="宋体" w:hAnsi="宋体"/>
                <w:sz w:val="22"/>
                <w:szCs w:val="22"/>
              </w:rPr>
              <w:t>其授权代表</w:t>
            </w:r>
            <w:r>
              <w:rPr>
                <w:rFonts w:ascii="宋体" w:hAnsi="宋体"/>
                <w:sz w:val="22"/>
                <w:szCs w:val="22"/>
              </w:rPr>
              <w:t>签字或</w:t>
            </w:r>
            <w:r>
              <w:rPr>
                <w:rFonts w:hint="eastAsia" w:ascii="宋体" w:hAnsi="宋体"/>
                <w:sz w:val="22"/>
                <w:szCs w:val="22"/>
              </w:rPr>
              <w:t>加盖人名章</w:t>
            </w:r>
            <w:r>
              <w:rPr>
                <w:rFonts w:ascii="宋体" w:hAnsi="宋体"/>
                <w:sz w:val="22"/>
                <w:szCs w:val="22"/>
              </w:rPr>
              <w:t>。</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报价</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供应商报价是固定价且未超过预算金额（谈判文件有最高限价的，报价未超过最高限价）；</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附加条件</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响应文件不含有采购人不能接受的附加条件；</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公平竞争</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遵循公平竞争的原则，没有弄虚作假、恶意串通或妨碍其他供应商的竞争行为，损害采购人或者其他供应商的合法权益；</w:t>
            </w:r>
          </w:p>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弄虚作假、相互串通的情形见附注</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响应文件有效期</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hint="eastAsia" w:ascii="宋体" w:hAnsi="宋体"/>
                <w:sz w:val="22"/>
                <w:szCs w:val="22"/>
              </w:rPr>
              <w:t>；</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备选方案</w:t>
            </w:r>
          </w:p>
        </w:tc>
        <w:tc>
          <w:tcPr>
            <w:tcW w:w="5245" w:type="dxa"/>
            <w:vAlign w:val="center"/>
          </w:tcPr>
          <w:p>
            <w:pPr>
              <w:tabs>
                <w:tab w:val="left" w:pos="1260"/>
                <w:tab w:val="left" w:pos="1620"/>
              </w:tabs>
              <w:adjustRightInd w:val="0"/>
              <w:snapToGrid w:val="0"/>
              <w:textAlignment w:val="baseline"/>
              <w:rPr>
                <w:rFonts w:ascii="宋体" w:hAnsi="宋体"/>
                <w:strike/>
                <w:sz w:val="22"/>
                <w:szCs w:val="22"/>
              </w:rPr>
            </w:pPr>
            <w:r>
              <w:rPr>
                <w:rFonts w:hint="eastAsia" w:ascii="宋体" w:hAnsi="宋体"/>
                <w:sz w:val="22"/>
                <w:szCs w:val="22"/>
              </w:rPr>
              <w:t>供应商不得提交两份或者多份内容不同的响应文件，或者在同一份响应文件中对同一谈判项目有两个或者多个报价；</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响应文件内容</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供应商提供的服务无实质性遗漏</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采购需求响应</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符合第五章 采购需求（二）商务和服务的要求，符合第五章 采购需求（三）技术需求</w:t>
            </w:r>
            <w:r>
              <w:rPr>
                <w:rFonts w:hint="eastAsia" w:ascii="宋体" w:hAnsi="宋体" w:cs="宋体"/>
                <w:color w:val="000000"/>
                <w:kern w:val="0"/>
                <w:szCs w:val="21"/>
              </w:rPr>
              <w:t>★号条款</w:t>
            </w:r>
            <w:r>
              <w:rPr>
                <w:rFonts w:hint="eastAsia" w:ascii="宋体" w:hAnsi="宋体"/>
                <w:sz w:val="22"/>
                <w:szCs w:val="22"/>
              </w:rPr>
              <w:t>的要求</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交货期和交货地点</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满足谈判文件要求；</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textAlignment w:val="baseline"/>
              <w:rPr>
                <w:rFonts w:ascii="宋体" w:hAnsi="宋体"/>
                <w:sz w:val="22"/>
                <w:szCs w:val="22"/>
              </w:rPr>
            </w:pPr>
          </w:p>
        </w:tc>
        <w:tc>
          <w:tcPr>
            <w:tcW w:w="1674"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其他无效情形</w:t>
            </w:r>
          </w:p>
        </w:tc>
        <w:tc>
          <w:tcPr>
            <w:tcW w:w="5245" w:type="dxa"/>
            <w:vAlign w:val="center"/>
          </w:tcPr>
          <w:p>
            <w:pPr>
              <w:tabs>
                <w:tab w:val="left" w:pos="1260"/>
                <w:tab w:val="left" w:pos="1620"/>
              </w:tabs>
              <w:adjustRightInd w:val="0"/>
              <w:snapToGrid w:val="0"/>
              <w:textAlignment w:val="baseline"/>
              <w:rPr>
                <w:rFonts w:ascii="宋体" w:hAnsi="宋体"/>
                <w:sz w:val="22"/>
                <w:szCs w:val="22"/>
              </w:rPr>
            </w:pPr>
            <w:r>
              <w:rPr>
                <w:rFonts w:hint="eastAsia" w:ascii="宋体" w:hAnsi="宋体"/>
                <w:sz w:val="22"/>
                <w:szCs w:val="22"/>
              </w:rPr>
              <w:t>无法律、法规和谈判文件规定的其他无效情形；</w:t>
            </w: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pPr>
              <w:tabs>
                <w:tab w:val="left" w:pos="1260"/>
                <w:tab w:val="left" w:pos="1620"/>
              </w:tabs>
              <w:adjustRightInd w:val="0"/>
              <w:snapToGrid w:val="0"/>
              <w:textAlignment w:val="baseline"/>
              <w:rPr>
                <w:rFonts w:ascii="宋体" w:hAnsi="宋体"/>
                <w:sz w:val="22"/>
                <w:szCs w:val="22"/>
              </w:rPr>
            </w:pPr>
          </w:p>
        </w:tc>
        <w:tc>
          <w:tcPr>
            <w:tcW w:w="1275" w:type="dxa"/>
            <w:vAlign w:val="center"/>
          </w:tcPr>
          <w:p>
            <w:pPr>
              <w:tabs>
                <w:tab w:val="left" w:pos="1260"/>
                <w:tab w:val="left" w:pos="1620"/>
              </w:tabs>
              <w:adjustRightInd w:val="0"/>
              <w:snapToGrid w:val="0"/>
              <w:textAlignment w:val="baseline"/>
              <w:rPr>
                <w:rFonts w:ascii="宋体" w:hAnsi="宋体"/>
                <w:sz w:val="22"/>
                <w:szCs w:val="22"/>
              </w:rPr>
            </w:pPr>
          </w:p>
        </w:tc>
      </w:tr>
    </w:tbl>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注：</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1、符合谈判文件要求用“√”表示，不符合用“×”表示。有一项不符合要求，结论为不合格。</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2、进行符合性审查过程中，谈判小组成员意见不同时，按少数服从多数的原则确定。</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3、有下列情形之一的，视为供应商相互串通：</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（1）不同供应商的响应文件由同一单位或者个人编制；</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（2）不同供应商委托同一单位或者个人办理谈判事宜；</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（3）不同供应商的响应文件载明的项目管理成员或者联系人员为同一人；</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（4）不同供应商的响应文件异常一致或者报价呈规律性差异；</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（5）不同供应商的响应文件相互混装；</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（6）不同供应商的谈判保证金从同一单位或者个人的账户转出。</w:t>
      </w:r>
    </w:p>
    <w:p>
      <w:pPr>
        <w:tabs>
          <w:tab w:val="left" w:pos="1260"/>
          <w:tab w:val="left" w:pos="1620"/>
        </w:tabs>
        <w:adjustRightInd w:val="0"/>
        <w:spacing w:line="360" w:lineRule="auto"/>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4、有下列情形之一的，属于提供虚假材料谋取成交的行为：</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（1）使用伪造、变造的许可证件；</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（2）提供虚假的财务状况或者业绩；</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（3）提供虚假的项目负责人或者主要技术人员简历、劳动关系证明；</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（4）提供虚假的信用状况；</w:t>
      </w:r>
    </w:p>
    <w:p>
      <w:pPr>
        <w:tabs>
          <w:tab w:val="left" w:pos="1260"/>
          <w:tab w:val="left" w:pos="1620"/>
        </w:tabs>
        <w:adjustRightInd w:val="0"/>
        <w:spacing w:line="360" w:lineRule="auto"/>
        <w:ind w:left="424" w:leftChars="202"/>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（5）其他弄虚作假的行为。</w:t>
      </w:r>
    </w:p>
    <w:p>
      <w:pPr>
        <w:tabs>
          <w:tab w:val="left" w:pos="1260"/>
          <w:tab w:val="left" w:pos="1620"/>
        </w:tabs>
        <w:adjustRightInd w:val="0"/>
        <w:spacing w:line="360" w:lineRule="auto"/>
        <w:jc w:val="left"/>
        <w:textAlignment w:val="baseline"/>
        <w:rPr>
          <w:b/>
          <w:szCs w:val="21"/>
        </w:rPr>
      </w:pPr>
      <w:r>
        <w:rPr>
          <w:b/>
          <w:szCs w:val="21"/>
        </w:rPr>
        <w:br w:type="page"/>
      </w: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93" w:name="_Toc61594758"/>
      <w:r>
        <w:rPr>
          <w:rFonts w:hint="eastAsia" w:ascii="宋体" w:hAnsi="宋体" w:cs="黑体"/>
          <w:b/>
          <w:bCs/>
          <w:kern w:val="0"/>
          <w:sz w:val="32"/>
          <w:szCs w:val="32"/>
        </w:rPr>
        <w:t>第四章  合同条款</w:t>
      </w:r>
      <w:bookmarkEnd w:id="93"/>
    </w:p>
    <w:p>
      <w:pPr>
        <w:widowControl/>
        <w:jc w:val="left"/>
        <w:rPr>
          <w:rFonts w:ascii="宋体" w:hAnsi="宋体" w:cs="宋体"/>
          <w:sz w:val="24"/>
        </w:rPr>
      </w:pPr>
    </w:p>
    <w:p/>
    <w:p>
      <w:pPr>
        <w:pStyle w:val="4"/>
        <w:jc w:val="center"/>
      </w:pPr>
      <w:r>
        <w:rPr>
          <w:rFonts w:hint="eastAsia"/>
        </w:rPr>
        <w:t>采 购 合 同</w:t>
      </w:r>
    </w:p>
    <w:p>
      <w:pPr>
        <w:jc w:val="center"/>
      </w:pPr>
      <w:r>
        <w:rPr>
          <w:rFonts w:hint="eastAsia"/>
          <w:bCs/>
        </w:rPr>
        <w:t>（注：本章为合同草案，具体内容可依据项目需求双方协商确定。）</w:t>
      </w:r>
    </w:p>
    <w:p/>
    <w:p/>
    <w:p>
      <w:pPr>
        <w:ind w:firstLine="6930" w:firstLineChars="3300"/>
      </w:pPr>
    </w:p>
    <w:p>
      <w:pPr>
        <w:ind w:firstLine="6930" w:firstLineChars="3300"/>
      </w:pPr>
      <w:r>
        <w:rPr>
          <w:rFonts w:hint="eastAsia"/>
        </w:rPr>
        <w:t>合同编号：</w:t>
      </w:r>
      <w:r>
        <w:rPr>
          <w:rFonts w:hint="eastAsia"/>
          <w:u w:val="single"/>
        </w:rPr>
        <w:t xml:space="preserve">             </w:t>
      </w:r>
    </w:p>
    <w:p>
      <w:r>
        <w:rPr>
          <w:rFonts w:hint="eastAsia"/>
        </w:rPr>
        <w:t xml:space="preserve">               </w:t>
      </w:r>
    </w:p>
    <w:p>
      <w:r>
        <w:rPr>
          <w:rFonts w:hint="eastAsia"/>
        </w:rPr>
        <w:t xml:space="preserve">                                    </w:t>
      </w:r>
    </w:p>
    <w:p>
      <w:r>
        <w:rPr>
          <w:rFonts w:hint="eastAsia"/>
        </w:rPr>
        <w:t xml:space="preserve"> </w:t>
      </w:r>
    </w:p>
    <w:p>
      <w:r>
        <w:rPr>
          <w:rFonts w:hint="eastAsia"/>
        </w:rPr>
        <w:t xml:space="preserve"> </w:t>
      </w:r>
    </w:p>
    <w:p>
      <w:pPr>
        <w:adjustRightInd w:val="0"/>
        <w:snapToGrid w:val="0"/>
        <w:spacing w:before="119" w:line="272" w:lineRule="atLeast"/>
        <w:ind w:left="958"/>
        <w:rPr>
          <w:sz w:val="24"/>
        </w:rPr>
      </w:pPr>
    </w:p>
    <w:p>
      <w:pPr>
        <w:adjustRightInd w:val="0"/>
        <w:snapToGrid w:val="0"/>
        <w:spacing w:before="119" w:line="272" w:lineRule="atLeast"/>
        <w:ind w:left="958"/>
        <w:jc w:val="center"/>
        <w:rPr>
          <w:sz w:val="24"/>
        </w:rPr>
      </w:pPr>
    </w:p>
    <w:p>
      <w:pPr>
        <w:adjustRightInd w:val="0"/>
        <w:snapToGrid w:val="0"/>
        <w:spacing w:before="119" w:line="272" w:lineRule="atLeast"/>
        <w:ind w:left="958"/>
        <w:rPr>
          <w:sz w:val="24"/>
        </w:rPr>
      </w:pPr>
      <w:r>
        <w:rPr>
          <w:rFonts w:hint="eastAsia"/>
          <w:sz w:val="24"/>
        </w:rPr>
        <w:t xml:space="preserve">项目名称： </w:t>
      </w:r>
    </w:p>
    <w:p>
      <w:pPr>
        <w:adjustRightInd w:val="0"/>
        <w:snapToGrid w:val="0"/>
        <w:spacing w:before="119" w:line="272" w:lineRule="atLeast"/>
        <w:ind w:left="958"/>
        <w:jc w:val="center"/>
        <w:rPr>
          <w:sz w:val="24"/>
        </w:rPr>
      </w:pPr>
    </w:p>
    <w:p>
      <w:pPr>
        <w:adjustRightInd w:val="0"/>
        <w:snapToGrid w:val="0"/>
        <w:spacing w:before="119" w:line="272" w:lineRule="atLeast"/>
        <w:ind w:left="958"/>
        <w:rPr>
          <w:sz w:val="24"/>
        </w:rPr>
      </w:pPr>
    </w:p>
    <w:p>
      <w:pPr>
        <w:adjustRightInd w:val="0"/>
        <w:snapToGrid w:val="0"/>
        <w:spacing w:before="119" w:line="272" w:lineRule="atLeast"/>
        <w:ind w:left="958"/>
        <w:rPr>
          <w:sz w:val="24"/>
        </w:rPr>
      </w:pPr>
      <w:r>
        <w:rPr>
          <w:rFonts w:hint="eastAsia"/>
          <w:sz w:val="24"/>
        </w:rPr>
        <w:t>采购内容：</w:t>
      </w:r>
    </w:p>
    <w:p>
      <w:pPr>
        <w:adjustRightInd w:val="0"/>
        <w:snapToGrid w:val="0"/>
        <w:spacing w:before="119" w:line="272" w:lineRule="atLeast"/>
        <w:jc w:val="center"/>
        <w:rPr>
          <w:sz w:val="24"/>
        </w:rPr>
      </w:pPr>
    </w:p>
    <w:p>
      <w:pPr>
        <w:adjustRightInd w:val="0"/>
        <w:snapToGrid w:val="0"/>
        <w:spacing w:before="119" w:line="272" w:lineRule="atLeast"/>
        <w:jc w:val="center"/>
        <w:rPr>
          <w:sz w:val="24"/>
        </w:rPr>
      </w:pPr>
    </w:p>
    <w:p>
      <w:pPr>
        <w:adjustRightInd w:val="0"/>
        <w:snapToGrid w:val="0"/>
        <w:spacing w:before="119" w:line="272" w:lineRule="atLeast"/>
        <w:jc w:val="center"/>
        <w:rPr>
          <w:sz w:val="24"/>
        </w:rPr>
      </w:pPr>
    </w:p>
    <w:p>
      <w:pPr>
        <w:adjustRightInd w:val="0"/>
        <w:snapToGrid w:val="0"/>
        <w:spacing w:before="119" w:line="272" w:lineRule="atLeast"/>
        <w:ind w:left="958"/>
        <w:rPr>
          <w:sz w:val="24"/>
          <w:u w:val="single"/>
        </w:rPr>
      </w:pPr>
      <w:r>
        <w:rPr>
          <w:rFonts w:hint="eastAsia"/>
          <w:sz w:val="24"/>
        </w:rPr>
        <w:t>甲   方：</w:t>
      </w:r>
      <w:r>
        <w:rPr>
          <w:sz w:val="24"/>
          <w:u w:val="single"/>
        </w:rPr>
        <w:t>中国劳动关系学院</w:t>
      </w:r>
      <w:r>
        <w:rPr>
          <w:rFonts w:hint="eastAsia"/>
          <w:sz w:val="24"/>
          <w:u w:val="single"/>
        </w:rPr>
        <w:t xml:space="preserve"> </w:t>
      </w:r>
      <w:r>
        <w:rPr>
          <w:sz w:val="24"/>
          <w:u w:val="single"/>
        </w:rPr>
        <w:t xml:space="preserve">        </w:t>
      </w:r>
      <w:r>
        <w:rPr>
          <w:rFonts w:hint="eastAsia"/>
          <w:sz w:val="24"/>
          <w:u w:val="single"/>
        </w:rPr>
        <w:t xml:space="preserve"> </w:t>
      </w:r>
    </w:p>
    <w:p>
      <w:pPr>
        <w:adjustRightInd w:val="0"/>
        <w:snapToGrid w:val="0"/>
        <w:spacing w:before="119" w:line="272" w:lineRule="atLeast"/>
        <w:ind w:left="958"/>
        <w:jc w:val="center"/>
        <w:rPr>
          <w:sz w:val="24"/>
        </w:rPr>
      </w:pPr>
    </w:p>
    <w:p>
      <w:pPr>
        <w:tabs>
          <w:tab w:val="center" w:pos="5440"/>
        </w:tabs>
        <w:adjustRightInd w:val="0"/>
        <w:snapToGrid w:val="0"/>
        <w:spacing w:before="119" w:line="272" w:lineRule="atLeast"/>
        <w:ind w:left="958"/>
        <w:rPr>
          <w:sz w:val="24"/>
          <w:u w:val="single"/>
        </w:rPr>
      </w:pPr>
      <w:r>
        <w:rPr>
          <w:rFonts w:hint="eastAsia"/>
          <w:sz w:val="24"/>
        </w:rPr>
        <w:t>乙   方：</w:t>
      </w:r>
      <w:r>
        <w:rPr>
          <w:rFonts w:hint="eastAsia"/>
          <w:sz w:val="24"/>
          <w:u w:val="single"/>
        </w:rPr>
        <w:t xml:space="preserve">                </w:t>
      </w:r>
      <w:r>
        <w:rPr>
          <w:sz w:val="24"/>
          <w:u w:val="single"/>
        </w:rPr>
        <w:tab/>
      </w:r>
    </w:p>
    <w:p>
      <w:pPr>
        <w:adjustRightInd w:val="0"/>
        <w:snapToGrid w:val="0"/>
        <w:spacing w:before="119" w:line="272" w:lineRule="atLeast"/>
        <w:jc w:val="center"/>
        <w:rPr>
          <w:sz w:val="24"/>
        </w:rPr>
      </w:pPr>
    </w:p>
    <w:p>
      <w:pPr>
        <w:adjustRightInd w:val="0"/>
        <w:snapToGrid w:val="0"/>
        <w:spacing w:before="119" w:line="272" w:lineRule="atLeast"/>
        <w:ind w:left="958"/>
        <w:jc w:val="center"/>
        <w:rPr>
          <w:sz w:val="24"/>
        </w:rPr>
      </w:pPr>
    </w:p>
    <w:p>
      <w:pPr>
        <w:adjustRightInd w:val="0"/>
        <w:snapToGrid w:val="0"/>
        <w:spacing w:before="119" w:line="272" w:lineRule="atLeast"/>
        <w:ind w:left="958"/>
        <w:jc w:val="center"/>
        <w:rPr>
          <w:sz w:val="24"/>
        </w:rPr>
      </w:pPr>
    </w:p>
    <w:p>
      <w:pPr>
        <w:adjustRightInd w:val="0"/>
        <w:snapToGrid w:val="0"/>
        <w:spacing w:before="119" w:line="272" w:lineRule="atLeast"/>
        <w:ind w:left="958" w:leftChars="456" w:firstLine="2400" w:firstLineChars="1000"/>
        <w:rPr>
          <w:sz w:val="24"/>
          <w:u w:val="single"/>
        </w:rPr>
      </w:pPr>
      <w:r>
        <w:rPr>
          <w:rFonts w:hint="eastAsia"/>
          <w:sz w:val="24"/>
        </w:rPr>
        <w:t>签署日期：202</w:t>
      </w:r>
      <w:r>
        <w:rPr>
          <w:sz w:val="24"/>
        </w:rPr>
        <w:t>2</w:t>
      </w:r>
      <w:r>
        <w:rPr>
          <w:rFonts w:hint="eastAsia"/>
          <w:sz w:val="24"/>
        </w:rPr>
        <w:t>年</w:t>
      </w:r>
      <w:r>
        <w:rPr>
          <w:rFonts w:hint="eastAsia"/>
          <w:sz w:val="24"/>
          <w:u w:val="single"/>
        </w:rPr>
        <w:t>　</w:t>
      </w:r>
      <w:r>
        <w:rPr>
          <w:rFonts w:hint="eastAsia"/>
          <w:sz w:val="24"/>
        </w:rPr>
        <w:t>月</w:t>
      </w:r>
      <w:r>
        <w:rPr>
          <w:rFonts w:hint="eastAsia"/>
          <w:sz w:val="24"/>
          <w:u w:val="single"/>
        </w:rPr>
        <w:t>　</w:t>
      </w:r>
      <w:r>
        <w:rPr>
          <w:rFonts w:hint="eastAsia"/>
          <w:sz w:val="24"/>
        </w:rPr>
        <w:t>日</w:t>
      </w:r>
    </w:p>
    <w:p>
      <w:pPr>
        <w:adjustRightInd w:val="0"/>
        <w:snapToGrid w:val="0"/>
        <w:spacing w:before="119" w:line="272" w:lineRule="atLeast"/>
        <w:ind w:left="958"/>
        <w:jc w:val="center"/>
        <w:rPr>
          <w:sz w:val="24"/>
        </w:rPr>
      </w:pPr>
    </w:p>
    <w:p>
      <w:pPr>
        <w:adjustRightInd w:val="0"/>
        <w:snapToGrid w:val="0"/>
        <w:spacing w:before="119" w:line="240" w:lineRule="atLeast"/>
        <w:ind w:left="958"/>
        <w:rPr>
          <w:sz w:val="24"/>
        </w:rPr>
      </w:pPr>
      <w:r>
        <w:rPr>
          <w:rFonts w:hint="eastAsia"/>
          <w:sz w:val="24"/>
        </w:rPr>
        <w:t xml:space="preserve"> </w:t>
      </w:r>
    </w:p>
    <w:p>
      <w:pPr>
        <w:jc w:val="center"/>
        <w:rPr>
          <w:sz w:val="40"/>
          <w:szCs w:val="40"/>
        </w:rPr>
      </w:pPr>
      <w:r>
        <w:rPr>
          <w:rFonts w:hint="eastAsia"/>
          <w:sz w:val="24"/>
        </w:rPr>
        <w:br w:type="page"/>
      </w:r>
      <w:r>
        <w:rPr>
          <w:rFonts w:hint="eastAsia"/>
          <w:sz w:val="24"/>
        </w:rPr>
        <w:t>（一）</w:t>
      </w:r>
      <w:r>
        <w:rPr>
          <w:sz w:val="40"/>
          <w:szCs w:val="40"/>
        </w:rPr>
        <w:t>合　同</w:t>
      </w:r>
    </w:p>
    <w:p>
      <w:pPr>
        <w:snapToGrid w:val="0"/>
        <w:spacing w:before="119" w:line="289" w:lineRule="atLeast"/>
        <w:textAlignment w:val="baseline"/>
        <w:rPr>
          <w:color w:val="000000"/>
          <w:u w:color="000000"/>
        </w:rPr>
      </w:pPr>
    </w:p>
    <w:p>
      <w:pPr>
        <w:snapToGrid w:val="0"/>
        <w:spacing w:before="119" w:line="476" w:lineRule="atLeast"/>
        <w:ind w:firstLine="719"/>
        <w:textAlignment w:val="baseline"/>
        <w:rPr>
          <w:color w:val="000000"/>
          <w:szCs w:val="21"/>
          <w:u w:color="000000"/>
        </w:rPr>
      </w:pPr>
      <w:r>
        <w:rPr>
          <w:u w:val="single"/>
        </w:rPr>
        <w:t>中国劳动关系学院</w:t>
      </w:r>
      <w:r>
        <w:rPr>
          <w:color w:val="000000"/>
          <w:szCs w:val="21"/>
          <w:u w:val="single" w:color="000000"/>
        </w:rPr>
        <w:t xml:space="preserve"> </w:t>
      </w:r>
      <w:r>
        <w:rPr>
          <w:color w:val="000000"/>
          <w:szCs w:val="21"/>
          <w:u w:color="000000"/>
        </w:rPr>
        <w:t>(买方)</w:t>
      </w:r>
      <w:r>
        <w:rPr>
          <w:color w:val="000000"/>
          <w:szCs w:val="21"/>
          <w:u w:val="single" w:color="000000"/>
        </w:rPr>
        <w:t xml:space="preserve"> </w:t>
      </w:r>
      <w:r>
        <w:rPr>
          <w:rFonts w:hint="eastAsia"/>
          <w:color w:val="000000"/>
          <w:szCs w:val="21"/>
          <w:u w:val="single"/>
        </w:rPr>
        <w:t xml:space="preserve">                       </w:t>
      </w:r>
      <w:r>
        <w:rPr>
          <w:color w:val="000000"/>
          <w:szCs w:val="21"/>
          <w:u w:color="000000"/>
        </w:rPr>
        <w:t>(项目名称)中所需</w:t>
      </w:r>
      <w:r>
        <w:rPr>
          <w:rFonts w:hint="eastAsia"/>
          <w:color w:val="000000"/>
          <w:szCs w:val="21"/>
          <w:u w:val="single"/>
        </w:rPr>
        <w:t xml:space="preserve">           </w:t>
      </w:r>
      <w:r>
        <w:rPr>
          <w:color w:val="000000"/>
          <w:szCs w:val="21"/>
          <w:u w:color="000000"/>
        </w:rPr>
        <w:t xml:space="preserve"> (货物名称)</w:t>
      </w:r>
      <w:r>
        <w:rPr>
          <w:rFonts w:hint="eastAsia"/>
          <w:color w:val="000000"/>
          <w:szCs w:val="21"/>
          <w:u w:val="single"/>
        </w:rPr>
        <w:t xml:space="preserve">             </w:t>
      </w:r>
      <w:r>
        <w:rPr>
          <w:rFonts w:hint="eastAsia"/>
          <w:color w:val="000000"/>
          <w:szCs w:val="21"/>
          <w:u w:color="000000"/>
        </w:rPr>
        <w:t xml:space="preserve"> </w:t>
      </w:r>
      <w:r>
        <w:rPr>
          <w:color w:val="000000"/>
          <w:szCs w:val="21"/>
          <w:u w:color="000000"/>
        </w:rPr>
        <w:t>(</w:t>
      </w:r>
      <w:r>
        <w:rPr>
          <w:rFonts w:hint="eastAsia"/>
          <w:color w:val="000000"/>
          <w:szCs w:val="21"/>
          <w:u w:color="000000"/>
        </w:rPr>
        <w:t>采购</w:t>
      </w:r>
      <w:r>
        <w:rPr>
          <w:color w:val="000000"/>
          <w:szCs w:val="21"/>
          <w:u w:color="000000"/>
        </w:rPr>
        <w:t>人)以</w:t>
      </w:r>
      <w:r>
        <w:rPr>
          <w:rFonts w:hint="eastAsia"/>
          <w:color w:val="000000"/>
          <w:szCs w:val="21"/>
          <w:u w:val="single"/>
        </w:rPr>
        <w:t xml:space="preserve">                 </w:t>
      </w:r>
      <w:r>
        <w:rPr>
          <w:color w:val="000000"/>
          <w:szCs w:val="21"/>
          <w:u w:color="000000"/>
        </w:rPr>
        <w:t>号</w:t>
      </w:r>
      <w:r>
        <w:rPr>
          <w:rFonts w:hint="eastAsia"/>
          <w:color w:val="000000"/>
          <w:szCs w:val="21"/>
          <w:u w:color="000000"/>
        </w:rPr>
        <w:t>采购</w:t>
      </w:r>
      <w:r>
        <w:rPr>
          <w:color w:val="000000"/>
          <w:szCs w:val="21"/>
          <w:u w:color="000000"/>
        </w:rPr>
        <w:t>文件在国内</w:t>
      </w:r>
      <w:r>
        <w:rPr>
          <w:rFonts w:hint="eastAsia"/>
          <w:color w:val="000000"/>
          <w:szCs w:val="21"/>
          <w:u w:color="000000"/>
        </w:rPr>
        <w:t>竞争性谈判</w:t>
      </w:r>
      <w:r>
        <w:rPr>
          <w:color w:val="000000"/>
          <w:szCs w:val="21"/>
          <w:u w:color="000000"/>
        </w:rPr>
        <w:t>。经</w:t>
      </w:r>
      <w:r>
        <w:rPr>
          <w:rFonts w:hint="eastAsia"/>
          <w:color w:val="000000"/>
          <w:szCs w:val="21"/>
          <w:u w:color="000000"/>
        </w:rPr>
        <w:t>评审</w:t>
      </w:r>
      <w:r>
        <w:rPr>
          <w:color w:val="000000"/>
          <w:szCs w:val="21"/>
          <w:u w:color="000000"/>
        </w:rPr>
        <w:t>委员会评定</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(卖方)为</w:t>
      </w:r>
      <w:r>
        <w:rPr>
          <w:rFonts w:hint="eastAsia"/>
          <w:color w:val="000000"/>
          <w:szCs w:val="21"/>
          <w:u w:color="000000"/>
        </w:rPr>
        <w:t>成交</w:t>
      </w:r>
      <w:r>
        <w:rPr>
          <w:color w:val="000000"/>
          <w:szCs w:val="21"/>
          <w:u w:color="000000"/>
        </w:rPr>
        <w:t>人。买、卖双方依据《中华人民共和国</w:t>
      </w:r>
      <w:r>
        <w:rPr>
          <w:rFonts w:hint="eastAsia"/>
          <w:color w:val="000000"/>
          <w:szCs w:val="21"/>
          <w:u w:color="000000"/>
        </w:rPr>
        <w:t>民法典</w:t>
      </w:r>
      <w:r>
        <w:rPr>
          <w:color w:val="000000"/>
          <w:szCs w:val="21"/>
          <w:u w:color="000000"/>
        </w:rPr>
        <w:t>》，在平等自愿的基础上，同意按照下面的条款和条件，签署本合同。</w:t>
      </w:r>
    </w:p>
    <w:p>
      <w:pPr>
        <w:widowControl/>
        <w:numPr>
          <w:ilvl w:val="0"/>
          <w:numId w:val="13"/>
        </w:numPr>
        <w:snapToGrid w:val="0"/>
        <w:spacing w:before="238" w:line="419" w:lineRule="atLeast"/>
        <w:textAlignment w:val="baseline"/>
        <w:rPr>
          <w:b/>
          <w:color w:val="000000"/>
          <w:szCs w:val="21"/>
          <w:u w:color="000000"/>
        </w:rPr>
      </w:pPr>
      <w:r>
        <w:rPr>
          <w:b/>
          <w:color w:val="000000"/>
          <w:szCs w:val="21"/>
          <w:u w:color="000000"/>
        </w:rPr>
        <w:t>合同文件</w:t>
      </w:r>
    </w:p>
    <w:p>
      <w:pPr>
        <w:snapToGrid w:val="0"/>
        <w:spacing w:before="238" w:line="419" w:lineRule="atLeast"/>
        <w:textAlignment w:val="baseline"/>
        <w:rPr>
          <w:color w:val="000000"/>
          <w:szCs w:val="21"/>
          <w:u w:color="000000"/>
        </w:rPr>
      </w:pPr>
      <w:r>
        <w:rPr>
          <w:rFonts w:hint="eastAsia"/>
          <w:color w:val="000000"/>
          <w:szCs w:val="21"/>
          <w:u w:color="000000"/>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textAlignment w:val="baseline"/>
        <w:rPr>
          <w:color w:val="000000"/>
          <w:szCs w:val="21"/>
          <w:u w:color="000000"/>
        </w:rPr>
      </w:pPr>
      <w:r>
        <w:rPr>
          <w:color w:val="000000"/>
          <w:szCs w:val="21"/>
          <w:u w:color="000000"/>
        </w:rPr>
        <w:t>a.</w:t>
      </w:r>
      <w:r>
        <w:rPr>
          <w:color w:val="000000"/>
          <w:szCs w:val="21"/>
          <w:u w:color="000000"/>
        </w:rPr>
        <w:tab/>
      </w:r>
      <w:r>
        <w:rPr>
          <w:color w:val="000000"/>
          <w:szCs w:val="21"/>
          <w:u w:color="000000"/>
        </w:rPr>
        <w:t xml:space="preserve"> 本合同书　</w:t>
      </w:r>
    </w:p>
    <w:p>
      <w:pPr>
        <w:snapToGrid w:val="0"/>
        <w:spacing w:before="119" w:line="419" w:lineRule="atLeast"/>
        <w:ind w:firstLine="538"/>
        <w:textAlignment w:val="baseline"/>
        <w:rPr>
          <w:color w:val="000000"/>
          <w:szCs w:val="21"/>
          <w:u w:color="000000"/>
        </w:rPr>
      </w:pPr>
      <w:r>
        <w:rPr>
          <w:color w:val="000000"/>
          <w:szCs w:val="21"/>
          <w:u w:color="000000"/>
        </w:rPr>
        <w:t>b.</w:t>
      </w:r>
      <w:r>
        <w:rPr>
          <w:color w:val="000000"/>
          <w:szCs w:val="21"/>
          <w:u w:color="000000"/>
        </w:rPr>
        <w:tab/>
      </w:r>
      <w:r>
        <w:rPr>
          <w:color w:val="000000"/>
          <w:szCs w:val="21"/>
          <w:u w:color="000000"/>
        </w:rPr>
        <w:t xml:space="preserve"> </w:t>
      </w:r>
      <w:r>
        <w:rPr>
          <w:rFonts w:hint="eastAsia"/>
          <w:color w:val="000000"/>
          <w:szCs w:val="21"/>
          <w:u w:color="000000"/>
        </w:rPr>
        <w:t>成交</w:t>
      </w:r>
      <w:r>
        <w:rPr>
          <w:color w:val="000000"/>
          <w:szCs w:val="21"/>
          <w:u w:color="000000"/>
        </w:rPr>
        <w:t>通知书</w:t>
      </w:r>
      <w:r>
        <w:rPr>
          <w:color w:val="000000"/>
          <w:szCs w:val="21"/>
          <w:u w:color="000000"/>
        </w:rPr>
        <w:tab/>
      </w:r>
    </w:p>
    <w:p>
      <w:pPr>
        <w:snapToGrid w:val="0"/>
        <w:spacing w:before="119" w:line="419" w:lineRule="atLeast"/>
        <w:ind w:firstLine="538"/>
        <w:textAlignment w:val="baseline"/>
        <w:rPr>
          <w:color w:val="000000"/>
          <w:szCs w:val="21"/>
          <w:u w:color="000000"/>
        </w:rPr>
      </w:pPr>
      <w:r>
        <w:rPr>
          <w:color w:val="000000"/>
          <w:szCs w:val="21"/>
          <w:u w:color="000000"/>
        </w:rPr>
        <w:t>c.</w:t>
      </w:r>
      <w:r>
        <w:rPr>
          <w:color w:val="000000"/>
          <w:szCs w:val="21"/>
          <w:u w:color="000000"/>
        </w:rPr>
        <w:tab/>
      </w:r>
      <w:r>
        <w:rPr>
          <w:color w:val="000000"/>
          <w:szCs w:val="21"/>
          <w:u w:color="000000"/>
        </w:rPr>
        <w:t xml:space="preserve"> 协议</w:t>
      </w:r>
      <w:r>
        <w:rPr>
          <w:color w:val="000000"/>
          <w:szCs w:val="21"/>
          <w:u w:color="000000"/>
        </w:rPr>
        <w:tab/>
      </w:r>
      <w:r>
        <w:rPr>
          <w:color w:val="000000"/>
          <w:szCs w:val="21"/>
          <w:u w:color="000000"/>
        </w:rPr>
        <w:tab/>
      </w:r>
      <w:r>
        <w:rPr>
          <w:color w:val="000000"/>
          <w:szCs w:val="21"/>
          <w:u w:color="000000"/>
        </w:rPr>
        <w:tab/>
      </w:r>
      <w:r>
        <w:rPr>
          <w:color w:val="000000"/>
          <w:szCs w:val="21"/>
          <w:u w:color="000000"/>
        </w:rPr>
        <w:tab/>
      </w:r>
    </w:p>
    <w:p>
      <w:pPr>
        <w:snapToGrid w:val="0"/>
        <w:spacing w:before="119" w:line="419" w:lineRule="atLeast"/>
        <w:ind w:firstLine="538"/>
        <w:textAlignment w:val="baseline"/>
        <w:rPr>
          <w:color w:val="000000"/>
          <w:szCs w:val="21"/>
          <w:u w:color="000000"/>
        </w:rPr>
      </w:pPr>
      <w:r>
        <w:rPr>
          <w:color w:val="000000"/>
          <w:szCs w:val="21"/>
          <w:u w:color="000000"/>
        </w:rPr>
        <w:t>d.</w:t>
      </w:r>
      <w:r>
        <w:rPr>
          <w:color w:val="000000"/>
          <w:szCs w:val="21"/>
          <w:u w:color="000000"/>
        </w:rPr>
        <w:tab/>
      </w:r>
      <w:r>
        <w:rPr>
          <w:color w:val="000000"/>
          <w:szCs w:val="21"/>
          <w:u w:color="000000"/>
        </w:rPr>
        <w:t xml:space="preserve"> </w:t>
      </w:r>
      <w:r>
        <w:rPr>
          <w:rFonts w:hint="eastAsia"/>
          <w:color w:val="000000"/>
          <w:szCs w:val="21"/>
          <w:u w:color="000000"/>
        </w:rPr>
        <w:t>响应</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r>
      <w:r>
        <w:rPr>
          <w:color w:val="000000"/>
          <w:szCs w:val="21"/>
          <w:u w:color="000000"/>
        </w:rPr>
        <w:t>(含澄清文件)</w:t>
      </w:r>
    </w:p>
    <w:p>
      <w:pPr>
        <w:snapToGrid w:val="0"/>
        <w:spacing w:before="119" w:after="147" w:line="419" w:lineRule="atLeast"/>
        <w:ind w:firstLine="538"/>
        <w:textAlignment w:val="baseline"/>
        <w:rPr>
          <w:color w:val="000000"/>
          <w:szCs w:val="21"/>
          <w:u w:color="000000"/>
        </w:rPr>
      </w:pPr>
      <w:r>
        <w:rPr>
          <w:color w:val="000000"/>
          <w:szCs w:val="21"/>
          <w:u w:color="000000"/>
        </w:rPr>
        <w:t>e.</w:t>
      </w:r>
      <w:r>
        <w:rPr>
          <w:color w:val="000000"/>
          <w:szCs w:val="21"/>
          <w:u w:color="000000"/>
        </w:rPr>
        <w:tab/>
      </w:r>
      <w:r>
        <w:rPr>
          <w:color w:val="000000"/>
          <w:szCs w:val="21"/>
          <w:u w:color="000000"/>
        </w:rPr>
        <w:t xml:space="preserve"> </w:t>
      </w:r>
      <w:r>
        <w:rPr>
          <w:rFonts w:hint="eastAsia"/>
          <w:color w:val="000000"/>
          <w:szCs w:val="21"/>
          <w:u w:color="000000"/>
        </w:rPr>
        <w:t>采购</w:t>
      </w:r>
      <w:r>
        <w:rPr>
          <w:color w:val="000000"/>
          <w:szCs w:val="21"/>
          <w:u w:color="000000"/>
        </w:rPr>
        <w:t>文件</w:t>
      </w:r>
      <w:r>
        <w:rPr>
          <w:color w:val="000000"/>
          <w:szCs w:val="21"/>
          <w:u w:color="000000"/>
        </w:rPr>
        <w:tab/>
      </w:r>
      <w:r>
        <w:rPr>
          <w:color w:val="000000"/>
          <w:szCs w:val="21"/>
          <w:u w:color="000000"/>
        </w:rPr>
        <w:tab/>
      </w:r>
      <w:r>
        <w:rPr>
          <w:color w:val="000000"/>
          <w:szCs w:val="21"/>
          <w:u w:color="000000"/>
        </w:rPr>
        <w:tab/>
      </w:r>
      <w:r>
        <w:rPr>
          <w:color w:val="000000"/>
          <w:szCs w:val="21"/>
          <w:u w:color="000000"/>
        </w:rPr>
        <w:tab/>
      </w:r>
      <w:r>
        <w:rPr>
          <w:color w:val="000000"/>
          <w:szCs w:val="21"/>
          <w:u w:color="000000"/>
        </w:rPr>
        <w:t>(含采购文件补充通知)</w:t>
      </w:r>
    </w:p>
    <w:p>
      <w:pPr>
        <w:snapToGrid w:val="0"/>
        <w:spacing w:before="119" w:line="419" w:lineRule="atLeast"/>
        <w:textAlignment w:val="baseline"/>
        <w:rPr>
          <w:color w:val="000000"/>
          <w:szCs w:val="21"/>
          <w:u w:color="000000"/>
        </w:rPr>
      </w:pPr>
      <w:r>
        <w:rPr>
          <w:b/>
          <w:color w:val="000000"/>
          <w:szCs w:val="21"/>
          <w:u w:color="000000"/>
        </w:rPr>
        <w:t>2、货物和数量</w:t>
      </w:r>
    </w:p>
    <w:p>
      <w:pPr>
        <w:snapToGrid w:val="0"/>
        <w:spacing w:before="119" w:line="419" w:lineRule="atLeast"/>
        <w:ind w:firstLine="453"/>
        <w:textAlignment w:val="baseline"/>
        <w:rPr>
          <w:color w:val="000000"/>
          <w:szCs w:val="21"/>
          <w:u w:color="000000"/>
        </w:rPr>
      </w:pPr>
      <w:r>
        <w:rPr>
          <w:color w:val="000000"/>
          <w:szCs w:val="21"/>
          <w:u w:color="000000"/>
        </w:rPr>
        <w:t>本合同货物：</w:t>
      </w:r>
      <w:r>
        <w:rPr>
          <w:rFonts w:hint="eastAsia"/>
          <w:color w:val="000000"/>
          <w:szCs w:val="21"/>
          <w:u w:val="single"/>
        </w:rPr>
        <w:t xml:space="preserve">              </w:t>
      </w:r>
      <w:r>
        <w:rPr>
          <w:color w:val="000000"/>
          <w:szCs w:val="21"/>
          <w:u w:color="000000"/>
        </w:rPr>
        <w:t xml:space="preserve"> </w:t>
      </w:r>
    </w:p>
    <w:p>
      <w:pPr>
        <w:snapToGrid w:val="0"/>
        <w:spacing w:before="119" w:line="419" w:lineRule="atLeast"/>
        <w:ind w:firstLine="453"/>
        <w:textAlignment w:val="baseline"/>
        <w:rPr>
          <w:color w:val="000000"/>
          <w:szCs w:val="21"/>
          <w:u w:color="000000"/>
        </w:rPr>
      </w:pPr>
      <w:r>
        <w:rPr>
          <w:color w:val="000000"/>
          <w:szCs w:val="21"/>
          <w:u w:color="000000"/>
        </w:rPr>
        <w:t>数量：</w:t>
      </w:r>
      <w:r>
        <w:rPr>
          <w:rFonts w:hint="eastAsia"/>
          <w:color w:val="000000"/>
          <w:szCs w:val="21"/>
          <w:u w:val="single" w:color="000000"/>
        </w:rPr>
        <w:t xml:space="preserve"> </w:t>
      </w:r>
      <w:r>
        <w:rPr>
          <w:color w:val="000000"/>
          <w:szCs w:val="21"/>
          <w:u w:val="single" w:color="000000"/>
        </w:rPr>
        <w:t xml:space="preserve">                   </w:t>
      </w:r>
    </w:p>
    <w:p>
      <w:pPr>
        <w:snapToGrid w:val="0"/>
        <w:spacing w:before="238" w:line="419" w:lineRule="atLeast"/>
        <w:textAlignment w:val="baseline"/>
        <w:rPr>
          <w:color w:val="000000"/>
          <w:szCs w:val="21"/>
          <w:u w:color="000000"/>
        </w:rPr>
      </w:pPr>
      <w:r>
        <w:rPr>
          <w:b/>
          <w:color w:val="000000"/>
          <w:szCs w:val="21"/>
          <w:u w:color="000000"/>
        </w:rPr>
        <w:t>3、合同总价</w:t>
      </w:r>
    </w:p>
    <w:p>
      <w:pPr>
        <w:snapToGrid w:val="0"/>
        <w:spacing w:before="119" w:line="419" w:lineRule="atLeast"/>
        <w:ind w:firstLine="453"/>
        <w:textAlignment w:val="baseline"/>
        <w:rPr>
          <w:color w:val="000000"/>
          <w:szCs w:val="21"/>
          <w:u w:color="000000"/>
        </w:rPr>
      </w:pPr>
      <w:r>
        <w:rPr>
          <w:color w:val="000000"/>
          <w:szCs w:val="21"/>
          <w:u w:color="000000"/>
        </w:rPr>
        <w:t>本合同总价为</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元</w:t>
      </w:r>
      <w:r>
        <w:rPr>
          <w:rFonts w:hint="eastAsia"/>
          <w:color w:val="000000"/>
          <w:szCs w:val="21"/>
          <w:u w:color="000000"/>
        </w:rPr>
        <w:t>（</w:t>
      </w:r>
      <w:r>
        <w:rPr>
          <w:color w:val="000000"/>
          <w:szCs w:val="21"/>
          <w:u w:color="000000"/>
        </w:rPr>
        <w:t>大写</w:t>
      </w:r>
      <w:r>
        <w:rPr>
          <w:rFonts w:hint="eastAsia"/>
          <w:color w:val="000000"/>
          <w:szCs w:val="21"/>
          <w:u w:color="000000"/>
        </w:rPr>
        <w:t>）</w:t>
      </w:r>
      <w:r>
        <w:rPr>
          <w:color w:val="000000"/>
          <w:szCs w:val="21"/>
          <w:u w:color="000000"/>
        </w:rPr>
        <w:t>人民币。</w:t>
      </w:r>
    </w:p>
    <w:p>
      <w:pPr>
        <w:snapToGrid w:val="0"/>
        <w:spacing w:before="119" w:line="419" w:lineRule="atLeast"/>
        <w:ind w:firstLine="453"/>
        <w:textAlignment w:val="baseline"/>
        <w:rPr>
          <w:color w:val="000000"/>
          <w:szCs w:val="21"/>
          <w:u w:color="000000"/>
        </w:rPr>
      </w:pPr>
      <w:r>
        <w:rPr>
          <w:color w:val="000000"/>
          <w:szCs w:val="21"/>
          <w:u w:color="000000"/>
        </w:rPr>
        <w:t>分项价格：</w:t>
      </w:r>
      <w:r>
        <w:rPr>
          <w:rFonts w:hint="eastAsia"/>
          <w:color w:val="000000"/>
          <w:szCs w:val="21"/>
          <w:u w:val="single" w:color="000000"/>
        </w:rPr>
        <w:t xml:space="preserve"> </w:t>
      </w:r>
      <w:r>
        <w:rPr>
          <w:color w:val="000000"/>
          <w:szCs w:val="21"/>
          <w:u w:val="single" w:color="000000"/>
        </w:rPr>
        <w:t xml:space="preserve">              </w:t>
      </w:r>
    </w:p>
    <w:p>
      <w:pPr>
        <w:snapToGrid w:val="0"/>
        <w:spacing w:before="238" w:line="419" w:lineRule="atLeast"/>
        <w:textAlignment w:val="baseline"/>
        <w:rPr>
          <w:color w:val="000000"/>
          <w:szCs w:val="21"/>
          <w:u w:color="000000"/>
        </w:rPr>
      </w:pPr>
      <w:r>
        <w:rPr>
          <w:b/>
          <w:color w:val="000000"/>
          <w:szCs w:val="21"/>
          <w:u w:color="000000"/>
        </w:rPr>
        <w:t>4、付款方式</w:t>
      </w:r>
    </w:p>
    <w:p>
      <w:pPr>
        <w:widowControl/>
        <w:tabs>
          <w:tab w:val="left" w:pos="3960"/>
          <w:tab w:val="left" w:pos="4500"/>
        </w:tabs>
        <w:spacing w:line="360" w:lineRule="auto"/>
        <w:ind w:left="525" w:leftChars="100" w:hanging="315" w:hangingChars="150"/>
        <w:textAlignment w:val="baseline"/>
        <w:rPr>
          <w:color w:val="000000"/>
          <w:szCs w:val="21"/>
          <w:u w:color="000000"/>
        </w:rPr>
      </w:pPr>
      <w:r>
        <w:rPr>
          <w:color w:val="000000"/>
          <w:szCs w:val="21"/>
          <w:u w:color="000000"/>
        </w:rPr>
        <w:t>本合同的付款方式为：</w:t>
      </w:r>
    </w:p>
    <w:p>
      <w:pPr>
        <w:spacing w:line="360" w:lineRule="auto"/>
        <w:ind w:left="210" w:leftChars="100"/>
        <w:jc w:val="left"/>
        <w:rPr>
          <w:rFonts w:ascii="宋体" w:hAnsi="宋体"/>
          <w:szCs w:val="21"/>
        </w:rPr>
      </w:pPr>
      <w:r>
        <w:rPr>
          <w:rFonts w:hint="eastAsia" w:ascii="宋体" w:hAnsi="宋体"/>
          <w:szCs w:val="21"/>
        </w:rPr>
        <w:t>第一次付款：合同签订后</w:t>
      </w:r>
      <w:r>
        <w:rPr>
          <w:rFonts w:ascii="宋体" w:hAnsi="宋体"/>
          <w:szCs w:val="21"/>
        </w:rPr>
        <w:t xml:space="preserve">10个工作日内，乙方向甲方提供发票后，甲方向乙方支付合同额的30%的首付款，计 </w:t>
      </w:r>
      <w:r>
        <w:rPr>
          <w:rFonts w:hint="eastAsia" w:ascii="宋体" w:hAnsi="宋体"/>
          <w:szCs w:val="21"/>
        </w:rPr>
        <w:t>xx</w:t>
      </w:r>
      <w:r>
        <w:rPr>
          <w:rFonts w:ascii="宋体" w:hAnsi="宋体"/>
          <w:szCs w:val="21"/>
        </w:rPr>
        <w:t>元。</w:t>
      </w:r>
    </w:p>
    <w:p>
      <w:pPr>
        <w:spacing w:line="360" w:lineRule="auto"/>
        <w:ind w:left="210" w:leftChars="100"/>
        <w:jc w:val="left"/>
        <w:rPr>
          <w:rFonts w:ascii="宋体" w:hAnsi="宋体"/>
          <w:szCs w:val="21"/>
        </w:rPr>
      </w:pPr>
      <w:r>
        <w:rPr>
          <w:rFonts w:hint="eastAsia" w:ascii="宋体" w:hAnsi="宋体"/>
          <w:szCs w:val="21"/>
        </w:rPr>
        <w:t>第二次付款：所有设备安装到位、项目验收合格后，乙方向甲方提供发票后</w:t>
      </w:r>
      <w:r>
        <w:rPr>
          <w:rFonts w:ascii="宋体" w:hAnsi="宋体"/>
          <w:szCs w:val="21"/>
        </w:rPr>
        <w:t>10个工作日内，甲方向乙方支付合同金额的65%，计</w:t>
      </w:r>
      <w:r>
        <w:rPr>
          <w:rFonts w:hint="eastAsia" w:ascii="宋体" w:hAnsi="宋体"/>
          <w:szCs w:val="21"/>
        </w:rPr>
        <w:t>xx</w:t>
      </w:r>
      <w:r>
        <w:rPr>
          <w:rFonts w:ascii="宋体" w:hAnsi="宋体"/>
          <w:szCs w:val="21"/>
        </w:rPr>
        <w:t>元。</w:t>
      </w:r>
    </w:p>
    <w:p>
      <w:pPr>
        <w:widowControl/>
        <w:spacing w:before="120" w:line="360" w:lineRule="auto"/>
        <w:ind w:left="210" w:leftChars="100" w:firstLine="105" w:firstLineChars="50"/>
        <w:textAlignment w:val="baseline"/>
        <w:rPr>
          <w:rFonts w:ascii="宋体" w:hAnsi="宋体"/>
          <w:szCs w:val="21"/>
        </w:rPr>
      </w:pPr>
      <w:r>
        <w:rPr>
          <w:rFonts w:hint="eastAsia" w:ascii="宋体" w:hAnsi="宋体"/>
          <w:szCs w:val="21"/>
        </w:rPr>
        <w:t>第三次付款：验收合格一年后，乙方向甲方提供发票后</w:t>
      </w:r>
      <w:r>
        <w:rPr>
          <w:rFonts w:ascii="宋体" w:hAnsi="宋体"/>
          <w:szCs w:val="21"/>
        </w:rPr>
        <w:t>10个工作日内，甲方向乙方支付合同金额的5%，计</w:t>
      </w:r>
      <w:r>
        <w:rPr>
          <w:rFonts w:hint="eastAsia" w:ascii="宋体" w:hAnsi="宋体"/>
          <w:szCs w:val="21"/>
        </w:rPr>
        <w:t>xx</w:t>
      </w:r>
      <w:r>
        <w:rPr>
          <w:rFonts w:ascii="宋体" w:hAnsi="宋体"/>
          <w:szCs w:val="21"/>
        </w:rPr>
        <w:t>元。</w:t>
      </w:r>
    </w:p>
    <w:p>
      <w:pPr>
        <w:widowControl/>
        <w:spacing w:before="120" w:line="360" w:lineRule="auto"/>
        <w:ind w:firstLine="105" w:firstLineChars="50"/>
        <w:textAlignment w:val="baseline"/>
        <w:rPr>
          <w:color w:val="000000"/>
          <w:szCs w:val="21"/>
          <w:u w:color="000000"/>
        </w:rPr>
      </w:pPr>
      <w:r>
        <w:rPr>
          <w:b/>
          <w:color w:val="000000"/>
          <w:szCs w:val="21"/>
          <w:u w:color="000000"/>
        </w:rPr>
        <w:t>5、本合同货物的交货时间及交货地点</w:t>
      </w:r>
    </w:p>
    <w:p>
      <w:pPr>
        <w:snapToGrid w:val="0"/>
        <w:spacing w:before="119" w:line="419" w:lineRule="atLeast"/>
        <w:ind w:firstLine="481"/>
        <w:textAlignment w:val="baseline"/>
        <w:rPr>
          <w:color w:val="000000"/>
          <w:szCs w:val="21"/>
          <w:u w:color="000000"/>
        </w:rPr>
      </w:pPr>
      <w:r>
        <w:rPr>
          <w:color w:val="000000"/>
          <w:szCs w:val="21"/>
          <w:u w:color="000000"/>
        </w:rPr>
        <w:t>交货时间：</w:t>
      </w:r>
      <w:r>
        <w:rPr>
          <w:rFonts w:hint="eastAsia"/>
          <w:color w:val="000000"/>
          <w:szCs w:val="21"/>
          <w:u w:val="single" w:color="000000"/>
        </w:rPr>
        <w:t xml:space="preserve"> </w:t>
      </w:r>
      <w:r>
        <w:rPr>
          <w:color w:val="000000"/>
          <w:szCs w:val="21"/>
          <w:u w:val="single" w:color="000000"/>
        </w:rPr>
        <w:t xml:space="preserve">                </w:t>
      </w:r>
      <w:r>
        <w:rPr>
          <w:rFonts w:hint="eastAsia"/>
          <w:color w:val="000000"/>
          <w:szCs w:val="21"/>
          <w:u w:val="single" w:color="000000"/>
        </w:rPr>
        <w:t>。</w:t>
      </w:r>
    </w:p>
    <w:p>
      <w:pPr>
        <w:snapToGrid w:val="0"/>
        <w:spacing w:before="119" w:line="419" w:lineRule="atLeast"/>
        <w:ind w:firstLine="481"/>
        <w:textAlignment w:val="baseline"/>
        <w:rPr>
          <w:color w:val="000000"/>
          <w:szCs w:val="21"/>
          <w:u w:color="000000"/>
        </w:rPr>
      </w:pPr>
      <w:r>
        <w:rPr>
          <w:color w:val="000000"/>
          <w:szCs w:val="21"/>
          <w:u w:color="000000"/>
        </w:rPr>
        <w:t>交货地点：</w:t>
      </w:r>
      <w:r>
        <w:rPr>
          <w:rFonts w:hint="eastAsia"/>
          <w:color w:val="000000"/>
          <w:szCs w:val="21"/>
          <w:u w:val="single" w:color="000000"/>
        </w:rPr>
        <w:t xml:space="preserve"> </w:t>
      </w:r>
      <w:r>
        <w:rPr>
          <w:color w:val="000000"/>
          <w:szCs w:val="21"/>
          <w:u w:val="single" w:color="000000"/>
        </w:rPr>
        <w:t xml:space="preserve">                </w:t>
      </w:r>
      <w:r>
        <w:rPr>
          <w:rFonts w:hint="eastAsia"/>
          <w:color w:val="000000"/>
          <w:szCs w:val="21"/>
          <w:u w:val="single" w:color="000000"/>
        </w:rPr>
        <w:t>。</w:t>
      </w:r>
    </w:p>
    <w:p>
      <w:pPr>
        <w:snapToGrid w:val="0"/>
        <w:spacing w:before="238" w:line="419" w:lineRule="atLeast"/>
        <w:textAlignment w:val="baseline"/>
        <w:rPr>
          <w:color w:val="000000"/>
          <w:szCs w:val="21"/>
          <w:u w:color="000000"/>
        </w:rPr>
      </w:pPr>
      <w:r>
        <w:rPr>
          <w:b/>
          <w:color w:val="000000"/>
          <w:szCs w:val="21"/>
          <w:u w:color="000000"/>
        </w:rPr>
        <w:t>6、合同的生效。</w:t>
      </w:r>
    </w:p>
    <w:p>
      <w:pPr>
        <w:snapToGrid w:val="0"/>
        <w:spacing w:before="119" w:line="419" w:lineRule="atLeast"/>
        <w:ind w:firstLine="453"/>
        <w:textAlignment w:val="baseline"/>
        <w:rPr>
          <w:color w:val="000000"/>
          <w:szCs w:val="21"/>
          <w:u w:color="000000"/>
        </w:rPr>
      </w:pPr>
      <w:r>
        <w:rPr>
          <w:color w:val="000000"/>
          <w:szCs w:val="21"/>
          <w:u w:color="000000"/>
        </w:rPr>
        <w:t>本合同经双方</w:t>
      </w:r>
      <w:r>
        <w:rPr>
          <w:rFonts w:hint="eastAsia"/>
          <w:color w:val="000000"/>
          <w:szCs w:val="21"/>
          <w:u w:color="000000"/>
        </w:rPr>
        <w:t>授</w:t>
      </w:r>
      <w:r>
        <w:rPr>
          <w:color w:val="000000"/>
          <w:szCs w:val="21"/>
          <w:u w:color="000000"/>
        </w:rPr>
        <w:t>权代表签署、加盖单位印章并由卖方</w:t>
      </w:r>
      <w:r>
        <w:rPr>
          <w:rFonts w:hint="eastAsia"/>
          <w:color w:val="000000"/>
          <w:szCs w:val="21"/>
          <w:u w:color="000000"/>
        </w:rPr>
        <w:t>提交</w:t>
      </w:r>
      <w:r>
        <w:rPr>
          <w:color w:val="000000"/>
          <w:szCs w:val="21"/>
          <w:u w:color="000000"/>
        </w:rPr>
        <w:t>履约保证金后生效。</w:t>
      </w:r>
    </w:p>
    <w:p>
      <w:pPr>
        <w:snapToGrid w:val="0"/>
        <w:spacing w:before="119" w:line="419" w:lineRule="atLeast"/>
        <w:ind w:firstLine="453"/>
        <w:textAlignment w:val="baseline"/>
        <w:rPr>
          <w:color w:val="000000"/>
          <w:szCs w:val="21"/>
          <w:u w:color="000000"/>
        </w:rPr>
      </w:pPr>
    </w:p>
    <w:p>
      <w:pPr>
        <w:snapToGrid w:val="0"/>
        <w:spacing w:before="119" w:line="419" w:lineRule="atLeast"/>
        <w:ind w:firstLine="453"/>
        <w:textAlignment w:val="baseline"/>
        <w:rPr>
          <w:color w:val="000000"/>
          <w:szCs w:val="21"/>
          <w:u w:color="000000"/>
        </w:rPr>
      </w:pPr>
    </w:p>
    <w:p>
      <w:pPr>
        <w:snapToGrid w:val="0"/>
        <w:spacing w:before="119" w:line="272" w:lineRule="atLeast"/>
        <w:textAlignment w:val="baseline"/>
        <w:rPr>
          <w:color w:val="000000"/>
          <w:szCs w:val="21"/>
          <w:u w:color="000000"/>
        </w:rPr>
      </w:pPr>
      <w:r>
        <w:rPr>
          <w:color w:val="000000"/>
          <w:szCs w:val="21"/>
          <w:u w:color="000000"/>
        </w:rPr>
        <w:t>　　买　方：</w:t>
      </w:r>
      <w:r>
        <w:rPr>
          <w:color w:val="000000"/>
          <w:szCs w:val="21"/>
          <w:u w:val="single" w:color="000000"/>
        </w:rPr>
        <w:t xml:space="preserve"> </w:t>
      </w:r>
      <w:r>
        <w:rPr>
          <w:u w:val="single"/>
        </w:rPr>
        <w:t>中国劳动关系学院</w:t>
      </w:r>
      <w:r>
        <w:rPr>
          <w:color w:val="000000"/>
          <w:szCs w:val="21"/>
          <w:u w:val="single" w:color="000000"/>
        </w:rPr>
        <w:t xml:space="preserve">        </w:t>
      </w:r>
      <w:r>
        <w:rPr>
          <w:color w:val="000000"/>
          <w:szCs w:val="21"/>
          <w:u w:color="000000"/>
        </w:rPr>
        <w:tab/>
      </w:r>
      <w:r>
        <w:rPr>
          <w:color w:val="000000"/>
          <w:szCs w:val="21"/>
          <w:u w:color="000000"/>
        </w:rPr>
        <w:t xml:space="preserve">    </w:t>
      </w:r>
      <w:r>
        <w:rPr>
          <w:rFonts w:hint="eastAsia"/>
          <w:color w:val="000000"/>
          <w:szCs w:val="21"/>
          <w:u w:color="000000"/>
        </w:rPr>
        <w:t xml:space="preserve">    </w:t>
      </w:r>
      <w:r>
        <w:rPr>
          <w:color w:val="000000"/>
          <w:szCs w:val="21"/>
          <w:u w:color="000000"/>
        </w:rPr>
        <w:t xml:space="preserve"> 卖　方：</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p>
    <w:p>
      <w:pPr>
        <w:snapToGrid w:val="0"/>
        <w:spacing w:before="119" w:line="272" w:lineRule="atLeast"/>
        <w:textAlignment w:val="baseline"/>
        <w:rPr>
          <w:color w:val="000000"/>
          <w:szCs w:val="21"/>
          <w:u w:color="000000"/>
        </w:rPr>
      </w:pPr>
    </w:p>
    <w:p>
      <w:pPr>
        <w:snapToGrid w:val="0"/>
        <w:spacing w:before="119" w:line="272" w:lineRule="atLeast"/>
        <w:textAlignment w:val="baseline"/>
        <w:rPr>
          <w:color w:val="000000"/>
          <w:szCs w:val="21"/>
          <w:u w:color="000000"/>
        </w:rPr>
      </w:pPr>
      <w:r>
        <w:rPr>
          <w:color w:val="000000"/>
          <w:szCs w:val="21"/>
          <w:u w:color="000000"/>
        </w:rPr>
        <w:t xml:space="preserve">　 (印章)　　　       </w:t>
      </w:r>
      <w:r>
        <w:rPr>
          <w:color w:val="000000"/>
          <w:szCs w:val="21"/>
          <w:u w:color="000000"/>
        </w:rPr>
        <w:tab/>
      </w:r>
      <w:r>
        <w:rPr>
          <w:color w:val="000000"/>
          <w:szCs w:val="21"/>
          <w:u w:color="000000"/>
        </w:rPr>
        <w:t xml:space="preserve"> </w:t>
      </w:r>
      <w:r>
        <w:rPr>
          <w:rFonts w:hint="eastAsia"/>
          <w:color w:val="000000"/>
          <w:szCs w:val="21"/>
          <w:u w:color="000000"/>
        </w:rPr>
        <w:t xml:space="preserve">                       </w:t>
      </w:r>
      <w:r>
        <w:rPr>
          <w:color w:val="000000"/>
          <w:szCs w:val="21"/>
          <w:u w:color="000000"/>
        </w:rPr>
        <w:t>(印章)</w:t>
      </w:r>
    </w:p>
    <w:p>
      <w:pPr>
        <w:snapToGrid w:val="0"/>
        <w:spacing w:before="119" w:line="272" w:lineRule="atLeast"/>
        <w:textAlignment w:val="baseline"/>
        <w:rPr>
          <w:color w:val="000000"/>
          <w:szCs w:val="21"/>
          <w:u w:color="000000"/>
        </w:rPr>
      </w:pPr>
      <w:r>
        <w:rPr>
          <w:color w:val="000000"/>
          <w:szCs w:val="21"/>
          <w:u w:color="000000"/>
        </w:rPr>
        <w:t xml:space="preserve">          </w:t>
      </w:r>
    </w:p>
    <w:p>
      <w:pPr>
        <w:snapToGrid w:val="0"/>
        <w:spacing w:before="119" w:line="272" w:lineRule="atLeast"/>
        <w:ind w:firstLine="481"/>
        <w:textAlignment w:val="baseline"/>
        <w:rPr>
          <w:color w:val="000000"/>
          <w:szCs w:val="21"/>
          <w:u w:color="000000"/>
        </w:rPr>
      </w:pPr>
    </w:p>
    <w:p>
      <w:pPr>
        <w:tabs>
          <w:tab w:val="left" w:pos="4253"/>
        </w:tabs>
        <w:snapToGrid w:val="0"/>
        <w:spacing w:before="119" w:line="272" w:lineRule="atLeast"/>
        <w:textAlignment w:val="baseline"/>
        <w:rPr>
          <w:color w:val="000000"/>
          <w:szCs w:val="21"/>
          <w:u w:color="000000"/>
        </w:rPr>
      </w:pPr>
    </w:p>
    <w:p>
      <w:pPr>
        <w:snapToGrid w:val="0"/>
        <w:spacing w:before="119" w:line="360" w:lineRule="auto"/>
        <w:ind w:firstLine="405"/>
        <w:textAlignment w:val="baseline"/>
        <w:rPr>
          <w:color w:val="000000"/>
          <w:szCs w:val="21"/>
          <w:u w:val="single" w:color="000000"/>
        </w:rPr>
      </w:pPr>
      <w:r>
        <w:rPr>
          <w:color w:val="000000"/>
          <w:szCs w:val="21"/>
          <w:u w:color="000000"/>
        </w:rPr>
        <w:t>授权代表(签字)：</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r>
        <w:rPr>
          <w:color w:val="000000"/>
          <w:szCs w:val="21"/>
          <w:u w:color="000000"/>
        </w:rPr>
        <w:tab/>
      </w:r>
      <w:r>
        <w:rPr>
          <w:color w:val="000000"/>
          <w:szCs w:val="21"/>
          <w:u w:color="000000"/>
        </w:rPr>
        <w:t xml:space="preserve">    </w:t>
      </w:r>
      <w:r>
        <w:rPr>
          <w:rFonts w:hint="eastAsia"/>
          <w:color w:val="000000"/>
          <w:szCs w:val="21"/>
          <w:u w:color="000000"/>
        </w:rPr>
        <w:t xml:space="preserve">    </w:t>
      </w:r>
      <w:r>
        <w:rPr>
          <w:color w:val="000000"/>
          <w:szCs w:val="21"/>
          <w:u w:color="000000"/>
        </w:rPr>
        <w:t>授权代表(签字)：</w:t>
      </w:r>
      <w:r>
        <w:rPr>
          <w:color w:val="000000"/>
          <w:szCs w:val="21"/>
          <w:u w:val="single" w:color="000000"/>
        </w:rPr>
        <w:t xml:space="preserve">  </w:t>
      </w:r>
      <w:r>
        <w:rPr>
          <w:rFonts w:hint="eastAsia"/>
          <w:color w:val="000000"/>
          <w:szCs w:val="21"/>
          <w:u w:val="single" w:color="000000"/>
        </w:rPr>
        <w:t xml:space="preserve">      </w:t>
      </w:r>
      <w:r>
        <w:rPr>
          <w:color w:val="000000"/>
          <w:szCs w:val="21"/>
          <w:u w:val="single" w:color="000000"/>
        </w:rPr>
        <w:t xml:space="preserve">   </w:t>
      </w:r>
    </w:p>
    <w:p>
      <w:pPr>
        <w:snapToGrid w:val="0"/>
        <w:spacing w:before="119" w:line="360" w:lineRule="auto"/>
        <w:ind w:firstLine="405"/>
        <w:textAlignment w:val="baseline"/>
        <w:rPr>
          <w:color w:val="000000"/>
          <w:szCs w:val="21"/>
        </w:rPr>
      </w:pPr>
    </w:p>
    <w:p>
      <w:pPr>
        <w:snapToGrid w:val="0"/>
        <w:spacing w:before="119" w:line="360" w:lineRule="auto"/>
        <w:ind w:firstLine="405"/>
        <w:textAlignment w:val="baseline"/>
        <w:rPr>
          <w:color w:val="000000"/>
          <w:szCs w:val="21"/>
          <w:u w:val="single" w:color="000000"/>
        </w:rPr>
      </w:pPr>
      <w:r>
        <w:rPr>
          <w:rFonts w:hint="eastAsia"/>
          <w:color w:val="000000"/>
          <w:szCs w:val="21"/>
          <w:u w:color="000000"/>
        </w:rPr>
        <w:t>联系电话：</w:t>
      </w:r>
      <w:r>
        <w:rPr>
          <w:rFonts w:hint="eastAsia"/>
          <w:color w:val="000000"/>
          <w:szCs w:val="21"/>
          <w:u w:val="single" w:color="000000"/>
        </w:rPr>
        <w:t xml:space="preserve">                 </w:t>
      </w:r>
      <w:r>
        <w:rPr>
          <w:rFonts w:hint="eastAsia"/>
          <w:color w:val="000000"/>
          <w:szCs w:val="21"/>
          <w:u w:color="000000"/>
        </w:rPr>
        <w:t xml:space="preserve">    </w:t>
      </w:r>
      <w:r>
        <w:rPr>
          <w:color w:val="000000"/>
          <w:szCs w:val="21"/>
          <w:u w:color="000000"/>
        </w:rPr>
        <w:t xml:space="preserve">             </w:t>
      </w:r>
      <w:r>
        <w:rPr>
          <w:rFonts w:hint="eastAsia"/>
          <w:color w:val="000000"/>
          <w:szCs w:val="21"/>
          <w:u w:color="000000"/>
        </w:rPr>
        <w:t>联系电话：</w:t>
      </w:r>
      <w:r>
        <w:rPr>
          <w:rFonts w:hint="eastAsia"/>
          <w:color w:val="000000"/>
          <w:szCs w:val="21"/>
          <w:u w:val="single" w:color="000000"/>
        </w:rPr>
        <w:t xml:space="preserve">                 </w:t>
      </w:r>
    </w:p>
    <w:p>
      <w:pPr>
        <w:snapToGrid w:val="0"/>
        <w:spacing w:before="119" w:line="360" w:lineRule="auto"/>
        <w:ind w:firstLine="420" w:firstLineChars="200"/>
        <w:textAlignment w:val="baseline"/>
        <w:rPr>
          <w:color w:val="000000"/>
          <w:szCs w:val="21"/>
          <w:u w:color="000000"/>
        </w:rPr>
      </w:pPr>
      <w:r>
        <w:rPr>
          <w:color w:val="000000"/>
          <w:szCs w:val="21"/>
          <w:u w:color="000000"/>
        </w:rPr>
        <w:t>地址：</w:t>
      </w:r>
      <w:r>
        <w:rPr>
          <w:u w:val="single"/>
        </w:rPr>
        <w:t>北京市海淀区增光路45号</w:t>
      </w:r>
      <w:r>
        <w:rPr>
          <w:color w:val="000000"/>
          <w:szCs w:val="21"/>
          <w:u w:val="single"/>
        </w:rPr>
        <w:t xml:space="preserve"> </w:t>
      </w:r>
      <w:r>
        <w:rPr>
          <w:rFonts w:hint="eastAsia"/>
          <w:color w:val="000000"/>
          <w:szCs w:val="21"/>
          <w:u w:color="000000"/>
        </w:rPr>
        <w:t xml:space="preserve">      </w:t>
      </w:r>
      <w:r>
        <w:rPr>
          <w:color w:val="000000"/>
          <w:szCs w:val="21"/>
          <w:u w:color="000000"/>
        </w:rPr>
        <w:t xml:space="preserve">        地址：</w:t>
      </w:r>
      <w:r>
        <w:rPr>
          <w:rFonts w:hint="eastAsia"/>
          <w:color w:val="000000"/>
          <w:szCs w:val="21"/>
          <w:u w:val="single" w:color="000000"/>
        </w:rPr>
        <w:t xml:space="preserve">                      </w:t>
      </w:r>
    </w:p>
    <w:p>
      <w:pPr>
        <w:snapToGrid w:val="0"/>
        <w:spacing w:before="119" w:line="360" w:lineRule="auto"/>
        <w:ind w:firstLine="405"/>
        <w:textAlignment w:val="baseline"/>
        <w:rPr>
          <w:color w:val="000000"/>
          <w:szCs w:val="21"/>
          <w:u w:color="000000"/>
        </w:rPr>
      </w:pPr>
      <w:r>
        <w:rPr>
          <w:color w:val="000000"/>
          <w:szCs w:val="21"/>
          <w:u w:color="000000"/>
        </w:rPr>
        <w:t xml:space="preserve"> </w:t>
      </w:r>
    </w:p>
    <w:p>
      <w:pPr>
        <w:snapToGrid w:val="0"/>
        <w:spacing w:before="119" w:line="272" w:lineRule="atLeast"/>
        <w:textAlignment w:val="baseline"/>
        <w:rPr>
          <w:color w:val="000000"/>
          <w:szCs w:val="21"/>
          <w:u w:color="000000"/>
        </w:rPr>
      </w:pPr>
    </w:p>
    <w:p>
      <w:pPr>
        <w:snapToGrid w:val="0"/>
        <w:spacing w:before="119" w:line="345" w:lineRule="auto"/>
        <w:jc w:val="center"/>
        <w:textAlignment w:val="baseline"/>
        <w:rPr>
          <w:b/>
          <w:color w:val="000000"/>
          <w:sz w:val="28"/>
          <w:szCs w:val="28"/>
          <w:u w:color="000000"/>
        </w:rPr>
      </w:pPr>
      <w:r>
        <w:rPr>
          <w:b/>
          <w:color w:val="000000"/>
          <w:sz w:val="36"/>
          <w:u w:color="000000"/>
        </w:rPr>
        <w:t xml:space="preserve"> </w:t>
      </w:r>
      <w:r>
        <w:rPr>
          <w:b/>
          <w:color w:val="000000"/>
          <w:sz w:val="28"/>
          <w:szCs w:val="28"/>
          <w:u w:color="000000"/>
        </w:rPr>
        <w:t xml:space="preserve">  </w:t>
      </w:r>
    </w:p>
    <w:p>
      <w:pPr>
        <w:snapToGrid w:val="0"/>
        <w:spacing w:before="119" w:line="345" w:lineRule="auto"/>
        <w:jc w:val="center"/>
        <w:textAlignment w:val="baseline"/>
        <w:rPr>
          <w:b/>
          <w:color w:val="000000"/>
          <w:sz w:val="28"/>
          <w:szCs w:val="28"/>
          <w:u w:color="000000"/>
        </w:rPr>
      </w:pPr>
      <w:r>
        <w:rPr>
          <w:b/>
          <w:color w:val="000000"/>
          <w:sz w:val="28"/>
          <w:szCs w:val="28"/>
          <w:u w:color="000000"/>
        </w:rPr>
        <w:br w:type="page"/>
      </w:r>
    </w:p>
    <w:p>
      <w:pPr>
        <w:pStyle w:val="4"/>
      </w:pPr>
      <w:r>
        <w:rPr>
          <w:rFonts w:hint="eastAsia"/>
        </w:rPr>
        <w:t>（二）</w:t>
      </w:r>
      <w:r>
        <w:t>合同一般条款</w:t>
      </w:r>
    </w:p>
    <w:p>
      <w:pPr>
        <w:widowControl/>
        <w:tabs>
          <w:tab w:val="left" w:pos="901"/>
        </w:tabs>
        <w:snapToGrid w:val="0"/>
        <w:spacing w:before="357" w:after="119" w:line="360" w:lineRule="auto"/>
        <w:textAlignment w:val="baseline"/>
        <w:outlineLvl w:val="2"/>
        <w:rPr>
          <w:b/>
          <w:color w:val="000000"/>
          <w:szCs w:val="21"/>
          <w:u w:val="single" w:color="000000"/>
        </w:rPr>
      </w:pPr>
      <w:bookmarkStart w:id="94" w:name="_Toc67412183"/>
      <w:bookmarkStart w:id="95" w:name="_Toc67403960"/>
      <w:bookmarkStart w:id="96" w:name="_Toc69112218"/>
      <w:r>
        <w:rPr>
          <w:b/>
          <w:color w:val="000000"/>
          <w:szCs w:val="21"/>
          <w:u w:color="000000"/>
        </w:rPr>
        <w:t>1       定义</w:t>
      </w:r>
      <w:bookmarkEnd w:id="94"/>
      <w:bookmarkEnd w:id="95"/>
      <w:bookmarkEnd w:id="96"/>
    </w:p>
    <w:p>
      <w:pPr>
        <w:tabs>
          <w:tab w:val="left" w:pos="901"/>
        </w:tabs>
        <w:snapToGrid w:val="0"/>
        <w:spacing w:line="360" w:lineRule="auto"/>
        <w:ind w:firstLine="840" w:firstLineChars="400"/>
        <w:textAlignment w:val="baseline"/>
        <w:rPr>
          <w:color w:val="000000"/>
          <w:szCs w:val="21"/>
          <w:u w:color="000000"/>
        </w:rPr>
      </w:pPr>
      <w:r>
        <w:rPr>
          <w:color w:val="000000"/>
          <w:szCs w:val="21"/>
          <w:u w:color="000000"/>
        </w:rPr>
        <w:t>本合同中的下列术语应解释为：</w:t>
      </w:r>
    </w:p>
    <w:p>
      <w:pPr>
        <w:snapToGrid w:val="0"/>
        <w:spacing w:line="360" w:lineRule="auto"/>
        <w:ind w:left="840" w:hanging="840" w:hangingChars="400"/>
        <w:textAlignment w:val="baseline"/>
        <w:rPr>
          <w:color w:val="000000"/>
          <w:szCs w:val="21"/>
          <w:u w:color="000000"/>
        </w:rPr>
      </w:pPr>
      <w:r>
        <w:rPr>
          <w:color w:val="000000"/>
          <w:szCs w:val="21"/>
          <w:u w:color="000000"/>
        </w:rPr>
        <w:t>1.1    “合同”系指买卖双方签署的、合同格式中载明的买卖双方所达成的协议， 包括所有的附件、附录和构成合同的其它文件。</w:t>
      </w:r>
    </w:p>
    <w:p>
      <w:pPr>
        <w:snapToGrid w:val="0"/>
        <w:spacing w:before="119" w:line="360" w:lineRule="auto"/>
        <w:ind w:left="958" w:hanging="952"/>
        <w:textAlignment w:val="baseline"/>
        <w:rPr>
          <w:color w:val="000000"/>
          <w:szCs w:val="21"/>
          <w:u w:color="000000"/>
        </w:rPr>
      </w:pPr>
      <w:r>
        <w:rPr>
          <w:color w:val="000000"/>
          <w:szCs w:val="21"/>
          <w:u w:color="000000"/>
        </w:rPr>
        <w:t>1.2    “合同价”系指根据合同约定，卖方在完全履行合同义务后买方应付给卖方的价格。</w:t>
      </w:r>
    </w:p>
    <w:p>
      <w:pPr>
        <w:snapToGrid w:val="0"/>
        <w:spacing w:before="119" w:line="360" w:lineRule="auto"/>
        <w:ind w:left="958" w:hanging="952"/>
        <w:textAlignment w:val="baseline"/>
        <w:rPr>
          <w:color w:val="000000"/>
          <w:szCs w:val="21"/>
          <w:u w:color="000000"/>
        </w:rPr>
      </w:pPr>
      <w:r>
        <w:rPr>
          <w:color w:val="000000"/>
          <w:szCs w:val="21"/>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pPr>
        <w:snapToGrid w:val="0"/>
        <w:spacing w:before="119" w:line="360" w:lineRule="auto"/>
        <w:textAlignment w:val="baseline"/>
        <w:rPr>
          <w:color w:val="000000"/>
          <w:szCs w:val="21"/>
          <w:u w:color="000000"/>
        </w:rPr>
      </w:pPr>
      <w:r>
        <w:rPr>
          <w:color w:val="000000"/>
          <w:szCs w:val="21"/>
          <w:u w:color="000000"/>
        </w:rPr>
        <w:t>1.5    “买方”系指与成交人签</w:t>
      </w:r>
      <w:r>
        <w:rPr>
          <w:rFonts w:hint="eastAsia"/>
          <w:color w:val="000000"/>
          <w:szCs w:val="21"/>
          <w:u w:color="000000"/>
        </w:rPr>
        <w:t>订</w:t>
      </w:r>
      <w:r>
        <w:rPr>
          <w:color w:val="000000"/>
          <w:szCs w:val="21"/>
          <w:u w:color="000000"/>
        </w:rPr>
        <w:t>供货合同的单位（含最终用户）。</w:t>
      </w:r>
    </w:p>
    <w:p>
      <w:pPr>
        <w:snapToGrid w:val="0"/>
        <w:spacing w:before="119" w:line="360" w:lineRule="auto"/>
        <w:ind w:left="958" w:hanging="952"/>
        <w:textAlignment w:val="baseline"/>
        <w:rPr>
          <w:color w:val="000000"/>
          <w:szCs w:val="21"/>
          <w:u w:color="000000"/>
        </w:rPr>
      </w:pPr>
      <w:r>
        <w:rPr>
          <w:color w:val="000000"/>
          <w:szCs w:val="21"/>
          <w:u w:color="000000"/>
        </w:rPr>
        <w:t>1.6    “卖方”系指根据合同约定提供货物及相关服务的成交人。</w:t>
      </w:r>
    </w:p>
    <w:p>
      <w:pPr>
        <w:tabs>
          <w:tab w:val="left" w:pos="901"/>
        </w:tabs>
        <w:snapToGrid w:val="0"/>
        <w:spacing w:before="119" w:line="360" w:lineRule="auto"/>
        <w:textAlignment w:val="baseline"/>
        <w:rPr>
          <w:color w:val="000000"/>
          <w:szCs w:val="21"/>
          <w:u w:color="000000"/>
        </w:rPr>
      </w:pPr>
      <w:r>
        <w:rPr>
          <w:color w:val="000000"/>
          <w:szCs w:val="21"/>
          <w:u w:color="000000"/>
        </w:rPr>
        <w:t>1.7    “现场”系指合同约定货物将要运至和安装的地点。</w:t>
      </w:r>
    </w:p>
    <w:p>
      <w:pPr>
        <w:snapToGrid w:val="0"/>
        <w:spacing w:before="119" w:line="360" w:lineRule="auto"/>
        <w:ind w:left="958" w:hanging="952"/>
        <w:textAlignment w:val="baseline"/>
        <w:rPr>
          <w:color w:val="000000"/>
          <w:szCs w:val="21"/>
          <w:u w:color="000000"/>
        </w:rPr>
      </w:pPr>
      <w:r>
        <w:rPr>
          <w:color w:val="000000"/>
          <w:szCs w:val="21"/>
          <w:u w:color="000000"/>
        </w:rPr>
        <w:t>1.8    “验收”系指合同双方依据强制性的国家技术质量规范和合同约定，确认合同项下的货物符合合同规定的活动。</w:t>
      </w:r>
    </w:p>
    <w:p>
      <w:pPr>
        <w:widowControl/>
        <w:snapToGrid w:val="0"/>
        <w:spacing w:before="357" w:after="119" w:line="360" w:lineRule="auto"/>
        <w:textAlignment w:val="baseline"/>
        <w:outlineLvl w:val="2"/>
        <w:rPr>
          <w:b/>
          <w:color w:val="000000"/>
          <w:szCs w:val="21"/>
          <w:u w:val="single" w:color="000000"/>
        </w:rPr>
      </w:pPr>
      <w:bookmarkStart w:id="97" w:name="_Toc67412184"/>
      <w:bookmarkStart w:id="98" w:name="_Toc67403961"/>
      <w:bookmarkStart w:id="99" w:name="_Toc69112219"/>
      <w:r>
        <w:rPr>
          <w:b/>
          <w:color w:val="000000"/>
          <w:szCs w:val="21"/>
          <w:u w:color="000000"/>
        </w:rPr>
        <w:t>2       技术规范</w:t>
      </w:r>
      <w:bookmarkEnd w:id="97"/>
      <w:bookmarkEnd w:id="98"/>
      <w:bookmarkEnd w:id="99"/>
    </w:p>
    <w:p>
      <w:pPr>
        <w:tabs>
          <w:tab w:val="left" w:pos="901"/>
        </w:tabs>
        <w:snapToGrid w:val="0"/>
        <w:spacing w:before="119" w:line="360" w:lineRule="auto"/>
        <w:ind w:left="719" w:hanging="714"/>
        <w:textAlignment w:val="baseline"/>
        <w:rPr>
          <w:color w:val="000000"/>
          <w:szCs w:val="21"/>
          <w:u w:color="000000"/>
        </w:rPr>
      </w:pPr>
      <w:r>
        <w:rPr>
          <w:color w:val="000000"/>
          <w:szCs w:val="21"/>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pPr>
        <w:widowControl/>
        <w:snapToGrid w:val="0"/>
        <w:spacing w:before="357" w:after="119" w:line="360" w:lineRule="auto"/>
        <w:textAlignment w:val="baseline"/>
        <w:outlineLvl w:val="2"/>
        <w:rPr>
          <w:b/>
          <w:color w:val="000000"/>
          <w:szCs w:val="21"/>
          <w:u w:val="single" w:color="000000"/>
        </w:rPr>
      </w:pPr>
      <w:bookmarkStart w:id="100" w:name="_Toc67412185"/>
      <w:bookmarkStart w:id="101" w:name="_Toc69112220"/>
      <w:bookmarkStart w:id="102" w:name="_Toc67403962"/>
      <w:r>
        <w:rPr>
          <w:b/>
          <w:color w:val="000000"/>
          <w:szCs w:val="21"/>
          <w:u w:color="000000"/>
        </w:rPr>
        <w:t>3       知识产权</w:t>
      </w:r>
      <w:bookmarkEnd w:id="100"/>
      <w:bookmarkEnd w:id="101"/>
      <w:bookmarkEnd w:id="102"/>
    </w:p>
    <w:p>
      <w:pPr>
        <w:snapToGrid w:val="0"/>
        <w:spacing w:before="119" w:line="360" w:lineRule="auto"/>
        <w:ind w:left="719" w:hanging="714"/>
        <w:textAlignment w:val="baseline"/>
        <w:rPr>
          <w:color w:val="000000"/>
          <w:szCs w:val="21"/>
          <w:u w:color="000000"/>
        </w:rPr>
      </w:pPr>
      <w:r>
        <w:rPr>
          <w:color w:val="000000"/>
          <w:szCs w:val="21"/>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pPr>
        <w:widowControl/>
        <w:snapToGrid w:val="0"/>
        <w:spacing w:before="357" w:after="119" w:line="360" w:lineRule="auto"/>
        <w:textAlignment w:val="baseline"/>
        <w:outlineLvl w:val="2"/>
        <w:rPr>
          <w:b/>
          <w:color w:val="000000"/>
          <w:szCs w:val="21"/>
          <w:u w:val="single" w:color="000000"/>
        </w:rPr>
      </w:pPr>
      <w:bookmarkStart w:id="103" w:name="_Toc67403963"/>
      <w:bookmarkStart w:id="104" w:name="_Toc67412186"/>
      <w:bookmarkStart w:id="105" w:name="_Toc69112221"/>
      <w:r>
        <w:rPr>
          <w:b/>
          <w:color w:val="000000"/>
          <w:szCs w:val="21"/>
          <w:u w:color="000000"/>
        </w:rPr>
        <w:t>4       包装要求</w:t>
      </w:r>
      <w:bookmarkEnd w:id="103"/>
      <w:bookmarkEnd w:id="104"/>
      <w:bookmarkEnd w:id="105"/>
    </w:p>
    <w:p>
      <w:pPr>
        <w:snapToGrid w:val="0"/>
        <w:spacing w:before="119" w:line="360" w:lineRule="auto"/>
        <w:ind w:left="719" w:hanging="714"/>
        <w:textAlignment w:val="baseline"/>
        <w:rPr>
          <w:color w:val="000000"/>
          <w:szCs w:val="21"/>
          <w:u w:color="000000"/>
        </w:rPr>
      </w:pPr>
      <w:r>
        <w:rPr>
          <w:color w:val="000000"/>
          <w:szCs w:val="21"/>
          <w:u w:color="000000"/>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napToGrid w:val="0"/>
        <w:spacing w:before="119" w:line="360" w:lineRule="auto"/>
        <w:textAlignment w:val="baseline"/>
        <w:rPr>
          <w:color w:val="000000"/>
          <w:szCs w:val="21"/>
          <w:u w:color="000000"/>
        </w:rPr>
      </w:pPr>
      <w:r>
        <w:rPr>
          <w:color w:val="000000"/>
          <w:szCs w:val="21"/>
          <w:u w:color="000000"/>
        </w:rPr>
        <w:t>4.2     每件包装箱内应附一份详细装箱单和质量合格证。</w:t>
      </w:r>
    </w:p>
    <w:p>
      <w:pPr>
        <w:widowControl/>
        <w:snapToGrid w:val="0"/>
        <w:spacing w:before="357" w:after="119" w:line="360" w:lineRule="auto"/>
        <w:textAlignment w:val="baseline"/>
        <w:outlineLvl w:val="2"/>
        <w:rPr>
          <w:b/>
          <w:color w:val="000000"/>
          <w:szCs w:val="21"/>
          <w:u w:val="single" w:color="000000"/>
        </w:rPr>
      </w:pPr>
      <w:bookmarkStart w:id="106" w:name="_Toc67403964"/>
      <w:bookmarkStart w:id="107" w:name="_Toc67412187"/>
      <w:bookmarkStart w:id="108" w:name="_Toc69112222"/>
      <w:r>
        <w:rPr>
          <w:b/>
          <w:color w:val="000000"/>
          <w:szCs w:val="21"/>
          <w:u w:color="000000"/>
        </w:rPr>
        <w:t>5       装运标志</w:t>
      </w:r>
      <w:bookmarkEnd w:id="106"/>
      <w:bookmarkEnd w:id="107"/>
      <w:bookmarkEnd w:id="108"/>
    </w:p>
    <w:p>
      <w:pPr>
        <w:snapToGrid w:val="0"/>
        <w:spacing w:before="119" w:line="360" w:lineRule="auto"/>
        <w:ind w:left="719" w:hanging="714"/>
        <w:textAlignment w:val="baseline"/>
        <w:rPr>
          <w:color w:val="000000"/>
          <w:szCs w:val="21"/>
          <w:u w:color="000000"/>
        </w:rPr>
      </w:pPr>
      <w:r>
        <w:rPr>
          <w:color w:val="000000"/>
          <w:szCs w:val="21"/>
          <w:u w:color="000000"/>
        </w:rPr>
        <w:t>5.1.    卖方应在每一包装箱的四侧用不褪色的油漆以醒目的中文字样做出下列标记：</w:t>
      </w:r>
    </w:p>
    <w:p>
      <w:pPr>
        <w:snapToGrid w:val="0"/>
        <w:spacing w:line="360" w:lineRule="auto"/>
        <w:textAlignment w:val="baseline"/>
        <w:rPr>
          <w:color w:val="000000"/>
          <w:szCs w:val="21"/>
          <w:u w:color="000000"/>
        </w:rPr>
      </w:pPr>
      <w:r>
        <w:rPr>
          <w:color w:val="000000"/>
          <w:szCs w:val="21"/>
          <w:u w:color="000000"/>
        </w:rPr>
        <w:t xml:space="preserve">    收货人：</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合同号：</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装运标志：</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收货人代号：</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目的地：</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货物名称、品目号和箱号：</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毛重／净重：</w:t>
      </w:r>
      <w:r>
        <w:rPr>
          <w:color w:val="000000"/>
          <w:szCs w:val="21"/>
          <w:u w:val="single" w:color="000000"/>
        </w:rPr>
        <w:t xml:space="preserve">                                       </w:t>
      </w:r>
    </w:p>
    <w:p>
      <w:pPr>
        <w:snapToGrid w:val="0"/>
        <w:spacing w:line="360" w:lineRule="auto"/>
        <w:textAlignment w:val="baseline"/>
        <w:rPr>
          <w:color w:val="000000"/>
          <w:szCs w:val="21"/>
          <w:u w:color="000000"/>
        </w:rPr>
      </w:pPr>
      <w:r>
        <w:rPr>
          <w:color w:val="000000"/>
          <w:szCs w:val="21"/>
          <w:u w:color="000000"/>
        </w:rPr>
        <w:t xml:space="preserve">    尺寸(长×宽×高以厘米计)：</w:t>
      </w:r>
      <w:r>
        <w:rPr>
          <w:color w:val="000000"/>
          <w:szCs w:val="21"/>
          <w:u w:val="single" w:color="000000"/>
        </w:rPr>
        <w:t xml:space="preserve">                        </w:t>
      </w:r>
    </w:p>
    <w:p>
      <w:pPr>
        <w:snapToGrid w:val="0"/>
        <w:spacing w:before="119" w:line="360" w:lineRule="auto"/>
        <w:ind w:left="719" w:hanging="714"/>
        <w:textAlignment w:val="baseline"/>
        <w:rPr>
          <w:color w:val="000000"/>
          <w:szCs w:val="21"/>
          <w:u w:color="000000"/>
        </w:rPr>
      </w:pPr>
      <w:r>
        <w:rPr>
          <w:color w:val="000000"/>
          <w:szCs w:val="21"/>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widowControl/>
        <w:snapToGrid w:val="0"/>
        <w:spacing w:before="357" w:after="119" w:line="360" w:lineRule="auto"/>
        <w:textAlignment w:val="baseline"/>
        <w:outlineLvl w:val="2"/>
        <w:rPr>
          <w:b/>
          <w:color w:val="000000"/>
          <w:szCs w:val="21"/>
          <w:u w:val="single" w:color="000000"/>
        </w:rPr>
      </w:pPr>
      <w:bookmarkStart w:id="109" w:name="_Toc67412188"/>
      <w:bookmarkStart w:id="110" w:name="_Toc67403965"/>
      <w:bookmarkStart w:id="111" w:name="_Toc69112223"/>
      <w:r>
        <w:rPr>
          <w:b/>
          <w:color w:val="000000"/>
          <w:szCs w:val="21"/>
          <w:u w:color="000000"/>
        </w:rPr>
        <w:t>6       交货方式</w:t>
      </w:r>
      <w:bookmarkEnd w:id="109"/>
      <w:bookmarkEnd w:id="110"/>
      <w:bookmarkEnd w:id="111"/>
    </w:p>
    <w:p>
      <w:pPr>
        <w:snapToGrid w:val="0"/>
        <w:spacing w:before="119" w:line="360" w:lineRule="auto"/>
        <w:textAlignment w:val="baseline"/>
        <w:rPr>
          <w:color w:val="000000"/>
          <w:szCs w:val="21"/>
          <w:u w:color="000000"/>
        </w:rPr>
      </w:pPr>
      <w:r>
        <w:rPr>
          <w:color w:val="000000"/>
          <w:szCs w:val="21"/>
          <w:u w:color="000000"/>
        </w:rPr>
        <w:t>6.1     交货方式一般为下列其中一种，具体在合同特殊条款中规定。</w:t>
      </w:r>
    </w:p>
    <w:p>
      <w:pPr>
        <w:snapToGrid w:val="0"/>
        <w:spacing w:before="119" w:line="360" w:lineRule="auto"/>
        <w:ind w:left="958" w:hanging="952"/>
        <w:textAlignment w:val="baseline"/>
        <w:rPr>
          <w:color w:val="000000"/>
          <w:szCs w:val="21"/>
          <w:u w:color="000000"/>
        </w:rPr>
      </w:pPr>
      <w:r>
        <w:rPr>
          <w:color w:val="000000"/>
          <w:szCs w:val="21"/>
          <w:u w:color="000000"/>
        </w:rPr>
        <w:t>6.1.1   现场交货：卖方负责办理运输和保险，将货物运抵现场。有关运输和保险的一切费用由卖方承担。</w:t>
      </w:r>
      <w:r>
        <w:rPr>
          <w:rFonts w:hint="eastAsia"/>
          <w:color w:val="000000"/>
          <w:szCs w:val="21"/>
          <w:u w:color="000000"/>
        </w:rPr>
        <w:t>卖方交由承运人运输的货物，货物在运输途中遭遇毁损、灭失的风险由卖方承担。</w:t>
      </w:r>
      <w:r>
        <w:rPr>
          <w:color w:val="000000"/>
          <w:szCs w:val="21"/>
          <w:u w:color="000000"/>
        </w:rPr>
        <w:t>所有货物运抵现场的日期为交货日期。</w:t>
      </w:r>
    </w:p>
    <w:p>
      <w:pPr>
        <w:snapToGrid w:val="0"/>
        <w:spacing w:before="119" w:line="360" w:lineRule="auto"/>
        <w:ind w:left="958" w:hanging="952"/>
        <w:textAlignment w:val="baseline"/>
        <w:rPr>
          <w:color w:val="000000"/>
          <w:szCs w:val="21"/>
          <w:u w:color="000000"/>
        </w:rPr>
      </w:pPr>
      <w:r>
        <w:rPr>
          <w:color w:val="000000"/>
          <w:szCs w:val="21"/>
          <w:u w:color="000000"/>
        </w:rPr>
        <w:t>6.1.2   工厂交货：由卖方负责代办运输和保险事宜。运输费和保险费由买方承担。运输部门出具收据的日期为交货日期。</w:t>
      </w:r>
    </w:p>
    <w:p>
      <w:pPr>
        <w:snapToGrid w:val="0"/>
        <w:spacing w:before="119" w:line="360" w:lineRule="auto"/>
        <w:ind w:left="958" w:hanging="952"/>
        <w:textAlignment w:val="baseline"/>
        <w:rPr>
          <w:color w:val="000000"/>
          <w:szCs w:val="21"/>
          <w:u w:color="000000"/>
        </w:rPr>
      </w:pPr>
      <w:r>
        <w:rPr>
          <w:color w:val="000000"/>
          <w:szCs w:val="21"/>
          <w:u w:color="000000"/>
        </w:rPr>
        <w:t>6.1.3   买方自提货物：由买方在合同规定地点自行办理提货。提单日期为交货日期。</w:t>
      </w:r>
    </w:p>
    <w:p>
      <w:pPr>
        <w:snapToGrid w:val="0"/>
        <w:spacing w:before="119" w:line="360" w:lineRule="auto"/>
        <w:ind w:left="901" w:hanging="895"/>
        <w:textAlignment w:val="baseline"/>
        <w:rPr>
          <w:color w:val="000000"/>
          <w:szCs w:val="21"/>
          <w:u w:color="000000"/>
        </w:rPr>
      </w:pPr>
      <w:r>
        <w:rPr>
          <w:color w:val="000000"/>
          <w:szCs w:val="21"/>
          <w:u w:color="000000"/>
        </w:rPr>
        <w:t>6.2     卖方应在合同规定的交货期</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719"/>
        </w:tabs>
        <w:snapToGrid w:val="0"/>
        <w:spacing w:before="119" w:line="360" w:lineRule="auto"/>
        <w:ind w:left="958" w:hanging="952"/>
        <w:textAlignment w:val="baseline"/>
        <w:rPr>
          <w:color w:val="000000"/>
          <w:szCs w:val="21"/>
          <w:u w:color="000000"/>
        </w:rPr>
      </w:pPr>
      <w:r>
        <w:rPr>
          <w:color w:val="000000"/>
          <w:szCs w:val="21"/>
          <w:u w:color="000000"/>
        </w:rPr>
        <w:t>6.3     在现场交货和工厂交货条件下，卖方装运的货物不应超过合同规定的数量或重量。否则，卖方应对超运部分引起的一切后果负责。</w:t>
      </w:r>
    </w:p>
    <w:p>
      <w:pPr>
        <w:widowControl/>
        <w:snapToGrid w:val="0"/>
        <w:spacing w:before="357" w:after="119" w:line="360" w:lineRule="auto"/>
        <w:textAlignment w:val="baseline"/>
        <w:outlineLvl w:val="2"/>
        <w:rPr>
          <w:b/>
          <w:color w:val="000000"/>
          <w:szCs w:val="21"/>
          <w:u w:val="single" w:color="000000"/>
        </w:rPr>
      </w:pPr>
      <w:bookmarkStart w:id="112" w:name="_Toc67403966"/>
      <w:bookmarkStart w:id="113" w:name="_Toc67412189"/>
      <w:bookmarkStart w:id="114" w:name="_Toc69112224"/>
      <w:r>
        <w:rPr>
          <w:b/>
          <w:color w:val="000000"/>
          <w:szCs w:val="21"/>
          <w:u w:color="000000"/>
        </w:rPr>
        <w:t>7       装运通知</w:t>
      </w:r>
      <w:bookmarkEnd w:id="112"/>
      <w:bookmarkEnd w:id="113"/>
      <w:bookmarkEnd w:id="114"/>
    </w:p>
    <w:p>
      <w:pPr>
        <w:snapToGrid w:val="0"/>
        <w:spacing w:before="119" w:line="360" w:lineRule="auto"/>
        <w:ind w:left="901" w:hanging="895"/>
        <w:textAlignment w:val="baseline"/>
        <w:rPr>
          <w:color w:val="000000"/>
          <w:szCs w:val="21"/>
          <w:u w:color="000000"/>
        </w:rPr>
      </w:pPr>
      <w:r>
        <w:rPr>
          <w:color w:val="000000"/>
          <w:szCs w:val="21"/>
          <w:u w:color="000000"/>
        </w:rPr>
        <w:t>7.1     在现场交货和工厂交货条件下的货物，卖方通知买方货物已备妥待运输后24小时之内，应将合同号、货名、 数量、毛重、总体积(立方米)、发票金额、运输工具名称及装运日期，以电报或传真通知买方。</w:t>
      </w:r>
    </w:p>
    <w:p>
      <w:pPr>
        <w:snapToGrid w:val="0"/>
        <w:spacing w:before="119" w:line="360" w:lineRule="auto"/>
        <w:ind w:left="958" w:hanging="952"/>
        <w:textAlignment w:val="baseline"/>
        <w:rPr>
          <w:color w:val="000000"/>
          <w:szCs w:val="21"/>
          <w:u w:color="000000"/>
        </w:rPr>
      </w:pPr>
      <w:r>
        <w:rPr>
          <w:color w:val="000000"/>
          <w:szCs w:val="21"/>
          <w:u w:color="000000"/>
        </w:rPr>
        <w:t>7.2     如因卖方延误将上述内容用电报或传真通知买方，由此引起的一切后果损失应由卖方负责。</w:t>
      </w:r>
    </w:p>
    <w:p>
      <w:pPr>
        <w:widowControl/>
        <w:snapToGrid w:val="0"/>
        <w:spacing w:before="357" w:after="119" w:line="360" w:lineRule="auto"/>
        <w:textAlignment w:val="baseline"/>
        <w:outlineLvl w:val="2"/>
        <w:rPr>
          <w:b/>
          <w:color w:val="000000"/>
          <w:szCs w:val="21"/>
          <w:u w:val="single" w:color="000000"/>
        </w:rPr>
      </w:pPr>
      <w:bookmarkStart w:id="115" w:name="_Toc67412190"/>
      <w:bookmarkStart w:id="116" w:name="_Toc69112225"/>
      <w:bookmarkStart w:id="117" w:name="_Toc67403967"/>
      <w:r>
        <w:rPr>
          <w:b/>
          <w:color w:val="000000"/>
          <w:szCs w:val="21"/>
          <w:u w:color="000000"/>
        </w:rPr>
        <w:t>8       保险</w:t>
      </w:r>
      <w:bookmarkEnd w:id="115"/>
      <w:bookmarkEnd w:id="116"/>
      <w:bookmarkEnd w:id="117"/>
    </w:p>
    <w:p>
      <w:pPr>
        <w:snapToGrid w:val="0"/>
        <w:spacing w:before="119" w:line="360" w:lineRule="auto"/>
        <w:ind w:left="958" w:hanging="952"/>
        <w:textAlignment w:val="baseline"/>
        <w:rPr>
          <w:color w:val="000000"/>
          <w:szCs w:val="21"/>
          <w:u w:color="000000"/>
        </w:rPr>
      </w:pPr>
      <w:r>
        <w:rPr>
          <w:color w:val="000000"/>
          <w:szCs w:val="21"/>
          <w:u w:color="000000"/>
        </w:rPr>
        <w:t>8.1     如果货物是按现场交货方式或工厂交货方式报价的，由卖方按照发票金额的110％办理“一切险”；如果货物是按买方自提货物方式报价的，其保险由买方办理。</w:t>
      </w:r>
    </w:p>
    <w:p>
      <w:pPr>
        <w:widowControl/>
        <w:snapToGrid w:val="0"/>
        <w:spacing w:before="357" w:after="119" w:line="360" w:lineRule="auto"/>
        <w:textAlignment w:val="baseline"/>
        <w:outlineLvl w:val="2"/>
        <w:rPr>
          <w:b/>
          <w:color w:val="000000"/>
          <w:szCs w:val="21"/>
          <w:u w:val="single" w:color="000000"/>
        </w:rPr>
      </w:pPr>
      <w:bookmarkStart w:id="118" w:name="_Toc67403968"/>
      <w:bookmarkStart w:id="119" w:name="_Toc67412191"/>
      <w:bookmarkStart w:id="120" w:name="_Toc69112226"/>
      <w:r>
        <w:rPr>
          <w:b/>
          <w:color w:val="000000"/>
          <w:szCs w:val="21"/>
          <w:u w:color="000000"/>
        </w:rPr>
        <w:t>9       付款条件</w:t>
      </w:r>
      <w:bookmarkEnd w:id="118"/>
      <w:bookmarkEnd w:id="119"/>
      <w:bookmarkEnd w:id="120"/>
    </w:p>
    <w:p>
      <w:pPr>
        <w:snapToGrid w:val="0"/>
        <w:spacing w:before="119" w:line="360" w:lineRule="auto"/>
        <w:textAlignment w:val="baseline"/>
        <w:rPr>
          <w:color w:val="000000"/>
          <w:szCs w:val="21"/>
          <w:u w:color="000000"/>
        </w:rPr>
      </w:pPr>
      <w:r>
        <w:rPr>
          <w:color w:val="000000"/>
          <w:szCs w:val="21"/>
          <w:u w:color="000000"/>
        </w:rPr>
        <w:t>9.1     付款条件见第二册第七章“合同特殊条款”。</w:t>
      </w:r>
    </w:p>
    <w:p>
      <w:pPr>
        <w:widowControl/>
        <w:snapToGrid w:val="0"/>
        <w:spacing w:before="357" w:after="119" w:line="360" w:lineRule="auto"/>
        <w:textAlignment w:val="baseline"/>
        <w:outlineLvl w:val="2"/>
        <w:rPr>
          <w:b/>
          <w:color w:val="000000"/>
          <w:szCs w:val="21"/>
          <w:u w:val="single" w:color="000000"/>
        </w:rPr>
      </w:pPr>
      <w:bookmarkStart w:id="121" w:name="_Toc69112227"/>
      <w:bookmarkStart w:id="122" w:name="_Toc67412192"/>
      <w:bookmarkStart w:id="123" w:name="_Toc67403969"/>
      <w:r>
        <w:rPr>
          <w:b/>
          <w:color w:val="000000"/>
          <w:szCs w:val="21"/>
          <w:u w:color="000000"/>
        </w:rPr>
        <w:t>10      技术资料</w:t>
      </w:r>
      <w:bookmarkEnd w:id="121"/>
      <w:bookmarkEnd w:id="122"/>
      <w:bookmarkEnd w:id="123"/>
    </w:p>
    <w:p>
      <w:pPr>
        <w:snapToGrid w:val="0"/>
        <w:spacing w:before="119" w:line="360" w:lineRule="auto"/>
        <w:textAlignment w:val="baseline"/>
        <w:rPr>
          <w:color w:val="000000"/>
          <w:szCs w:val="21"/>
          <w:u w:color="000000"/>
        </w:rPr>
      </w:pPr>
      <w:r>
        <w:rPr>
          <w:color w:val="000000"/>
          <w:szCs w:val="21"/>
          <w:u w:color="000000"/>
        </w:rPr>
        <w:t>10.1    合同项下技术资料(除合同特殊条款规定外)将以下列方式交付：</w:t>
      </w:r>
    </w:p>
    <w:p>
      <w:pPr>
        <w:snapToGrid w:val="0"/>
        <w:spacing w:before="119" w:line="360" w:lineRule="auto"/>
        <w:ind w:left="958"/>
        <w:textAlignment w:val="baseline"/>
        <w:rPr>
          <w:color w:val="000000"/>
          <w:szCs w:val="21"/>
          <w:u w:color="000000"/>
        </w:rPr>
      </w:pPr>
      <w:r>
        <w:rPr>
          <w:color w:val="000000"/>
          <w:szCs w:val="21"/>
          <w:u w:color="000000"/>
        </w:rPr>
        <w:t xml:space="preserve"> 合同生效后</w:t>
      </w:r>
      <w:r>
        <w:rPr>
          <w:color w:val="000000"/>
          <w:szCs w:val="21"/>
          <w:u w:val="single"/>
        </w:rPr>
        <w:t xml:space="preserve"> </w:t>
      </w:r>
      <w:r>
        <w:rPr>
          <w:rFonts w:hint="eastAsia"/>
          <w:color w:val="000000"/>
          <w:szCs w:val="21"/>
          <w:u w:val="single"/>
        </w:rPr>
        <w:t>30</w:t>
      </w:r>
      <w:r>
        <w:rPr>
          <w:color w:val="000000"/>
          <w:szCs w:val="21"/>
          <w:u w:val="single"/>
        </w:rPr>
        <w:t xml:space="preserve"> </w:t>
      </w:r>
      <w:r>
        <w:rPr>
          <w:color w:val="000000"/>
          <w:szCs w:val="21"/>
          <w:u w:color="000000"/>
        </w:rPr>
        <w:t>天之内，卖方应将每台设备和仪器的中文技术资料一套，如目录索引、图纸、操作手册、使用指南、维修指南和／或服务手册和示意图寄给买方。</w:t>
      </w:r>
    </w:p>
    <w:p>
      <w:pPr>
        <w:snapToGrid w:val="0"/>
        <w:spacing w:before="119" w:line="360" w:lineRule="auto"/>
        <w:textAlignment w:val="baseline"/>
        <w:rPr>
          <w:color w:val="000000"/>
          <w:szCs w:val="21"/>
          <w:u w:color="000000"/>
        </w:rPr>
      </w:pPr>
      <w:r>
        <w:rPr>
          <w:color w:val="000000"/>
          <w:szCs w:val="21"/>
          <w:u w:color="000000"/>
        </w:rPr>
        <w:t>10.2    另外一套完整的上述资料应包装好随同每批货物一起发运。</w:t>
      </w:r>
    </w:p>
    <w:p>
      <w:pPr>
        <w:snapToGrid w:val="0"/>
        <w:spacing w:before="119" w:line="360" w:lineRule="auto"/>
        <w:ind w:left="958" w:hanging="952"/>
        <w:textAlignment w:val="baseline"/>
        <w:rPr>
          <w:color w:val="000000"/>
          <w:szCs w:val="21"/>
          <w:u w:color="000000"/>
        </w:rPr>
      </w:pPr>
      <w:r>
        <w:rPr>
          <w:color w:val="000000"/>
          <w:szCs w:val="21"/>
          <w:u w:color="000000"/>
        </w:rPr>
        <w:t>10.3    如果买方确认卖方提供的技术资料不完整或在运输过程中丢失，卖方将在收到买方通知后</w:t>
      </w:r>
      <w:r>
        <w:rPr>
          <w:color w:val="000000"/>
          <w:szCs w:val="21"/>
          <w:u w:val="single"/>
        </w:rPr>
        <w:t xml:space="preserve"> </w:t>
      </w:r>
      <w:r>
        <w:rPr>
          <w:rFonts w:hint="eastAsia"/>
          <w:color w:val="000000"/>
          <w:szCs w:val="21"/>
          <w:u w:val="single"/>
        </w:rPr>
        <w:t>7</w:t>
      </w:r>
      <w:r>
        <w:rPr>
          <w:color w:val="000000"/>
          <w:szCs w:val="21"/>
          <w:u w:val="single"/>
        </w:rPr>
        <w:t xml:space="preserve"> </w:t>
      </w:r>
      <w:r>
        <w:rPr>
          <w:color w:val="000000"/>
          <w:szCs w:val="21"/>
          <w:u w:color="000000"/>
        </w:rPr>
        <w:t>天内将这些资料免费寄给买方。</w:t>
      </w:r>
    </w:p>
    <w:p>
      <w:pPr>
        <w:widowControl/>
        <w:snapToGrid w:val="0"/>
        <w:spacing w:before="357" w:after="119" w:line="360" w:lineRule="auto"/>
        <w:textAlignment w:val="baseline"/>
        <w:outlineLvl w:val="2"/>
        <w:rPr>
          <w:b/>
          <w:color w:val="000000"/>
          <w:szCs w:val="21"/>
          <w:u w:val="single" w:color="000000"/>
        </w:rPr>
      </w:pPr>
      <w:bookmarkStart w:id="124" w:name="_Toc67403970"/>
      <w:bookmarkStart w:id="125" w:name="_Toc67412193"/>
      <w:bookmarkStart w:id="126" w:name="_Toc69112228"/>
      <w:r>
        <w:rPr>
          <w:b/>
          <w:color w:val="000000"/>
          <w:szCs w:val="21"/>
          <w:u w:color="000000"/>
        </w:rPr>
        <w:t>11      质量保证</w:t>
      </w:r>
      <w:bookmarkEnd w:id="124"/>
      <w:bookmarkEnd w:id="125"/>
      <w:bookmarkEnd w:id="126"/>
    </w:p>
    <w:p>
      <w:pPr>
        <w:snapToGrid w:val="0"/>
        <w:spacing w:line="360" w:lineRule="auto"/>
        <w:ind w:left="958" w:hanging="952"/>
        <w:textAlignment w:val="baseline"/>
        <w:rPr>
          <w:color w:val="000000"/>
          <w:szCs w:val="21"/>
          <w:u w:color="000000"/>
        </w:rPr>
      </w:pPr>
      <w:r>
        <w:rPr>
          <w:color w:val="000000"/>
          <w:szCs w:val="21"/>
          <w:u w:color="000000"/>
        </w:rPr>
        <w:t>11.1    卖方须保证货物是全新、未使用过的，并完全符合强制性的国家技术质量规范和合同规定的质量、规格、性能和技术规范等的要求。</w:t>
      </w:r>
    </w:p>
    <w:p>
      <w:pPr>
        <w:snapToGrid w:val="0"/>
        <w:spacing w:line="360" w:lineRule="auto"/>
        <w:ind w:left="958" w:hanging="952"/>
        <w:textAlignment w:val="baseline"/>
        <w:rPr>
          <w:color w:val="000000"/>
          <w:szCs w:val="21"/>
          <w:u w:color="000000"/>
        </w:rPr>
      </w:pPr>
      <w:r>
        <w:rPr>
          <w:color w:val="000000"/>
          <w:szCs w:val="21"/>
          <w:u w:color="000000"/>
        </w:rPr>
        <w:t>11.2</w:t>
      </w:r>
      <w:r>
        <w:rPr>
          <w:rFonts w:hint="eastAsia"/>
          <w:color w:val="000000"/>
          <w:szCs w:val="21"/>
          <w:u w:color="000000"/>
        </w:rPr>
        <w:t xml:space="preserve">    </w:t>
      </w:r>
      <w:r>
        <w:rPr>
          <w:color w:val="000000"/>
          <w:szCs w:val="21"/>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napToGrid w:val="0"/>
        <w:spacing w:before="119" w:line="360" w:lineRule="auto"/>
        <w:ind w:left="958" w:hanging="952"/>
        <w:textAlignment w:val="baseline"/>
        <w:rPr>
          <w:color w:val="000000"/>
          <w:szCs w:val="21"/>
          <w:u w:color="000000"/>
        </w:rPr>
      </w:pPr>
      <w:r>
        <w:rPr>
          <w:color w:val="000000"/>
          <w:szCs w:val="21"/>
          <w:u w:color="000000"/>
        </w:rPr>
        <w:t>11.3    根据买方按检验标准自己检验结果或委托有资质的相关质检机构的检验结果，发现货物的数量、</w:t>
      </w:r>
      <w:r>
        <w:rPr>
          <w:rFonts w:hint="eastAsia"/>
          <w:color w:val="000000"/>
          <w:szCs w:val="21"/>
          <w:u w:color="000000"/>
        </w:rPr>
        <w:t>重量、</w:t>
      </w:r>
      <w:r>
        <w:rPr>
          <w:color w:val="000000"/>
          <w:szCs w:val="21"/>
          <w:u w:color="000000"/>
        </w:rPr>
        <w:t>质量、规格</w:t>
      </w:r>
      <w:r>
        <w:rPr>
          <w:rFonts w:hint="eastAsia"/>
          <w:color w:val="000000"/>
          <w:szCs w:val="21"/>
          <w:u w:color="000000"/>
        </w:rPr>
        <w:t>、型号、批次等</w:t>
      </w:r>
      <w:r>
        <w:rPr>
          <w:color w:val="000000"/>
          <w:szCs w:val="21"/>
          <w:u w:color="000000"/>
        </w:rPr>
        <w:t>与合同不符；或者在质量保证期内，证实货物存在缺陷，包括潜在的缺陷或使用不符合要求的材料等，买方应尽快以书面形式通知卖方。卖方在收到通知后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天内应</w:t>
      </w:r>
      <w:r>
        <w:rPr>
          <w:rFonts w:hint="eastAsia"/>
          <w:color w:val="000000"/>
          <w:szCs w:val="21"/>
          <w:u w:color="000000"/>
        </w:rPr>
        <w:t>负责为买方更换符合合同约定的货物；或者</w:t>
      </w:r>
      <w:r>
        <w:rPr>
          <w:color w:val="000000"/>
          <w:szCs w:val="21"/>
          <w:u w:color="000000"/>
        </w:rPr>
        <w:t>免费维修或更换有缺陷的货物或部件。</w:t>
      </w:r>
    </w:p>
    <w:p>
      <w:pPr>
        <w:snapToGrid w:val="0"/>
        <w:spacing w:before="119" w:line="360" w:lineRule="auto"/>
        <w:ind w:left="958" w:hanging="952"/>
        <w:textAlignment w:val="baseline"/>
        <w:rPr>
          <w:color w:val="000000"/>
          <w:szCs w:val="21"/>
          <w:u w:color="000000"/>
        </w:rPr>
      </w:pPr>
      <w:r>
        <w:rPr>
          <w:color w:val="000000"/>
          <w:szCs w:val="21"/>
          <w:u w:color="000000"/>
        </w:rPr>
        <w:t>11.4    如果卖方在收到通知后</w:t>
      </w:r>
      <w:r>
        <w:rPr>
          <w:color w:val="000000"/>
          <w:szCs w:val="21"/>
          <w:u w:val="single" w:color="FF0000"/>
        </w:rPr>
        <w:t xml:space="preserve"> </w:t>
      </w:r>
      <w:r>
        <w:rPr>
          <w:rFonts w:hint="eastAsia"/>
          <w:color w:val="000000"/>
          <w:szCs w:val="21"/>
          <w:u w:val="single" w:color="FF0000"/>
        </w:rPr>
        <w:t>3</w:t>
      </w:r>
      <w:r>
        <w:rPr>
          <w:color w:val="000000"/>
          <w:szCs w:val="21"/>
          <w:u w:val="single" w:color="FF0000"/>
        </w:rPr>
        <w:t xml:space="preserve"> </w:t>
      </w:r>
      <w:r>
        <w:rPr>
          <w:color w:val="000000"/>
          <w:szCs w:val="21"/>
          <w:u w:color="000000"/>
        </w:rPr>
        <w:t>天内没有</w:t>
      </w:r>
      <w:r>
        <w:rPr>
          <w:rFonts w:hint="eastAsia"/>
          <w:color w:val="000000"/>
          <w:szCs w:val="21"/>
          <w:u w:color="000000"/>
        </w:rPr>
        <w:t>重新供货或者</w:t>
      </w:r>
      <w:r>
        <w:rPr>
          <w:color w:val="000000"/>
          <w:szCs w:val="21"/>
          <w:u w:color="000000"/>
        </w:rPr>
        <w:t>弥补缺陷，买方可采取必要的补救措施，但由此引发的风险和费用将由卖方承担。</w:t>
      </w:r>
    </w:p>
    <w:p>
      <w:pPr>
        <w:snapToGrid w:val="0"/>
        <w:spacing w:before="119" w:line="360" w:lineRule="auto"/>
        <w:ind w:left="958" w:hanging="952"/>
        <w:textAlignment w:val="baseline"/>
        <w:rPr>
          <w:color w:val="000000"/>
          <w:szCs w:val="21"/>
          <w:u w:color="000000"/>
        </w:rPr>
      </w:pPr>
      <w:r>
        <w:rPr>
          <w:color w:val="000000"/>
          <w:szCs w:val="21"/>
          <w:u w:color="000000"/>
        </w:rPr>
        <w:t>11.5    除“合同特殊条款”规定外，合同项下货物的质量保证期为自货物通过最终验收起12个月。</w:t>
      </w:r>
    </w:p>
    <w:p>
      <w:pPr>
        <w:widowControl/>
        <w:snapToGrid w:val="0"/>
        <w:spacing w:before="357" w:after="119" w:line="360" w:lineRule="auto"/>
        <w:textAlignment w:val="baseline"/>
        <w:outlineLvl w:val="2"/>
        <w:rPr>
          <w:b/>
          <w:color w:val="000000"/>
          <w:szCs w:val="21"/>
          <w:u w:val="single" w:color="000000"/>
        </w:rPr>
      </w:pPr>
      <w:bookmarkStart w:id="127" w:name="_Toc67403971"/>
      <w:bookmarkStart w:id="128" w:name="_Toc69112229"/>
      <w:bookmarkStart w:id="129" w:name="_Toc67412194"/>
      <w:r>
        <w:rPr>
          <w:b/>
          <w:color w:val="000000"/>
          <w:szCs w:val="21"/>
          <w:u w:color="000000"/>
        </w:rPr>
        <w:t>12      检验和验收</w:t>
      </w:r>
      <w:bookmarkEnd w:id="127"/>
      <w:bookmarkEnd w:id="128"/>
      <w:bookmarkEnd w:id="129"/>
    </w:p>
    <w:p>
      <w:pPr>
        <w:snapToGrid w:val="0"/>
        <w:spacing w:before="119" w:line="360" w:lineRule="auto"/>
        <w:ind w:left="958" w:hanging="952"/>
        <w:textAlignment w:val="baseline"/>
        <w:rPr>
          <w:color w:val="000000"/>
          <w:szCs w:val="21"/>
          <w:u w:color="000000"/>
        </w:rPr>
      </w:pPr>
      <w:r>
        <w:rPr>
          <w:color w:val="000000"/>
          <w:szCs w:val="21"/>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pPr>
        <w:snapToGrid w:val="0"/>
        <w:spacing w:before="119" w:line="360" w:lineRule="auto"/>
        <w:ind w:left="958" w:hanging="952"/>
        <w:textAlignment w:val="baseline"/>
        <w:rPr>
          <w:color w:val="000000"/>
          <w:szCs w:val="21"/>
          <w:u w:color="000000"/>
        </w:rPr>
      </w:pPr>
      <w:r>
        <w:rPr>
          <w:color w:val="000000"/>
          <w:szCs w:val="21"/>
          <w:u w:color="000000"/>
        </w:rPr>
        <w:t>12.2    货物运抵现场后，买方应在</w:t>
      </w:r>
      <w:r>
        <w:rPr>
          <w:color w:val="000000"/>
          <w:szCs w:val="21"/>
          <w:u w:val="single" w:color="FF0000"/>
        </w:rPr>
        <w:t xml:space="preserve"> </w:t>
      </w:r>
      <w:r>
        <w:rPr>
          <w:rFonts w:hint="eastAsia"/>
          <w:color w:val="000000"/>
          <w:szCs w:val="21"/>
          <w:u w:val="single" w:color="FF0000"/>
        </w:rPr>
        <w:t>7</w:t>
      </w:r>
      <w:r>
        <w:rPr>
          <w:color w:val="000000"/>
          <w:szCs w:val="21"/>
          <w:u w:val="single" w:color="FF0000"/>
        </w:rPr>
        <w:t xml:space="preserve"> </w:t>
      </w:r>
      <w:r>
        <w:rPr>
          <w:color w:val="000000"/>
          <w:szCs w:val="21"/>
          <w:u w:color="000000"/>
        </w:rPr>
        <w:t>日内组织验收，并制作验收备忘录，签署验收意见。</w:t>
      </w:r>
    </w:p>
    <w:p>
      <w:pPr>
        <w:snapToGrid w:val="0"/>
        <w:spacing w:before="119" w:line="360" w:lineRule="auto"/>
        <w:ind w:left="958" w:hanging="952"/>
        <w:textAlignment w:val="baseline"/>
        <w:rPr>
          <w:color w:val="000000"/>
          <w:szCs w:val="21"/>
          <w:u w:color="000000"/>
        </w:rPr>
      </w:pPr>
      <w:r>
        <w:rPr>
          <w:color w:val="000000"/>
          <w:szCs w:val="21"/>
          <w:u w:color="000000"/>
        </w:rPr>
        <w:t>12.3    买方有在货物制造过程中派员监造的权利, 卖方有义务为买方监造人员行使该权利提供方便。</w:t>
      </w:r>
    </w:p>
    <w:p>
      <w:pPr>
        <w:snapToGrid w:val="0"/>
        <w:spacing w:before="119" w:line="360" w:lineRule="auto"/>
        <w:ind w:left="958" w:hanging="952"/>
        <w:textAlignment w:val="baseline"/>
        <w:rPr>
          <w:color w:val="000000"/>
          <w:szCs w:val="21"/>
          <w:u w:color="000000"/>
        </w:rPr>
      </w:pPr>
      <w:r>
        <w:rPr>
          <w:color w:val="000000"/>
          <w:szCs w:val="21"/>
          <w:u w:color="000000"/>
        </w:rPr>
        <w:t>12.4    制造厂对所供货物进行机械运转试验和性能试验时，成交人必须提前通知买方。</w:t>
      </w:r>
    </w:p>
    <w:p>
      <w:pPr>
        <w:widowControl/>
        <w:snapToGrid w:val="0"/>
        <w:spacing w:before="357" w:after="119" w:line="360" w:lineRule="auto"/>
        <w:textAlignment w:val="baseline"/>
        <w:outlineLvl w:val="2"/>
        <w:rPr>
          <w:b/>
          <w:color w:val="000000"/>
          <w:szCs w:val="21"/>
          <w:u w:val="single" w:color="000000"/>
        </w:rPr>
      </w:pPr>
      <w:bookmarkStart w:id="130" w:name="_Toc69112230"/>
      <w:bookmarkStart w:id="131" w:name="_Toc67403972"/>
      <w:bookmarkStart w:id="132" w:name="_Toc67412195"/>
      <w:r>
        <w:rPr>
          <w:b/>
          <w:color w:val="000000"/>
          <w:szCs w:val="21"/>
          <w:u w:color="000000"/>
        </w:rPr>
        <w:t>13      索赔</w:t>
      </w:r>
      <w:bookmarkEnd w:id="130"/>
      <w:bookmarkEnd w:id="131"/>
      <w:bookmarkEnd w:id="132"/>
    </w:p>
    <w:p>
      <w:pPr>
        <w:snapToGrid w:val="0"/>
        <w:spacing w:before="119" w:line="360" w:lineRule="auto"/>
        <w:ind w:left="901" w:hanging="895"/>
        <w:textAlignment w:val="baseline"/>
        <w:rPr>
          <w:color w:val="000000"/>
          <w:szCs w:val="21"/>
          <w:u w:color="000000"/>
        </w:rPr>
      </w:pPr>
      <w:r>
        <w:rPr>
          <w:color w:val="000000"/>
          <w:szCs w:val="21"/>
          <w:u w:color="000000"/>
        </w:rPr>
        <w:t>13.1    如果货物的质量、规格、数量、重量</w:t>
      </w:r>
      <w:r>
        <w:rPr>
          <w:rFonts w:hint="eastAsia"/>
          <w:color w:val="000000"/>
          <w:szCs w:val="21"/>
          <w:u w:color="000000"/>
        </w:rPr>
        <w:t>、规格、型号、性能</w:t>
      </w:r>
      <w:r>
        <w:rPr>
          <w:color w:val="000000"/>
          <w:szCs w:val="21"/>
          <w:u w:color="000000"/>
        </w:rPr>
        <w:t>等与合同不符，或在第11.5规定的质量保证期内证实货物存有缺陷，包括潜在的缺陷或使用不符合要求的材料等，买方有权向卖方提出索赔</w:t>
      </w:r>
      <w:r>
        <w:rPr>
          <w:rFonts w:hint="eastAsia"/>
          <w:color w:val="000000"/>
          <w:szCs w:val="21"/>
          <w:u w:color="000000"/>
        </w:rPr>
        <w:t>，卖方应当向买方承担违约责任，包括但不限于退货、更换货物、维修、减少价款、赔偿买方损失等违约责任。卖方不得以“</w:t>
      </w:r>
      <w:r>
        <w:rPr>
          <w:color w:val="000000"/>
          <w:szCs w:val="21"/>
          <w:u w:color="000000"/>
        </w:rPr>
        <w:t>责任应由保险公司或运输部门承担</w:t>
      </w:r>
      <w:r>
        <w:rPr>
          <w:rFonts w:hint="eastAsia"/>
          <w:color w:val="000000"/>
          <w:szCs w:val="21"/>
          <w:u w:color="000000"/>
        </w:rPr>
        <w:t>”作为抗辩理由</w:t>
      </w:r>
      <w:r>
        <w:rPr>
          <w:color w:val="000000"/>
          <w:szCs w:val="21"/>
          <w:u w:color="000000"/>
        </w:rPr>
        <w:t>。</w:t>
      </w:r>
      <w:r>
        <w:rPr>
          <w:rFonts w:hint="eastAsia"/>
          <w:color w:val="000000"/>
          <w:szCs w:val="21"/>
          <w:u w:color="000000"/>
        </w:rPr>
        <w:t>卖方向买方承担完毕违约责任之后，如果该损失属于保险理赔范围的或者运输部门对于造成该损失存在过错的，卖方有权向其追偿。</w:t>
      </w:r>
    </w:p>
    <w:p>
      <w:pPr>
        <w:snapToGrid w:val="0"/>
        <w:spacing w:before="119" w:line="360" w:lineRule="auto"/>
        <w:ind w:left="901" w:hanging="895"/>
        <w:textAlignment w:val="baseline"/>
        <w:rPr>
          <w:color w:val="000000"/>
          <w:szCs w:val="21"/>
          <w:u w:color="000000"/>
        </w:rPr>
      </w:pPr>
      <w:r>
        <w:rPr>
          <w:color w:val="000000"/>
          <w:szCs w:val="21"/>
          <w:u w:color="000000"/>
        </w:rPr>
        <w:t>13.2    在根据合同第</w:t>
      </w:r>
      <w:r>
        <w:rPr>
          <w:rFonts w:hint="eastAsia"/>
          <w:color w:val="000000"/>
          <w:szCs w:val="21"/>
          <w:u w:color="000000"/>
        </w:rPr>
        <w:t>12</w:t>
      </w:r>
      <w:r>
        <w:rPr>
          <w:color w:val="000000"/>
          <w:szCs w:val="21"/>
          <w:u w:color="000000"/>
        </w:rPr>
        <w:t>条和第</w:t>
      </w:r>
      <w:r>
        <w:rPr>
          <w:rFonts w:hint="eastAsia"/>
          <w:color w:val="000000"/>
          <w:szCs w:val="21"/>
          <w:u w:color="000000"/>
        </w:rPr>
        <w:t>11.5</w:t>
      </w:r>
      <w:r>
        <w:rPr>
          <w:color w:val="000000"/>
          <w:szCs w:val="21"/>
          <w:u w:color="000000"/>
        </w:rPr>
        <w:t>条规定的检验期和质量保证期内，如果卖方对买方提出的索赔负有责任，卖方应按照买方</w:t>
      </w:r>
      <w:r>
        <w:rPr>
          <w:rFonts w:hint="eastAsia"/>
          <w:color w:val="000000"/>
          <w:szCs w:val="21"/>
          <w:u w:color="000000"/>
        </w:rPr>
        <w:t>提出</w:t>
      </w:r>
      <w:r>
        <w:rPr>
          <w:color w:val="000000"/>
          <w:szCs w:val="21"/>
          <w:u w:color="000000"/>
        </w:rPr>
        <w:t>的下列一种或多种方式解决索赔事宜：</w:t>
      </w:r>
    </w:p>
    <w:p>
      <w:pPr>
        <w:snapToGrid w:val="0"/>
        <w:spacing w:before="119" w:line="360" w:lineRule="auto"/>
        <w:ind w:left="958" w:hanging="952"/>
        <w:textAlignment w:val="baseline"/>
        <w:rPr>
          <w:color w:val="000000"/>
          <w:szCs w:val="21"/>
          <w:u w:color="000000"/>
        </w:rPr>
      </w:pPr>
      <w:r>
        <w:rPr>
          <w:color w:val="000000"/>
          <w:szCs w:val="21"/>
          <w:u w:color="000000"/>
        </w:rPr>
        <w:t xml:space="preserve">13.2.1  </w:t>
      </w:r>
      <w:r>
        <w:rPr>
          <w:rFonts w:hint="eastAsia"/>
          <w:color w:val="000000"/>
          <w:szCs w:val="21"/>
          <w:u w:color="000000"/>
        </w:rPr>
        <w:t>如果该货物</w:t>
      </w:r>
      <w:r>
        <w:rPr>
          <w:color w:val="000000"/>
          <w:szCs w:val="21"/>
          <w:u w:color="000000"/>
        </w:rPr>
        <w:t>的质量、规格、数量、重量</w:t>
      </w:r>
      <w:r>
        <w:rPr>
          <w:rFonts w:hint="eastAsia"/>
          <w:color w:val="000000"/>
          <w:szCs w:val="21"/>
          <w:u w:color="000000"/>
        </w:rPr>
        <w:t>、规格、型号、性能</w:t>
      </w:r>
      <w:r>
        <w:rPr>
          <w:color w:val="000000"/>
          <w:szCs w:val="21"/>
          <w:u w:color="000000"/>
        </w:rPr>
        <w:t>等与合同不符</w:t>
      </w:r>
      <w:r>
        <w:rPr>
          <w:rFonts w:hint="eastAsia"/>
          <w:color w:val="000000"/>
          <w:szCs w:val="21"/>
          <w:u w:color="000000"/>
        </w:rPr>
        <w:t>，卖方又拒绝履行更换货物的义务，则买方有权拒收该货物或者退货，即买方有权单方解除本合同</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和费用，包括利息、银行手续费、运费、保险费、检验费、仓储费、装卸费以及为保护退回货物所需的其它必要费用。</w:t>
      </w:r>
    </w:p>
    <w:p>
      <w:pPr>
        <w:snapToGrid w:val="0"/>
        <w:spacing w:before="119" w:line="360" w:lineRule="auto"/>
        <w:ind w:left="958" w:hanging="952"/>
        <w:textAlignment w:val="baseline"/>
        <w:rPr>
          <w:color w:val="000000"/>
          <w:szCs w:val="21"/>
          <w:u w:color="000000"/>
        </w:rPr>
      </w:pPr>
      <w:r>
        <w:rPr>
          <w:color w:val="000000"/>
          <w:szCs w:val="21"/>
          <w:u w:color="000000"/>
        </w:rPr>
        <w:t>13.2.2  根据货物低劣程度、损坏程度以及买方所遭受损失的数额，经买卖双方商定降低货物的价格，或由有权的部门评估，以降低后的价格或评估价格为准。</w:t>
      </w:r>
    </w:p>
    <w:p>
      <w:pPr>
        <w:snapToGrid w:val="0"/>
        <w:spacing w:before="119" w:line="360" w:lineRule="auto"/>
        <w:ind w:left="958" w:hanging="952"/>
        <w:textAlignment w:val="baseline"/>
        <w:rPr>
          <w:color w:val="000000"/>
          <w:szCs w:val="21"/>
          <w:u w:color="000000"/>
        </w:rPr>
      </w:pPr>
      <w:r>
        <w:rPr>
          <w:color w:val="000000"/>
          <w:szCs w:val="21"/>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hint="eastAsia"/>
          <w:color w:val="000000"/>
          <w:szCs w:val="21"/>
          <w:u w:color="000000"/>
        </w:rPr>
        <w:t>该货物整体</w:t>
      </w:r>
      <w:r>
        <w:rPr>
          <w:color w:val="000000"/>
          <w:szCs w:val="21"/>
          <w:u w:color="000000"/>
        </w:rPr>
        <w:t>的质量保证期。</w:t>
      </w:r>
    </w:p>
    <w:p>
      <w:pPr>
        <w:snapToGrid w:val="0"/>
        <w:spacing w:before="119" w:line="360" w:lineRule="auto"/>
        <w:ind w:left="958" w:hanging="952"/>
        <w:textAlignment w:val="baseline"/>
        <w:rPr>
          <w:color w:val="000000"/>
          <w:szCs w:val="21"/>
          <w:u w:color="000000"/>
        </w:rPr>
      </w:pPr>
      <w:r>
        <w:rPr>
          <w:rFonts w:hint="eastAsia"/>
          <w:color w:val="000000"/>
          <w:szCs w:val="21"/>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color w:val="000000"/>
          <w:szCs w:val="21"/>
          <w:u w:color="000000"/>
        </w:rPr>
        <w:t>卖方应将</w:t>
      </w:r>
      <w:r>
        <w:rPr>
          <w:rFonts w:hint="eastAsia"/>
          <w:color w:val="000000"/>
          <w:szCs w:val="21"/>
          <w:u w:color="000000"/>
        </w:rPr>
        <w:t>全部</w:t>
      </w:r>
      <w:r>
        <w:rPr>
          <w:color w:val="000000"/>
          <w:szCs w:val="21"/>
          <w:u w:color="000000"/>
        </w:rPr>
        <w:t>货款退还给买方，并承担由此发生的一切损失</w:t>
      </w:r>
      <w:r>
        <w:rPr>
          <w:rFonts w:hint="eastAsia"/>
          <w:color w:val="000000"/>
          <w:szCs w:val="21"/>
          <w:u w:color="000000"/>
        </w:rPr>
        <w:t>（包括直接损失和和间接损失）</w:t>
      </w:r>
      <w:r>
        <w:rPr>
          <w:color w:val="000000"/>
          <w:szCs w:val="21"/>
          <w:u w:color="000000"/>
        </w:rPr>
        <w:t>和费用，包括利息、银行手续费、运费、保险费、检验费、仓储费、装卸费以及为保护退回货物所需的其它必要费用。</w:t>
      </w:r>
      <w:r>
        <w:rPr>
          <w:rFonts w:hint="eastAsia"/>
          <w:color w:val="000000"/>
          <w:szCs w:val="21"/>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pPr>
        <w:snapToGrid w:val="0"/>
        <w:spacing w:before="119" w:line="360" w:lineRule="auto"/>
        <w:ind w:left="958" w:hanging="952"/>
        <w:textAlignment w:val="baseline"/>
        <w:rPr>
          <w:color w:val="000000"/>
          <w:szCs w:val="21"/>
          <w:u w:color="000000"/>
        </w:rPr>
      </w:pPr>
      <w:r>
        <w:rPr>
          <w:color w:val="000000"/>
          <w:szCs w:val="21"/>
          <w:u w:color="000000"/>
        </w:rPr>
        <w:t>13.3    如果在买方发出索赔通知后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天内，卖方未作答复，上述索赔应视为已被卖方接受。如卖方未能在买方提出索赔通知后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widowControl/>
        <w:snapToGrid w:val="0"/>
        <w:spacing w:before="357" w:after="119" w:line="360" w:lineRule="auto"/>
        <w:textAlignment w:val="baseline"/>
        <w:outlineLvl w:val="2"/>
        <w:rPr>
          <w:b/>
          <w:color w:val="000000"/>
          <w:szCs w:val="21"/>
          <w:u w:val="single" w:color="000000"/>
        </w:rPr>
      </w:pPr>
      <w:bookmarkStart w:id="133" w:name="_Toc67412196"/>
      <w:bookmarkStart w:id="134" w:name="_Toc69112231"/>
      <w:bookmarkStart w:id="135" w:name="_Toc67403973"/>
      <w:r>
        <w:rPr>
          <w:b/>
          <w:color w:val="000000"/>
          <w:szCs w:val="21"/>
          <w:u w:color="000000"/>
        </w:rPr>
        <w:t>14      迟延交货</w:t>
      </w:r>
      <w:bookmarkEnd w:id="133"/>
      <w:bookmarkEnd w:id="134"/>
      <w:bookmarkEnd w:id="135"/>
    </w:p>
    <w:p>
      <w:pPr>
        <w:snapToGrid w:val="0"/>
        <w:spacing w:before="119" w:line="360" w:lineRule="auto"/>
        <w:ind w:left="901" w:hanging="952"/>
        <w:textAlignment w:val="baseline"/>
        <w:rPr>
          <w:color w:val="000000"/>
          <w:szCs w:val="21"/>
          <w:u w:color="000000"/>
        </w:rPr>
      </w:pPr>
      <w:r>
        <w:rPr>
          <w:color w:val="000000"/>
          <w:szCs w:val="21"/>
          <w:u w:color="000000"/>
        </w:rPr>
        <w:t>14.1    卖方应按照“货物需求一览表及技术规格”中买方规定的时间表交货和提供服务。</w:t>
      </w:r>
    </w:p>
    <w:p>
      <w:pPr>
        <w:snapToGrid w:val="0"/>
        <w:spacing w:before="119" w:line="360" w:lineRule="auto"/>
        <w:ind w:left="958" w:hanging="952"/>
        <w:textAlignment w:val="baseline"/>
        <w:rPr>
          <w:color w:val="000000"/>
          <w:szCs w:val="21"/>
          <w:u w:color="000000"/>
        </w:rPr>
      </w:pPr>
      <w:r>
        <w:rPr>
          <w:color w:val="000000"/>
          <w:szCs w:val="21"/>
          <w:u w:color="000000"/>
        </w:rPr>
        <w:t>14.2    如果卖方无正当理由迟延交货，买方有权提出违约损失赔偿</w:t>
      </w:r>
      <w:r>
        <w:rPr>
          <w:rFonts w:hint="eastAsia"/>
          <w:color w:val="000000"/>
          <w:szCs w:val="21"/>
          <w:u w:color="000000"/>
        </w:rPr>
        <w:t>并有权要求</w:t>
      </w:r>
      <w:r>
        <w:rPr>
          <w:color w:val="000000"/>
          <w:szCs w:val="21"/>
          <w:u w:color="000000"/>
        </w:rPr>
        <w:t>解除合同。</w:t>
      </w:r>
    </w:p>
    <w:p>
      <w:pPr>
        <w:snapToGrid w:val="0"/>
        <w:spacing w:before="119" w:line="360" w:lineRule="auto"/>
        <w:ind w:left="958" w:hanging="952"/>
        <w:textAlignment w:val="baseline"/>
        <w:rPr>
          <w:color w:val="000000"/>
          <w:szCs w:val="21"/>
          <w:u w:color="000000"/>
        </w:rPr>
      </w:pPr>
      <w:r>
        <w:rPr>
          <w:color w:val="000000"/>
          <w:szCs w:val="21"/>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pPr>
        <w:widowControl/>
        <w:snapToGrid w:val="0"/>
        <w:spacing w:before="357" w:after="119" w:line="360" w:lineRule="auto"/>
        <w:textAlignment w:val="baseline"/>
        <w:outlineLvl w:val="2"/>
        <w:rPr>
          <w:b/>
          <w:color w:val="000000"/>
          <w:szCs w:val="21"/>
          <w:u w:val="single" w:color="000000"/>
        </w:rPr>
      </w:pPr>
      <w:bookmarkStart w:id="136" w:name="_Toc69112232"/>
      <w:bookmarkStart w:id="137" w:name="_Toc67412197"/>
      <w:bookmarkStart w:id="138" w:name="_Toc67403974"/>
      <w:r>
        <w:rPr>
          <w:b/>
          <w:color w:val="000000"/>
          <w:szCs w:val="21"/>
          <w:u w:color="000000"/>
        </w:rPr>
        <w:t>15      违约赔偿</w:t>
      </w:r>
      <w:bookmarkEnd w:id="136"/>
      <w:bookmarkEnd w:id="137"/>
      <w:bookmarkEnd w:id="138"/>
    </w:p>
    <w:p>
      <w:pPr>
        <w:snapToGrid w:val="0"/>
        <w:spacing w:before="119" w:line="360" w:lineRule="auto"/>
        <w:ind w:left="958" w:hanging="952"/>
        <w:textAlignment w:val="baseline"/>
        <w:rPr>
          <w:color w:val="000000"/>
          <w:szCs w:val="21"/>
          <w:u w:color="000000"/>
        </w:rPr>
      </w:pPr>
      <w:r>
        <w:rPr>
          <w:color w:val="000000"/>
          <w:szCs w:val="21"/>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widowControl/>
        <w:snapToGrid w:val="0"/>
        <w:spacing w:before="357" w:after="119" w:line="360" w:lineRule="auto"/>
        <w:textAlignment w:val="baseline"/>
        <w:outlineLvl w:val="2"/>
        <w:rPr>
          <w:b/>
          <w:color w:val="000000"/>
          <w:szCs w:val="21"/>
          <w:u w:val="single" w:color="000000"/>
        </w:rPr>
      </w:pPr>
      <w:bookmarkStart w:id="139" w:name="_Toc69112233"/>
      <w:bookmarkStart w:id="140" w:name="_Toc67412198"/>
      <w:bookmarkStart w:id="141" w:name="_Toc67403975"/>
      <w:r>
        <w:rPr>
          <w:b/>
          <w:color w:val="000000"/>
          <w:szCs w:val="21"/>
          <w:u w:color="000000"/>
        </w:rPr>
        <w:t>16      不可抗力</w:t>
      </w:r>
      <w:bookmarkEnd w:id="139"/>
      <w:bookmarkEnd w:id="140"/>
      <w:bookmarkEnd w:id="141"/>
    </w:p>
    <w:p>
      <w:pPr>
        <w:snapToGrid w:val="0"/>
        <w:spacing w:before="119" w:line="360" w:lineRule="auto"/>
        <w:ind w:left="958" w:hanging="952"/>
        <w:textAlignment w:val="baseline"/>
        <w:rPr>
          <w:color w:val="000000"/>
          <w:szCs w:val="21"/>
          <w:u w:color="000000"/>
        </w:rPr>
      </w:pPr>
      <w:r>
        <w:rPr>
          <w:color w:val="000000"/>
          <w:szCs w:val="21"/>
          <w:u w:color="000000"/>
        </w:rPr>
        <w:t>16.1    如果双方中任何一方遭遇法律规定的不可抗力，致使合同履行受阻时，履行合同的期限应予延长，延长的期限应相当于不可抗力所影响的时间。</w:t>
      </w:r>
    </w:p>
    <w:p>
      <w:pPr>
        <w:snapToGrid w:val="0"/>
        <w:spacing w:before="119" w:line="360" w:lineRule="auto"/>
        <w:ind w:left="958" w:hanging="952"/>
        <w:textAlignment w:val="baseline"/>
        <w:rPr>
          <w:color w:val="000000"/>
          <w:szCs w:val="21"/>
          <w:u w:color="000000"/>
        </w:rPr>
      </w:pPr>
      <w:r>
        <w:rPr>
          <w:color w:val="000000"/>
          <w:szCs w:val="21"/>
          <w:u w:color="000000"/>
        </w:rPr>
        <w:t>16.2    受事故影响的一方应在不可抗力的事故发生后尽快书面形式通知另一方，并在事故发生后</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天内，将有关部门出具的证明文件送达另一方。</w:t>
      </w:r>
    </w:p>
    <w:p>
      <w:pPr>
        <w:snapToGrid w:val="0"/>
        <w:spacing w:before="119" w:line="360" w:lineRule="auto"/>
        <w:ind w:left="958" w:hanging="952"/>
        <w:textAlignment w:val="baseline"/>
        <w:rPr>
          <w:color w:val="000000"/>
          <w:szCs w:val="21"/>
          <w:u w:color="000000"/>
        </w:rPr>
      </w:pPr>
      <w:r>
        <w:rPr>
          <w:color w:val="000000"/>
          <w:szCs w:val="21"/>
          <w:u w:color="000000"/>
        </w:rPr>
        <w:t>16.3</w:t>
      </w:r>
      <w:r>
        <w:rPr>
          <w:rFonts w:hint="eastAsia"/>
          <w:color w:val="000000"/>
          <w:szCs w:val="21"/>
          <w:u w:color="000000"/>
        </w:rPr>
        <w:t xml:space="preserve">   </w:t>
      </w:r>
      <w:r>
        <w:rPr>
          <w:color w:val="000000"/>
          <w:szCs w:val="21"/>
          <w:u w:color="000000"/>
        </w:rPr>
        <w:t>不可抗力使合同的某些内容有变更必要的， 双方应通过协商在</w:t>
      </w:r>
      <w:r>
        <w:rPr>
          <w:color w:val="000000"/>
          <w:szCs w:val="21"/>
          <w:u w:val="single" w:color="FF0000"/>
        </w:rPr>
        <w:t xml:space="preserve"> </w:t>
      </w:r>
      <w:r>
        <w:rPr>
          <w:rFonts w:hint="eastAsia"/>
          <w:color w:val="000000"/>
          <w:szCs w:val="21"/>
          <w:u w:val="single" w:color="FF0000"/>
        </w:rPr>
        <w:t>15</w:t>
      </w:r>
      <w:r>
        <w:rPr>
          <w:color w:val="000000"/>
          <w:szCs w:val="21"/>
          <w:u w:val="single" w:color="FF0000"/>
        </w:rPr>
        <w:t xml:space="preserve">  </w:t>
      </w:r>
      <w:r>
        <w:rPr>
          <w:color w:val="000000"/>
          <w:szCs w:val="21"/>
          <w:u w:color="000000"/>
        </w:rPr>
        <w:t>日内达成进一步履行合同的协议，因不可抗力致使合同不能履行的，合同终止。</w:t>
      </w:r>
    </w:p>
    <w:p>
      <w:pPr>
        <w:widowControl/>
        <w:snapToGrid w:val="0"/>
        <w:spacing w:before="357" w:after="119" w:line="360" w:lineRule="auto"/>
        <w:textAlignment w:val="baseline"/>
        <w:outlineLvl w:val="2"/>
        <w:rPr>
          <w:b/>
          <w:color w:val="000000"/>
          <w:szCs w:val="21"/>
          <w:u w:val="single" w:color="000000"/>
        </w:rPr>
      </w:pPr>
      <w:bookmarkStart w:id="142" w:name="_Toc69112234"/>
      <w:bookmarkStart w:id="143" w:name="_Toc67412199"/>
      <w:bookmarkStart w:id="144" w:name="_Toc67403976"/>
      <w:r>
        <w:rPr>
          <w:b/>
          <w:color w:val="000000"/>
          <w:szCs w:val="21"/>
          <w:u w:color="000000"/>
        </w:rPr>
        <w:t>17      税费</w:t>
      </w:r>
      <w:bookmarkEnd w:id="142"/>
      <w:bookmarkEnd w:id="143"/>
      <w:bookmarkEnd w:id="144"/>
    </w:p>
    <w:p>
      <w:pPr>
        <w:snapToGrid w:val="0"/>
        <w:spacing w:before="119" w:line="360" w:lineRule="auto"/>
        <w:ind w:left="958" w:hanging="952"/>
        <w:textAlignment w:val="baseline"/>
        <w:rPr>
          <w:color w:val="000000"/>
          <w:szCs w:val="21"/>
          <w:u w:color="000000"/>
        </w:rPr>
      </w:pPr>
      <w:r>
        <w:rPr>
          <w:color w:val="000000"/>
          <w:szCs w:val="21"/>
          <w:u w:color="000000"/>
        </w:rPr>
        <w:t>17.1    与本合同有关的一切税费均适用中华人民共和国法律的相关规定。</w:t>
      </w:r>
    </w:p>
    <w:p>
      <w:pPr>
        <w:widowControl/>
        <w:snapToGrid w:val="0"/>
        <w:spacing w:before="357" w:after="119" w:line="360" w:lineRule="auto"/>
        <w:textAlignment w:val="baseline"/>
        <w:outlineLvl w:val="2"/>
        <w:rPr>
          <w:b/>
          <w:color w:val="000000"/>
          <w:szCs w:val="21"/>
          <w:u w:val="single" w:color="000000"/>
        </w:rPr>
      </w:pPr>
      <w:bookmarkStart w:id="145" w:name="_Toc67403977"/>
      <w:bookmarkStart w:id="146" w:name="_Toc67412200"/>
      <w:bookmarkStart w:id="147" w:name="_Toc69112235"/>
      <w:r>
        <w:rPr>
          <w:b/>
          <w:color w:val="000000"/>
          <w:szCs w:val="21"/>
          <w:u w:color="000000"/>
        </w:rPr>
        <w:t>18      合同争议的解决</w:t>
      </w:r>
      <w:bookmarkEnd w:id="145"/>
      <w:bookmarkEnd w:id="146"/>
      <w:bookmarkEnd w:id="147"/>
    </w:p>
    <w:p>
      <w:pPr>
        <w:snapToGrid w:val="0"/>
        <w:spacing w:before="119" w:line="360" w:lineRule="auto"/>
        <w:ind w:left="958" w:hanging="952"/>
        <w:textAlignment w:val="baseline"/>
        <w:rPr>
          <w:color w:val="000000"/>
          <w:szCs w:val="21"/>
          <w:u w:color="000000"/>
        </w:rPr>
      </w:pPr>
      <w:r>
        <w:rPr>
          <w:color w:val="000000"/>
          <w:szCs w:val="21"/>
          <w:u w:color="000000"/>
        </w:rPr>
        <w:t>18.1    因合同履行中发生的争议，可通过合同当事人双方友好协商解决。</w:t>
      </w:r>
      <w:r>
        <w:rPr>
          <w:rFonts w:hint="eastAsia"/>
          <w:color w:val="000000"/>
          <w:szCs w:val="21"/>
          <w:u w:color="000000"/>
        </w:rPr>
        <w:t>协商不成的，任何一方均可</w:t>
      </w:r>
      <w:r>
        <w:rPr>
          <w:color w:val="000000"/>
          <w:szCs w:val="21"/>
          <w:u w:color="000000"/>
        </w:rPr>
        <w:t>向</w:t>
      </w:r>
      <w:r>
        <w:rPr>
          <w:rFonts w:hint="eastAsia"/>
          <w:color w:val="000000"/>
          <w:szCs w:val="21"/>
          <w:u w:color="000000"/>
        </w:rPr>
        <w:t>合同签订地</w:t>
      </w:r>
      <w:r>
        <w:rPr>
          <w:color w:val="000000"/>
          <w:szCs w:val="21"/>
          <w:u w:color="000000"/>
        </w:rPr>
        <w:t>人民法院</w:t>
      </w:r>
      <w:r>
        <w:rPr>
          <w:rFonts w:hint="eastAsia"/>
          <w:color w:val="000000"/>
          <w:szCs w:val="21"/>
          <w:u w:color="000000"/>
        </w:rPr>
        <w:t>（北京市海淀区人民法院）</w:t>
      </w:r>
      <w:r>
        <w:rPr>
          <w:color w:val="000000"/>
          <w:szCs w:val="21"/>
          <w:u w:color="000000"/>
        </w:rPr>
        <w:t>提起诉讼。</w:t>
      </w:r>
    </w:p>
    <w:p>
      <w:pPr>
        <w:widowControl/>
        <w:snapToGrid w:val="0"/>
        <w:spacing w:before="357" w:after="119" w:line="360" w:lineRule="auto"/>
        <w:textAlignment w:val="baseline"/>
        <w:outlineLvl w:val="2"/>
        <w:rPr>
          <w:b/>
          <w:color w:val="000000"/>
          <w:szCs w:val="21"/>
          <w:u w:val="single" w:color="000000"/>
        </w:rPr>
      </w:pPr>
      <w:bookmarkStart w:id="148" w:name="_Toc67412201"/>
      <w:bookmarkStart w:id="149" w:name="_Toc67403978"/>
      <w:bookmarkStart w:id="150" w:name="_Toc69112236"/>
      <w:r>
        <w:rPr>
          <w:b/>
          <w:color w:val="000000"/>
          <w:szCs w:val="21"/>
          <w:u w:color="000000"/>
        </w:rPr>
        <w:t>19      违约解除合同</w:t>
      </w:r>
      <w:bookmarkEnd w:id="148"/>
      <w:bookmarkEnd w:id="149"/>
      <w:bookmarkEnd w:id="150"/>
    </w:p>
    <w:p>
      <w:pPr>
        <w:snapToGrid w:val="0"/>
        <w:spacing w:before="119" w:line="360" w:lineRule="auto"/>
        <w:ind w:left="958" w:hanging="952"/>
        <w:textAlignment w:val="baseline"/>
        <w:rPr>
          <w:color w:val="000000"/>
          <w:szCs w:val="21"/>
          <w:u w:color="000000"/>
        </w:rPr>
      </w:pPr>
      <w:r>
        <w:rPr>
          <w:color w:val="000000"/>
          <w:szCs w:val="21"/>
          <w:u w:color="000000"/>
        </w:rPr>
        <w:t>19.1    在卖方违约的情况下，买方可向卖方发出书面通知，部分或全部</w:t>
      </w:r>
      <w:r>
        <w:rPr>
          <w:rFonts w:hint="eastAsia"/>
          <w:color w:val="000000"/>
          <w:szCs w:val="21"/>
          <w:u w:color="000000"/>
        </w:rPr>
        <w:t>解除</w:t>
      </w:r>
      <w:r>
        <w:rPr>
          <w:color w:val="000000"/>
          <w:szCs w:val="21"/>
          <w:u w:color="000000"/>
        </w:rPr>
        <w:t>合同。同时保留向卖方追诉的权利。</w:t>
      </w:r>
    </w:p>
    <w:p>
      <w:pPr>
        <w:snapToGrid w:val="0"/>
        <w:spacing w:before="119" w:line="360" w:lineRule="auto"/>
        <w:ind w:left="958" w:hanging="952"/>
        <w:textAlignment w:val="baseline"/>
        <w:rPr>
          <w:color w:val="000000"/>
          <w:szCs w:val="21"/>
          <w:u w:color="000000"/>
        </w:rPr>
      </w:pPr>
      <w:r>
        <w:rPr>
          <w:color w:val="000000"/>
          <w:szCs w:val="21"/>
          <w:u w:color="000000"/>
        </w:rPr>
        <w:t xml:space="preserve">19.1.1  卖方未能在合同规定的限期或买方同意延长的限期内，提供全部或部分货物的； </w:t>
      </w:r>
    </w:p>
    <w:p>
      <w:pPr>
        <w:snapToGrid w:val="0"/>
        <w:spacing w:before="119" w:line="360" w:lineRule="auto"/>
        <w:textAlignment w:val="baseline"/>
        <w:rPr>
          <w:color w:val="000000"/>
          <w:szCs w:val="21"/>
          <w:u w:color="000000"/>
        </w:rPr>
      </w:pPr>
      <w:r>
        <w:rPr>
          <w:color w:val="000000"/>
          <w:szCs w:val="21"/>
          <w:u w:color="000000"/>
        </w:rPr>
        <w:t>19.1.2  卖方未能履行合同规定的其它主要义务的；</w:t>
      </w:r>
    </w:p>
    <w:p>
      <w:pPr>
        <w:snapToGrid w:val="0"/>
        <w:spacing w:before="119" w:line="360" w:lineRule="auto"/>
        <w:textAlignment w:val="baseline"/>
        <w:rPr>
          <w:color w:val="000000"/>
          <w:szCs w:val="21"/>
          <w:u w:color="000000"/>
        </w:rPr>
      </w:pPr>
      <w:r>
        <w:rPr>
          <w:color w:val="000000"/>
          <w:szCs w:val="21"/>
          <w:u w:color="000000"/>
        </w:rPr>
        <w:t>19.1.3  买方认为卖方在本合同履行过程中有腐败和欺诈行为的。</w:t>
      </w:r>
    </w:p>
    <w:p>
      <w:pPr>
        <w:snapToGrid w:val="0"/>
        <w:spacing w:before="119" w:line="360" w:lineRule="auto"/>
        <w:textAlignment w:val="baseline"/>
        <w:rPr>
          <w:color w:val="000000"/>
          <w:szCs w:val="21"/>
          <w:u w:color="000000"/>
        </w:rPr>
      </w:pPr>
      <w:r>
        <w:rPr>
          <w:color w:val="000000"/>
          <w:szCs w:val="21"/>
          <w:u w:color="000000"/>
        </w:rPr>
        <w:t>19.1.3.1     “腐败行为”和“欺诈行为”定义如下:</w:t>
      </w:r>
    </w:p>
    <w:p>
      <w:pPr>
        <w:snapToGrid w:val="0"/>
        <w:spacing w:before="119" w:line="360" w:lineRule="auto"/>
        <w:ind w:left="1439" w:hanging="1434"/>
        <w:textAlignment w:val="baseline"/>
        <w:rPr>
          <w:color w:val="000000"/>
          <w:szCs w:val="21"/>
          <w:u w:color="000000"/>
        </w:rPr>
      </w:pPr>
      <w:r>
        <w:rPr>
          <w:color w:val="000000"/>
          <w:szCs w:val="21"/>
          <w:u w:color="000000"/>
        </w:rPr>
        <w:t>19.1.3.1.1   “腐败行为”是指提供/给予/接受或索取任何有价值的东西来影响买方在合同签订、履行过程中的行为。</w:t>
      </w:r>
    </w:p>
    <w:p>
      <w:pPr>
        <w:snapToGrid w:val="0"/>
        <w:spacing w:before="119" w:line="360" w:lineRule="auto"/>
        <w:ind w:left="1439" w:hanging="1434"/>
        <w:textAlignment w:val="baseline"/>
        <w:rPr>
          <w:color w:val="000000"/>
          <w:szCs w:val="21"/>
          <w:u w:color="000000"/>
        </w:rPr>
      </w:pPr>
      <w:r>
        <w:rPr>
          <w:color w:val="000000"/>
          <w:szCs w:val="21"/>
          <w:u w:color="000000"/>
        </w:rPr>
        <w:t>19.1.3.1.2   “欺诈行为”是指为了影响合同签订、履行过程，以谎报事实的方法， 损害买方的利益的行为。</w:t>
      </w:r>
    </w:p>
    <w:p>
      <w:pPr>
        <w:snapToGrid w:val="0"/>
        <w:spacing w:before="119" w:line="360" w:lineRule="auto"/>
        <w:ind w:left="958" w:hanging="952"/>
        <w:textAlignment w:val="baseline"/>
        <w:rPr>
          <w:color w:val="000000"/>
          <w:szCs w:val="21"/>
          <w:u w:color="000000"/>
        </w:rPr>
      </w:pPr>
      <w:r>
        <w:rPr>
          <w:color w:val="000000"/>
          <w:szCs w:val="21"/>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pPr>
        <w:widowControl/>
        <w:snapToGrid w:val="0"/>
        <w:spacing w:before="357" w:after="119" w:line="360" w:lineRule="auto"/>
        <w:textAlignment w:val="baseline"/>
        <w:outlineLvl w:val="2"/>
        <w:rPr>
          <w:b/>
          <w:color w:val="000000"/>
          <w:szCs w:val="21"/>
          <w:u w:val="single" w:color="000000"/>
        </w:rPr>
      </w:pPr>
      <w:bookmarkStart w:id="151" w:name="_Toc69112237"/>
      <w:bookmarkStart w:id="152" w:name="_Toc67403979"/>
      <w:bookmarkStart w:id="153" w:name="_Toc67412202"/>
      <w:r>
        <w:rPr>
          <w:b/>
          <w:color w:val="000000"/>
          <w:szCs w:val="21"/>
          <w:u w:color="000000"/>
        </w:rPr>
        <w:t>20      破产终止合同</w:t>
      </w:r>
      <w:bookmarkEnd w:id="151"/>
      <w:bookmarkEnd w:id="152"/>
      <w:bookmarkEnd w:id="153"/>
    </w:p>
    <w:p>
      <w:pPr>
        <w:snapToGrid w:val="0"/>
        <w:spacing w:before="119" w:line="360" w:lineRule="auto"/>
        <w:ind w:left="958" w:hanging="952"/>
        <w:textAlignment w:val="baseline"/>
        <w:rPr>
          <w:color w:val="000000"/>
          <w:szCs w:val="21"/>
          <w:u w:color="000000"/>
        </w:rPr>
      </w:pPr>
      <w:r>
        <w:rPr>
          <w:color w:val="000000"/>
          <w:szCs w:val="21"/>
          <w:u w:color="000000"/>
        </w:rPr>
        <w:t>20.1    如果卖方破产或无清偿能力时，可在任何时候以书面通知卖方，提出终止合同而不给卖方补偿。该合同的终止将不损害或不影响买方已经采取或将要采取任何行动或补救措施的权利。</w:t>
      </w:r>
    </w:p>
    <w:p>
      <w:pPr>
        <w:widowControl/>
        <w:snapToGrid w:val="0"/>
        <w:spacing w:before="357" w:after="119" w:line="360" w:lineRule="auto"/>
        <w:textAlignment w:val="baseline"/>
        <w:outlineLvl w:val="2"/>
        <w:rPr>
          <w:b/>
          <w:color w:val="000000"/>
          <w:szCs w:val="21"/>
          <w:u w:color="000000"/>
        </w:rPr>
      </w:pPr>
      <w:bookmarkStart w:id="154" w:name="_Toc67403980"/>
      <w:bookmarkStart w:id="155" w:name="_Toc69112238"/>
      <w:bookmarkStart w:id="156" w:name="_Toc67412203"/>
      <w:r>
        <w:rPr>
          <w:b/>
          <w:color w:val="000000"/>
          <w:szCs w:val="21"/>
          <w:u w:color="000000"/>
        </w:rPr>
        <w:t>21     转让和分包</w:t>
      </w:r>
      <w:bookmarkEnd w:id="154"/>
      <w:bookmarkEnd w:id="155"/>
      <w:bookmarkEnd w:id="156"/>
    </w:p>
    <w:p>
      <w:pPr>
        <w:snapToGrid w:val="0"/>
        <w:spacing w:before="119" w:line="360" w:lineRule="auto"/>
        <w:textAlignment w:val="baseline"/>
        <w:rPr>
          <w:color w:val="000000"/>
          <w:szCs w:val="21"/>
          <w:u w:color="000000"/>
        </w:rPr>
      </w:pPr>
      <w:r>
        <w:rPr>
          <w:color w:val="000000"/>
          <w:szCs w:val="21"/>
          <w:u w:color="000000"/>
        </w:rPr>
        <w:t>21.1   合同不能转让。</w:t>
      </w:r>
    </w:p>
    <w:p>
      <w:pPr>
        <w:snapToGrid w:val="0"/>
        <w:spacing w:before="119" w:line="360" w:lineRule="auto"/>
        <w:ind w:left="958" w:hanging="952"/>
        <w:textAlignment w:val="baseline"/>
        <w:rPr>
          <w:color w:val="000000"/>
          <w:szCs w:val="21"/>
          <w:u w:color="000000"/>
        </w:rPr>
      </w:pPr>
      <w:r>
        <w:rPr>
          <w:color w:val="000000"/>
          <w:szCs w:val="21"/>
          <w:u w:color="000000"/>
        </w:rPr>
        <w:t>21.</w:t>
      </w:r>
      <w:r>
        <w:rPr>
          <w:rFonts w:hint="eastAsia"/>
          <w:color w:val="000000"/>
          <w:szCs w:val="21"/>
          <w:u w:color="000000"/>
        </w:rPr>
        <w:t xml:space="preserve">2     </w:t>
      </w:r>
      <w:r>
        <w:rPr>
          <w:color w:val="000000"/>
          <w:szCs w:val="21"/>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widowControl/>
        <w:snapToGrid w:val="0"/>
        <w:spacing w:before="357" w:after="119" w:line="360" w:lineRule="auto"/>
        <w:textAlignment w:val="baseline"/>
        <w:outlineLvl w:val="2"/>
        <w:rPr>
          <w:b/>
          <w:color w:val="000000"/>
          <w:szCs w:val="21"/>
          <w:u w:val="single" w:color="000000"/>
        </w:rPr>
      </w:pPr>
      <w:bookmarkStart w:id="157" w:name="_Toc67403981"/>
      <w:bookmarkStart w:id="158" w:name="_Toc69112239"/>
      <w:bookmarkStart w:id="159" w:name="_Toc67412204"/>
      <w:r>
        <w:rPr>
          <w:b/>
          <w:color w:val="000000"/>
          <w:szCs w:val="21"/>
          <w:u w:color="000000"/>
        </w:rPr>
        <w:t xml:space="preserve">22     </w:t>
      </w:r>
      <w:r>
        <w:rPr>
          <w:b/>
          <w:color w:val="000000"/>
          <w:szCs w:val="21"/>
          <w:u w:color="FF0000"/>
        </w:rPr>
        <w:t xml:space="preserve"> 合同修改</w:t>
      </w:r>
      <w:bookmarkEnd w:id="157"/>
      <w:bookmarkEnd w:id="158"/>
      <w:bookmarkEnd w:id="159"/>
    </w:p>
    <w:p>
      <w:pPr>
        <w:snapToGrid w:val="0"/>
        <w:spacing w:before="119" w:line="360" w:lineRule="auto"/>
        <w:ind w:left="958" w:hanging="952"/>
        <w:textAlignment w:val="baseline"/>
        <w:rPr>
          <w:color w:val="000000"/>
          <w:szCs w:val="21"/>
          <w:u w:color="000000"/>
        </w:rPr>
      </w:pPr>
      <w:r>
        <w:rPr>
          <w:color w:val="000000"/>
          <w:szCs w:val="21"/>
          <w:u w:color="000000"/>
        </w:rPr>
        <w:t>22.1    买方和卖方都不得擅自变更本合同，但合同继续履行将损害国家和社会公共利益的除外。如必须对合同条款进行改动时，当事人双方须共同签署书面文件，做为合同的补充。</w:t>
      </w:r>
    </w:p>
    <w:p>
      <w:pPr>
        <w:widowControl/>
        <w:snapToGrid w:val="0"/>
        <w:spacing w:before="357" w:after="119" w:line="360" w:lineRule="auto"/>
        <w:textAlignment w:val="baseline"/>
        <w:outlineLvl w:val="2"/>
        <w:rPr>
          <w:b/>
          <w:color w:val="000000"/>
          <w:szCs w:val="21"/>
          <w:u w:val="single" w:color="000000"/>
        </w:rPr>
      </w:pPr>
      <w:bookmarkStart w:id="160" w:name="_Toc67403982"/>
      <w:bookmarkStart w:id="161" w:name="_Toc69112240"/>
      <w:bookmarkStart w:id="162" w:name="_Toc67412205"/>
      <w:r>
        <w:rPr>
          <w:b/>
          <w:color w:val="000000"/>
          <w:szCs w:val="21"/>
          <w:u w:color="000000"/>
        </w:rPr>
        <w:t>23      通知</w:t>
      </w:r>
      <w:bookmarkEnd w:id="160"/>
      <w:bookmarkEnd w:id="161"/>
      <w:bookmarkEnd w:id="162"/>
    </w:p>
    <w:p>
      <w:pPr>
        <w:snapToGrid w:val="0"/>
        <w:spacing w:before="119" w:line="360" w:lineRule="auto"/>
        <w:ind w:left="958" w:hanging="952"/>
        <w:textAlignment w:val="baseline"/>
        <w:rPr>
          <w:color w:val="000000"/>
          <w:szCs w:val="21"/>
          <w:u w:color="000000"/>
        </w:rPr>
      </w:pPr>
      <w:r>
        <w:rPr>
          <w:color w:val="000000"/>
          <w:szCs w:val="21"/>
          <w:u w:color="000000"/>
        </w:rPr>
        <w:t>23.1    本合同任何一方给另一方的通知，都应以书面形式发送，而另一方也应以书面形式确认并发送到对方明确的地址。</w:t>
      </w:r>
    </w:p>
    <w:p>
      <w:pPr>
        <w:widowControl/>
        <w:snapToGrid w:val="0"/>
        <w:spacing w:before="357" w:after="119" w:line="360" w:lineRule="auto"/>
        <w:textAlignment w:val="baseline"/>
        <w:outlineLvl w:val="2"/>
        <w:rPr>
          <w:b/>
          <w:color w:val="000000"/>
          <w:szCs w:val="21"/>
          <w:u w:val="single" w:color="000000"/>
        </w:rPr>
      </w:pPr>
      <w:bookmarkStart w:id="163" w:name="_Toc67412206"/>
      <w:bookmarkStart w:id="164" w:name="_Toc69112241"/>
      <w:bookmarkStart w:id="165" w:name="_Toc67403983"/>
      <w:r>
        <w:rPr>
          <w:b/>
          <w:color w:val="000000"/>
          <w:szCs w:val="21"/>
          <w:u w:color="000000"/>
        </w:rPr>
        <w:t>24      计量单位</w:t>
      </w:r>
      <w:bookmarkEnd w:id="163"/>
      <w:bookmarkEnd w:id="164"/>
      <w:bookmarkEnd w:id="165"/>
    </w:p>
    <w:p>
      <w:pPr>
        <w:snapToGrid w:val="0"/>
        <w:spacing w:before="119" w:line="360" w:lineRule="auto"/>
        <w:textAlignment w:val="baseline"/>
        <w:rPr>
          <w:color w:val="000000"/>
          <w:szCs w:val="21"/>
          <w:u w:color="000000"/>
        </w:rPr>
      </w:pPr>
      <w:r>
        <w:rPr>
          <w:color w:val="000000"/>
          <w:szCs w:val="21"/>
          <w:u w:color="000000"/>
        </w:rPr>
        <w:t>24.1    除技术规范中另有规定外,计量单位均使用国家法定计量</w:t>
      </w:r>
    </w:p>
    <w:p>
      <w:pPr>
        <w:snapToGrid w:val="0"/>
        <w:spacing w:before="119" w:line="360" w:lineRule="auto"/>
        <w:textAlignment w:val="baseline"/>
        <w:rPr>
          <w:color w:val="000000"/>
          <w:szCs w:val="21"/>
          <w:u w:color="000000"/>
        </w:rPr>
      </w:pPr>
      <w:r>
        <w:rPr>
          <w:color w:val="000000"/>
          <w:szCs w:val="21"/>
          <w:u w:color="000000"/>
        </w:rPr>
        <w:t xml:space="preserve">        单位。</w:t>
      </w:r>
    </w:p>
    <w:p>
      <w:pPr>
        <w:widowControl/>
        <w:snapToGrid w:val="0"/>
        <w:spacing w:before="357" w:after="119" w:line="360" w:lineRule="auto"/>
        <w:textAlignment w:val="baseline"/>
        <w:outlineLvl w:val="2"/>
        <w:rPr>
          <w:b/>
          <w:color w:val="000000"/>
          <w:szCs w:val="21"/>
          <w:u w:val="single" w:color="000000"/>
        </w:rPr>
      </w:pPr>
      <w:bookmarkStart w:id="166" w:name="_Toc69112242"/>
      <w:bookmarkStart w:id="167" w:name="_Toc67403984"/>
      <w:bookmarkStart w:id="168" w:name="_Toc67412207"/>
      <w:r>
        <w:rPr>
          <w:b/>
          <w:color w:val="000000"/>
          <w:szCs w:val="21"/>
          <w:u w:color="000000"/>
        </w:rPr>
        <w:t>25      适用法律</w:t>
      </w:r>
      <w:bookmarkEnd w:id="166"/>
      <w:bookmarkEnd w:id="167"/>
      <w:bookmarkEnd w:id="168"/>
    </w:p>
    <w:p>
      <w:pPr>
        <w:snapToGrid w:val="0"/>
        <w:spacing w:before="119" w:line="360" w:lineRule="auto"/>
        <w:textAlignment w:val="baseline"/>
        <w:rPr>
          <w:color w:val="000000"/>
          <w:szCs w:val="21"/>
          <w:u w:color="000000"/>
        </w:rPr>
      </w:pPr>
      <w:r>
        <w:rPr>
          <w:color w:val="000000"/>
          <w:szCs w:val="21"/>
          <w:u w:color="000000"/>
        </w:rPr>
        <w:t>25.1    本合同应按照中华人民共和国的法律进行解释。</w:t>
      </w:r>
    </w:p>
    <w:p>
      <w:pPr>
        <w:widowControl/>
        <w:snapToGrid w:val="0"/>
        <w:spacing w:before="357" w:after="119" w:line="360" w:lineRule="auto"/>
        <w:textAlignment w:val="baseline"/>
        <w:outlineLvl w:val="2"/>
        <w:rPr>
          <w:b/>
          <w:color w:val="000000"/>
          <w:szCs w:val="21"/>
          <w:u w:val="single" w:color="000000"/>
        </w:rPr>
      </w:pPr>
      <w:bookmarkStart w:id="169" w:name="_Toc69112243"/>
      <w:bookmarkStart w:id="170" w:name="_Toc67412208"/>
      <w:bookmarkStart w:id="171" w:name="_Toc67403985"/>
      <w:r>
        <w:rPr>
          <w:b/>
          <w:color w:val="000000"/>
          <w:szCs w:val="21"/>
          <w:u w:color="000000"/>
        </w:rPr>
        <w:t>26      履约保证金</w:t>
      </w:r>
      <w:bookmarkEnd w:id="169"/>
      <w:bookmarkEnd w:id="170"/>
      <w:bookmarkEnd w:id="171"/>
    </w:p>
    <w:p>
      <w:pPr>
        <w:snapToGrid w:val="0"/>
        <w:spacing w:line="360" w:lineRule="auto"/>
        <w:ind w:left="901" w:hanging="895"/>
        <w:textAlignment w:val="baseline"/>
        <w:rPr>
          <w:color w:val="000000"/>
          <w:szCs w:val="21"/>
          <w:u w:color="000000"/>
        </w:rPr>
      </w:pPr>
      <w:r>
        <w:rPr>
          <w:color w:val="000000"/>
          <w:szCs w:val="21"/>
          <w:u w:color="000000"/>
        </w:rPr>
        <w:t>26.1    卖方应按</w:t>
      </w:r>
      <w:r>
        <w:rPr>
          <w:rFonts w:hint="eastAsia"/>
          <w:color w:val="000000"/>
          <w:szCs w:val="21"/>
          <w:u w:color="000000"/>
        </w:rPr>
        <w:t>合同</w:t>
      </w:r>
      <w:r>
        <w:rPr>
          <w:color w:val="000000"/>
          <w:szCs w:val="21"/>
          <w:u w:color="000000"/>
        </w:rPr>
        <w:t>约定的方式向买方提交合同总价</w:t>
      </w:r>
      <w:r>
        <w:rPr>
          <w:color w:val="000000"/>
          <w:szCs w:val="21"/>
          <w:u w:val="single" w:color="FF0000"/>
        </w:rPr>
        <w:t xml:space="preserve"> </w:t>
      </w:r>
      <w:r>
        <w:rPr>
          <w:rFonts w:hint="eastAsia"/>
          <w:color w:val="000000"/>
          <w:szCs w:val="21"/>
          <w:u w:val="single" w:color="FF0000"/>
        </w:rPr>
        <w:t>5%</w:t>
      </w:r>
      <w:r>
        <w:rPr>
          <w:color w:val="000000"/>
          <w:szCs w:val="21"/>
          <w:u w:val="single" w:color="FF0000"/>
        </w:rPr>
        <w:t xml:space="preserve"> </w:t>
      </w:r>
      <w:r>
        <w:rPr>
          <w:color w:val="000000"/>
          <w:szCs w:val="21"/>
          <w:u w:color="000000"/>
        </w:rPr>
        <w:t>（不超过5％）的履约保证金。</w:t>
      </w:r>
    </w:p>
    <w:p>
      <w:pPr>
        <w:snapToGrid w:val="0"/>
        <w:spacing w:line="360" w:lineRule="auto"/>
        <w:textAlignment w:val="baseline"/>
        <w:rPr>
          <w:color w:val="000000"/>
          <w:szCs w:val="21"/>
          <w:u w:color="000000"/>
        </w:rPr>
      </w:pPr>
      <w:r>
        <w:rPr>
          <w:color w:val="000000"/>
          <w:szCs w:val="21"/>
          <w:u w:color="000000"/>
        </w:rPr>
        <w:t>26.2</w:t>
      </w:r>
      <w:r>
        <w:rPr>
          <w:b/>
          <w:color w:val="000000"/>
          <w:szCs w:val="21"/>
          <w:u w:color="000000"/>
        </w:rPr>
        <w:t xml:space="preserve">    </w:t>
      </w:r>
      <w:r>
        <w:rPr>
          <w:color w:val="000000"/>
          <w:szCs w:val="21"/>
          <w:u w:color="000000"/>
        </w:rPr>
        <w:t>履约保证金用于补偿买方因卖方不能履行其合同义务而蒙受的损失。</w:t>
      </w:r>
    </w:p>
    <w:p>
      <w:pPr>
        <w:snapToGrid w:val="0"/>
        <w:spacing w:line="360" w:lineRule="auto"/>
        <w:textAlignment w:val="baseline"/>
        <w:rPr>
          <w:color w:val="000000"/>
          <w:szCs w:val="21"/>
          <w:u w:color="000000"/>
        </w:rPr>
      </w:pPr>
      <w:r>
        <w:rPr>
          <w:color w:val="000000"/>
          <w:szCs w:val="21"/>
          <w:u w:color="000000"/>
        </w:rPr>
        <w:t>26.3    履约保证金应使用本合同货币，按下述方式之一提交：</w:t>
      </w:r>
    </w:p>
    <w:p>
      <w:pPr>
        <w:snapToGrid w:val="0"/>
        <w:spacing w:line="360" w:lineRule="auto"/>
        <w:ind w:left="958"/>
        <w:textAlignment w:val="baseline"/>
        <w:rPr>
          <w:color w:val="000000"/>
          <w:szCs w:val="21"/>
          <w:u w:color="000000"/>
        </w:rPr>
      </w:pPr>
      <w:r>
        <w:rPr>
          <w:color w:val="000000"/>
          <w:szCs w:val="21"/>
          <w:u w:color="000000"/>
        </w:rPr>
        <w:t xml:space="preserve">  A. 买方可接受的在中华人民共和国注册和营业的银行，按采购文件提供的格式，或其他买方可接受的格式。</w:t>
      </w:r>
    </w:p>
    <w:p>
      <w:pPr>
        <w:snapToGrid w:val="0"/>
        <w:spacing w:line="360" w:lineRule="auto"/>
        <w:ind w:firstLine="958"/>
        <w:textAlignment w:val="baseline"/>
        <w:rPr>
          <w:color w:val="000000"/>
          <w:szCs w:val="21"/>
          <w:u w:color="000000"/>
        </w:rPr>
      </w:pPr>
      <w:r>
        <w:rPr>
          <w:color w:val="000000"/>
          <w:szCs w:val="21"/>
          <w:u w:color="000000"/>
        </w:rPr>
        <w:t xml:space="preserve">  B. 支票、汇票</w:t>
      </w:r>
      <w:r>
        <w:rPr>
          <w:rFonts w:hint="eastAsia"/>
          <w:color w:val="000000"/>
          <w:szCs w:val="21"/>
          <w:u w:color="000000"/>
        </w:rPr>
        <w:t>等非现金方式</w:t>
      </w:r>
      <w:r>
        <w:rPr>
          <w:color w:val="000000"/>
          <w:szCs w:val="21"/>
          <w:u w:color="000000"/>
        </w:rPr>
        <w:t>。</w:t>
      </w:r>
    </w:p>
    <w:p>
      <w:pPr>
        <w:snapToGrid w:val="0"/>
        <w:spacing w:line="360" w:lineRule="auto"/>
        <w:ind w:left="986" w:hanging="952"/>
        <w:textAlignment w:val="baseline"/>
        <w:rPr>
          <w:color w:val="000000"/>
          <w:szCs w:val="21"/>
          <w:u w:color="000000"/>
        </w:rPr>
      </w:pPr>
      <w:r>
        <w:rPr>
          <w:color w:val="000000"/>
          <w:szCs w:val="21"/>
          <w:u w:color="000000"/>
        </w:rPr>
        <w:t>26.4    如果卖方未能按合同规定履行其义务，买方有权从履约保证金中取得补偿。质量保证期结束后三十(30)天内，买方将把履约保证金</w:t>
      </w:r>
      <w:r>
        <w:rPr>
          <w:rFonts w:hint="eastAsia"/>
          <w:color w:val="000000"/>
          <w:szCs w:val="21"/>
          <w:u w:color="000000"/>
        </w:rPr>
        <w:t>无息</w:t>
      </w:r>
      <w:r>
        <w:rPr>
          <w:color w:val="000000"/>
          <w:szCs w:val="21"/>
          <w:u w:color="000000"/>
        </w:rPr>
        <w:t>退还卖方。</w:t>
      </w:r>
    </w:p>
    <w:p>
      <w:pPr>
        <w:widowControl/>
        <w:snapToGrid w:val="0"/>
        <w:spacing w:before="357" w:after="119" w:line="360" w:lineRule="auto"/>
        <w:ind w:left="5"/>
        <w:textAlignment w:val="baseline"/>
        <w:outlineLvl w:val="2"/>
        <w:rPr>
          <w:b/>
          <w:color w:val="000000"/>
          <w:szCs w:val="21"/>
          <w:u w:val="single" w:color="000000"/>
        </w:rPr>
      </w:pPr>
      <w:bookmarkStart w:id="172" w:name="_Toc67403986"/>
      <w:bookmarkStart w:id="173" w:name="_Toc69112244"/>
      <w:bookmarkStart w:id="174" w:name="_Toc67412209"/>
      <w:r>
        <w:rPr>
          <w:b/>
          <w:color w:val="000000"/>
          <w:szCs w:val="21"/>
          <w:u w:color="000000"/>
        </w:rPr>
        <w:t>27　    合同生效和其它</w:t>
      </w:r>
      <w:bookmarkEnd w:id="172"/>
      <w:bookmarkEnd w:id="173"/>
      <w:bookmarkEnd w:id="174"/>
    </w:p>
    <w:p>
      <w:pPr>
        <w:snapToGrid w:val="0"/>
        <w:spacing w:line="360" w:lineRule="auto"/>
        <w:ind w:left="986" w:hanging="952"/>
        <w:textAlignment w:val="baseline"/>
        <w:rPr>
          <w:color w:val="000000"/>
          <w:szCs w:val="21"/>
          <w:u w:color="000000"/>
        </w:rPr>
      </w:pPr>
      <w:r>
        <w:rPr>
          <w:color w:val="000000"/>
          <w:szCs w:val="21"/>
          <w:u w:color="000000"/>
        </w:rPr>
        <w:t>27.1    采购项目的采购合同内容的确定应以采购文件和响应文件为基础，不得违背其实质性内容。采购项目的采购合同自签订之日起七个工作日内。合同将在双方签字盖章并由卖方</w:t>
      </w:r>
      <w:r>
        <w:rPr>
          <w:rFonts w:hint="eastAsia"/>
          <w:color w:val="000000"/>
          <w:szCs w:val="21"/>
          <w:u w:color="000000"/>
        </w:rPr>
        <w:t>提交</w:t>
      </w:r>
      <w:r>
        <w:rPr>
          <w:color w:val="000000"/>
          <w:szCs w:val="21"/>
          <w:u w:color="000000"/>
        </w:rPr>
        <w:t>履约保证金后开始生效。</w:t>
      </w:r>
    </w:p>
    <w:p>
      <w:pPr>
        <w:snapToGrid w:val="0"/>
        <w:spacing w:line="360" w:lineRule="auto"/>
        <w:ind w:left="963" w:hanging="952"/>
        <w:textAlignment w:val="baseline"/>
        <w:rPr>
          <w:b/>
          <w:color w:val="000000"/>
          <w:spacing w:val="175"/>
          <w:sz w:val="28"/>
          <w:szCs w:val="28"/>
          <w:u w:color="000000"/>
        </w:rPr>
      </w:pPr>
      <w:r>
        <w:rPr>
          <w:color w:val="000000"/>
          <w:szCs w:val="21"/>
          <w:u w:color="000000"/>
        </w:rPr>
        <w:t>27.2    本合同一式</w:t>
      </w:r>
      <w:r>
        <w:rPr>
          <w:rFonts w:hint="eastAsia"/>
          <w:color w:val="000000"/>
          <w:szCs w:val="21"/>
          <w:u w:val="single" w:color="000000"/>
        </w:rPr>
        <w:t>7</w:t>
      </w:r>
      <w:r>
        <w:rPr>
          <w:color w:val="000000"/>
          <w:szCs w:val="21"/>
          <w:u w:color="000000"/>
        </w:rPr>
        <w:t>份，具同等法律效力。</w:t>
      </w:r>
      <w:r>
        <w:rPr>
          <w:rFonts w:hint="eastAsia"/>
          <w:color w:val="000000"/>
          <w:szCs w:val="21"/>
          <w:u w:val="single" w:color="000000"/>
        </w:rPr>
        <w:t>买方</w:t>
      </w:r>
      <w:r>
        <w:rPr>
          <w:rFonts w:hint="eastAsia"/>
          <w:color w:val="000000"/>
          <w:szCs w:val="21"/>
        </w:rPr>
        <w:t>执</w:t>
      </w:r>
      <w:r>
        <w:rPr>
          <w:rFonts w:hint="eastAsia"/>
          <w:color w:val="000000"/>
          <w:szCs w:val="21"/>
          <w:u w:val="single"/>
        </w:rPr>
        <w:t>5</w:t>
      </w:r>
      <w:r>
        <w:rPr>
          <w:rFonts w:hint="eastAsia"/>
          <w:color w:val="000000"/>
          <w:szCs w:val="21"/>
        </w:rPr>
        <w:t>份，</w:t>
      </w:r>
      <w:r>
        <w:rPr>
          <w:rFonts w:hint="eastAsia"/>
          <w:color w:val="000000"/>
          <w:szCs w:val="21"/>
          <w:u w:val="single" w:color="000000"/>
        </w:rPr>
        <w:t xml:space="preserve">卖方 </w:t>
      </w:r>
      <w:r>
        <w:rPr>
          <w:rFonts w:hint="eastAsia"/>
          <w:color w:val="000000"/>
          <w:szCs w:val="21"/>
        </w:rPr>
        <w:t>执</w:t>
      </w:r>
      <w:r>
        <w:rPr>
          <w:rFonts w:hint="eastAsia"/>
          <w:color w:val="000000"/>
          <w:szCs w:val="21"/>
          <w:u w:val="single"/>
        </w:rPr>
        <w:t>1</w:t>
      </w:r>
      <w:r>
        <w:rPr>
          <w:rFonts w:hint="eastAsia"/>
          <w:color w:val="000000"/>
          <w:szCs w:val="21"/>
        </w:rPr>
        <w:t xml:space="preserve">份 </w:t>
      </w:r>
      <w:r>
        <w:rPr>
          <w:rFonts w:hint="eastAsia"/>
          <w:color w:val="000000"/>
          <w:szCs w:val="21"/>
          <w:u w:color="000000"/>
        </w:rPr>
        <w:t>，采购代理机构存档</w:t>
      </w:r>
      <w:r>
        <w:rPr>
          <w:rFonts w:hint="eastAsia"/>
          <w:color w:val="000000"/>
          <w:szCs w:val="21"/>
          <w:u w:val="single"/>
        </w:rPr>
        <w:t>1</w:t>
      </w:r>
      <w:r>
        <w:rPr>
          <w:rFonts w:hint="eastAsia"/>
          <w:color w:val="000000"/>
          <w:szCs w:val="21"/>
          <w:u w:color="000000"/>
        </w:rPr>
        <w:t>份。</w:t>
      </w:r>
    </w:p>
    <w:p>
      <w:pPr>
        <w:pStyle w:val="4"/>
      </w:pPr>
      <w:r>
        <w:rPr>
          <w:rFonts w:hint="eastAsia"/>
        </w:rPr>
        <w:t>（三）</w:t>
      </w:r>
      <w:r>
        <w:t>合同特殊条款</w:t>
      </w:r>
    </w:p>
    <w:p>
      <w:pPr>
        <w:tabs>
          <w:tab w:val="left" w:pos="5578"/>
        </w:tabs>
        <w:snapToGrid w:val="0"/>
        <w:spacing w:line="345" w:lineRule="auto"/>
        <w:ind w:firstLine="408"/>
        <w:textAlignment w:val="baseline"/>
        <w:rPr>
          <w:color w:val="000000"/>
          <w:u w:color="000000"/>
        </w:rPr>
      </w:pPr>
    </w:p>
    <w:p>
      <w:pPr>
        <w:tabs>
          <w:tab w:val="left" w:pos="5578"/>
        </w:tabs>
        <w:snapToGrid w:val="0"/>
        <w:spacing w:line="316" w:lineRule="auto"/>
        <w:ind w:firstLine="408"/>
        <w:textAlignment w:val="baseline"/>
        <w:rPr>
          <w:color w:val="000000"/>
          <w:szCs w:val="21"/>
          <w:u w:color="000000"/>
        </w:rPr>
      </w:pPr>
      <w:r>
        <w:rPr>
          <w:color w:val="000000"/>
          <w:szCs w:val="21"/>
          <w:u w:color="000000"/>
        </w:rPr>
        <w:t xml:space="preserve">  合同特殊条款是合同一般条款的补充和修改。如果两者之间有抵触，应以特殊条款为准。合同特殊条款的序号将与合同一般条款序号相对应。</w:t>
      </w:r>
    </w:p>
    <w:p>
      <w:pPr>
        <w:widowControl/>
        <w:numPr>
          <w:ilvl w:val="0"/>
          <w:numId w:val="14"/>
        </w:numPr>
        <w:snapToGrid w:val="0"/>
        <w:spacing w:before="119" w:line="331" w:lineRule="auto"/>
        <w:textAlignment w:val="baseline"/>
        <w:rPr>
          <w:color w:val="000000"/>
          <w:szCs w:val="21"/>
          <w:u w:color="000000"/>
        </w:rPr>
      </w:pPr>
      <w:r>
        <w:rPr>
          <w:b/>
          <w:color w:val="000000"/>
          <w:szCs w:val="21"/>
          <w:u w:color="000000"/>
        </w:rPr>
        <w:t>定义</w:t>
      </w:r>
    </w:p>
    <w:p>
      <w:pPr>
        <w:snapToGrid w:val="0"/>
        <w:spacing w:before="119" w:line="331" w:lineRule="auto"/>
        <w:textAlignment w:val="baseline"/>
        <w:rPr>
          <w:color w:val="000000"/>
          <w:szCs w:val="21"/>
          <w:u w:color="000000"/>
        </w:rPr>
      </w:pPr>
      <w:r>
        <w:rPr>
          <w:color w:val="000000"/>
          <w:szCs w:val="21"/>
          <w:u w:color="000000"/>
        </w:rPr>
        <w:t>1.5     买方：本合同买方系指：</w:t>
      </w:r>
      <w:r>
        <w:rPr>
          <w:rFonts w:hint="eastAsia"/>
          <w:color w:val="000000"/>
          <w:szCs w:val="21"/>
          <w:u w:val="single" w:color="000000"/>
        </w:rPr>
        <w:t>中国劳动关系学院</w:t>
      </w:r>
      <w:r>
        <w:rPr>
          <w:color w:val="000000"/>
          <w:szCs w:val="21"/>
          <w:u w:color="000000"/>
        </w:rPr>
        <w:t>。</w:t>
      </w:r>
    </w:p>
    <w:p>
      <w:pPr>
        <w:snapToGrid w:val="0"/>
        <w:spacing w:before="119" w:line="331" w:lineRule="auto"/>
        <w:textAlignment w:val="baseline"/>
        <w:rPr>
          <w:color w:val="000000"/>
          <w:szCs w:val="21"/>
          <w:u w:color="000000"/>
        </w:rPr>
      </w:pPr>
      <w:r>
        <w:rPr>
          <w:color w:val="000000"/>
          <w:szCs w:val="21"/>
          <w:u w:color="000000"/>
        </w:rPr>
        <w:t>1.6     卖方：本合同卖方系指：</w:t>
      </w:r>
      <w:r>
        <w:rPr>
          <w:color w:val="000000"/>
          <w:szCs w:val="21"/>
          <w:u w:val="single" w:color="000000"/>
        </w:rPr>
        <w:t>　</w:t>
      </w:r>
      <w:r>
        <w:rPr>
          <w:rFonts w:hint="eastAsia"/>
          <w:color w:val="000000"/>
          <w:szCs w:val="21"/>
          <w:u w:val="single" w:color="000000"/>
        </w:rPr>
        <w:t xml:space="preserve">                  </w:t>
      </w:r>
      <w:r>
        <w:rPr>
          <w:color w:val="000000"/>
          <w:szCs w:val="21"/>
          <w:u w:val="single" w:color="000000"/>
        </w:rPr>
        <w:t xml:space="preserve">  </w:t>
      </w:r>
      <w:r>
        <w:rPr>
          <w:color w:val="000000"/>
          <w:szCs w:val="21"/>
          <w:u w:color="000000"/>
        </w:rPr>
        <w:t>。</w:t>
      </w:r>
    </w:p>
    <w:p>
      <w:pPr>
        <w:snapToGrid w:val="0"/>
        <w:spacing w:before="119" w:line="331" w:lineRule="auto"/>
        <w:textAlignment w:val="baseline"/>
        <w:rPr>
          <w:color w:val="000000"/>
          <w:szCs w:val="21"/>
          <w:u w:color="000000"/>
        </w:rPr>
      </w:pPr>
      <w:r>
        <w:rPr>
          <w:color w:val="000000"/>
          <w:szCs w:val="21"/>
          <w:u w:color="000000"/>
        </w:rPr>
        <w:t>1.7     现场：本合同项下的货物</w:t>
      </w:r>
      <w:r>
        <w:rPr>
          <w:rFonts w:hint="eastAsia"/>
          <w:color w:val="000000"/>
          <w:szCs w:val="21"/>
          <w:u w:color="000000"/>
        </w:rPr>
        <w:t>运至、</w:t>
      </w:r>
      <w:r>
        <w:rPr>
          <w:color w:val="000000"/>
          <w:szCs w:val="21"/>
          <w:u w:color="000000"/>
        </w:rPr>
        <w:t>安装和运行地点位</w:t>
      </w:r>
      <w:r>
        <w:rPr>
          <w:rFonts w:hint="eastAsia"/>
          <w:color w:val="000000"/>
          <w:szCs w:val="21"/>
          <w:u w:color="000000"/>
        </w:rPr>
        <w:t>于：</w:t>
      </w:r>
      <w:r>
        <w:rPr>
          <w:rFonts w:hint="eastAsia"/>
          <w:color w:val="000000"/>
          <w:szCs w:val="21"/>
          <w:u w:val="single" w:color="000000"/>
        </w:rPr>
        <w:t>北京市海淀区增光路</w:t>
      </w:r>
      <w:r>
        <w:rPr>
          <w:color w:val="000000"/>
          <w:szCs w:val="21"/>
          <w:u w:val="single" w:color="000000"/>
        </w:rPr>
        <w:t>45号</w:t>
      </w:r>
      <w:r>
        <w:rPr>
          <w:color w:val="000000"/>
          <w:szCs w:val="21"/>
          <w:u w:color="000000"/>
        </w:rPr>
        <w:t>。</w:t>
      </w:r>
    </w:p>
    <w:p>
      <w:pPr>
        <w:snapToGrid w:val="0"/>
        <w:spacing w:before="119" w:line="331" w:lineRule="auto"/>
        <w:textAlignment w:val="baseline"/>
        <w:rPr>
          <w:color w:val="000000"/>
          <w:sz w:val="10"/>
          <w:szCs w:val="10"/>
          <w:u w:color="000000"/>
        </w:rPr>
      </w:pPr>
    </w:p>
    <w:p>
      <w:pPr>
        <w:snapToGrid w:val="0"/>
        <w:spacing w:before="119" w:line="331" w:lineRule="auto"/>
        <w:textAlignment w:val="baseline"/>
        <w:rPr>
          <w:color w:val="000000"/>
          <w:szCs w:val="21"/>
          <w:u w:color="000000"/>
        </w:rPr>
      </w:pPr>
      <w:r>
        <w:rPr>
          <w:b/>
          <w:color w:val="000000"/>
          <w:szCs w:val="21"/>
          <w:u w:color="000000"/>
        </w:rPr>
        <w:t>6、交货方式</w:t>
      </w:r>
    </w:p>
    <w:p>
      <w:pPr>
        <w:snapToGrid w:val="0"/>
        <w:spacing w:before="119" w:line="331" w:lineRule="auto"/>
        <w:textAlignment w:val="baseline"/>
        <w:rPr>
          <w:color w:val="000000"/>
          <w:szCs w:val="21"/>
          <w:u w:color="000000"/>
        </w:rPr>
      </w:pPr>
      <w:r>
        <w:rPr>
          <w:color w:val="000000"/>
          <w:szCs w:val="21"/>
          <w:u w:color="000000"/>
        </w:rPr>
        <w:t>6.1    本合同项下的货物交货方式为：</w:t>
      </w:r>
      <w:r>
        <w:rPr>
          <w:rFonts w:hint="eastAsia"/>
          <w:color w:val="000000"/>
          <w:szCs w:val="21"/>
          <w:u w:val="single" w:color="000000"/>
        </w:rPr>
        <w:t>现场交货</w:t>
      </w:r>
      <w:r>
        <w:rPr>
          <w:color w:val="000000"/>
          <w:szCs w:val="21"/>
          <w:u w:color="000000"/>
        </w:rPr>
        <w:t>。</w:t>
      </w:r>
    </w:p>
    <w:p>
      <w:pPr>
        <w:snapToGrid w:val="0"/>
        <w:spacing w:before="119" w:line="331" w:lineRule="auto"/>
        <w:textAlignment w:val="baseline"/>
        <w:rPr>
          <w:color w:val="000000"/>
          <w:sz w:val="10"/>
          <w:szCs w:val="10"/>
          <w:u w:color="000000"/>
        </w:rPr>
      </w:pPr>
    </w:p>
    <w:p>
      <w:pPr>
        <w:widowControl/>
        <w:tabs>
          <w:tab w:val="left" w:pos="3960"/>
          <w:tab w:val="left" w:pos="4500"/>
        </w:tabs>
        <w:spacing w:line="360" w:lineRule="auto"/>
        <w:ind w:left="527" w:hanging="527" w:hangingChars="250"/>
        <w:textAlignment w:val="baseline"/>
        <w:rPr>
          <w:b/>
          <w:color w:val="000000"/>
          <w:szCs w:val="21"/>
          <w:u w:color="000000"/>
        </w:rPr>
      </w:pPr>
      <w:r>
        <w:rPr>
          <w:b/>
          <w:color w:val="000000"/>
          <w:szCs w:val="21"/>
          <w:u w:color="000000"/>
        </w:rPr>
        <w:t>9、付款条件：</w:t>
      </w:r>
    </w:p>
    <w:p>
      <w:pPr>
        <w:spacing w:line="360" w:lineRule="auto"/>
        <w:jc w:val="left"/>
        <w:rPr>
          <w:rFonts w:ascii="宋体" w:hAnsi="宋体"/>
          <w:szCs w:val="21"/>
        </w:rPr>
      </w:pPr>
      <w:r>
        <w:rPr>
          <w:rFonts w:hint="eastAsia" w:ascii="宋体" w:hAnsi="宋体"/>
          <w:szCs w:val="21"/>
        </w:rPr>
        <w:t>第一次付款：合同签订后</w:t>
      </w:r>
      <w:r>
        <w:rPr>
          <w:rFonts w:ascii="宋体" w:hAnsi="宋体"/>
          <w:szCs w:val="21"/>
        </w:rPr>
        <w:t xml:space="preserve">10个工作日内，乙方向甲方提供发票后，甲方向乙方支付合同额的30%的首付款，计 </w:t>
      </w:r>
      <w:r>
        <w:rPr>
          <w:rFonts w:hint="eastAsia" w:ascii="宋体" w:hAnsi="宋体"/>
          <w:szCs w:val="21"/>
        </w:rPr>
        <w:t>xx</w:t>
      </w:r>
      <w:r>
        <w:rPr>
          <w:rFonts w:ascii="宋体" w:hAnsi="宋体"/>
          <w:szCs w:val="21"/>
        </w:rPr>
        <w:t>元。</w:t>
      </w:r>
    </w:p>
    <w:p>
      <w:pPr>
        <w:spacing w:line="360" w:lineRule="auto"/>
        <w:jc w:val="left"/>
        <w:rPr>
          <w:rFonts w:ascii="宋体" w:hAnsi="宋体"/>
          <w:szCs w:val="21"/>
        </w:rPr>
      </w:pPr>
      <w:r>
        <w:rPr>
          <w:rFonts w:hint="eastAsia" w:ascii="宋体" w:hAnsi="宋体"/>
          <w:szCs w:val="21"/>
        </w:rPr>
        <w:t>第二次付款：所有设备安装到位、项目验收合格后，乙方向甲方提供发票后</w:t>
      </w:r>
      <w:r>
        <w:rPr>
          <w:rFonts w:ascii="宋体" w:hAnsi="宋体"/>
          <w:szCs w:val="21"/>
        </w:rPr>
        <w:t>10个工作日内，甲方向乙方支付合同金额的65%，计</w:t>
      </w:r>
      <w:r>
        <w:rPr>
          <w:rFonts w:hint="eastAsia" w:ascii="宋体" w:hAnsi="宋体"/>
          <w:szCs w:val="21"/>
        </w:rPr>
        <w:t>xx</w:t>
      </w:r>
      <w:r>
        <w:rPr>
          <w:rFonts w:ascii="宋体" w:hAnsi="宋体"/>
          <w:szCs w:val="21"/>
        </w:rPr>
        <w:t>元。</w:t>
      </w:r>
    </w:p>
    <w:p>
      <w:pPr>
        <w:snapToGrid w:val="0"/>
        <w:spacing w:before="119" w:line="331" w:lineRule="auto"/>
        <w:textAlignment w:val="baseline"/>
        <w:rPr>
          <w:color w:val="000000"/>
          <w:sz w:val="10"/>
          <w:szCs w:val="10"/>
          <w:u w:color="000000"/>
        </w:rPr>
      </w:pPr>
      <w:r>
        <w:rPr>
          <w:rFonts w:hint="eastAsia" w:ascii="宋体" w:hAnsi="宋体"/>
          <w:szCs w:val="21"/>
        </w:rPr>
        <w:t>第三次付款：验收合格一年后，乙方向甲方提供发票后</w:t>
      </w:r>
      <w:r>
        <w:rPr>
          <w:rFonts w:ascii="宋体" w:hAnsi="宋体"/>
          <w:szCs w:val="21"/>
        </w:rPr>
        <w:t>10个工作日内，甲方向乙方支付合同金额的5%，计</w:t>
      </w:r>
      <w:r>
        <w:rPr>
          <w:rFonts w:hint="eastAsia" w:ascii="宋体" w:hAnsi="宋体"/>
          <w:szCs w:val="21"/>
        </w:rPr>
        <w:t>xx</w:t>
      </w:r>
      <w:r>
        <w:rPr>
          <w:rFonts w:ascii="宋体" w:hAnsi="宋体"/>
          <w:szCs w:val="21"/>
        </w:rPr>
        <w:t>元。</w:t>
      </w:r>
    </w:p>
    <w:p>
      <w:pPr>
        <w:snapToGrid w:val="0"/>
        <w:spacing w:before="119" w:line="331" w:lineRule="auto"/>
        <w:textAlignment w:val="baseline"/>
        <w:rPr>
          <w:color w:val="000000"/>
          <w:szCs w:val="21"/>
          <w:u w:color="000000"/>
        </w:rPr>
      </w:pPr>
      <w:r>
        <w:rPr>
          <w:b/>
          <w:color w:val="000000"/>
          <w:szCs w:val="21"/>
          <w:u w:color="000000"/>
        </w:rPr>
        <w:t>10、技术资料：</w:t>
      </w:r>
      <w:r>
        <w:rPr>
          <w:rFonts w:hint="eastAsia"/>
          <w:color w:val="000000"/>
          <w:szCs w:val="21"/>
        </w:rPr>
        <w:t>包括</w:t>
      </w:r>
      <w:r>
        <w:rPr>
          <w:color w:val="000000"/>
          <w:szCs w:val="21"/>
        </w:rPr>
        <w:t>每台设备和仪器的中文技术资料一套，如目录索引、图纸、操作手册、使用指南、维修指南和／或服务手册和示意图</w:t>
      </w:r>
      <w:r>
        <w:rPr>
          <w:rFonts w:hint="eastAsia"/>
          <w:color w:val="000000"/>
          <w:szCs w:val="21"/>
        </w:rPr>
        <w:t>等</w:t>
      </w:r>
      <w:r>
        <w:rPr>
          <w:color w:val="000000"/>
          <w:szCs w:val="21"/>
          <w:u w:color="000000"/>
        </w:rPr>
        <w:t>。</w:t>
      </w:r>
    </w:p>
    <w:p>
      <w:pPr>
        <w:snapToGrid w:val="0"/>
        <w:spacing w:before="119" w:line="331" w:lineRule="auto"/>
        <w:textAlignment w:val="baseline"/>
        <w:rPr>
          <w:color w:val="000000"/>
          <w:szCs w:val="21"/>
          <w:u w:color="000000"/>
        </w:rPr>
      </w:pPr>
      <w:r>
        <w:rPr>
          <w:b/>
          <w:color w:val="000000"/>
          <w:szCs w:val="21"/>
          <w:u w:color="000000"/>
        </w:rPr>
        <w:t>11、质量保证</w:t>
      </w:r>
      <w:r>
        <w:rPr>
          <w:rFonts w:hint="eastAsia"/>
          <w:b/>
          <w:color w:val="000000"/>
          <w:szCs w:val="21"/>
          <w:u w:color="000000"/>
        </w:rPr>
        <w:t>（详见附件二、售后服务承诺）</w:t>
      </w:r>
      <w:r>
        <w:rPr>
          <w:b/>
          <w:color w:val="000000"/>
          <w:szCs w:val="21"/>
          <w:u w:color="000000"/>
        </w:rPr>
        <w:t>：</w:t>
      </w:r>
    </w:p>
    <w:p>
      <w:pPr>
        <w:snapToGrid w:val="0"/>
        <w:spacing w:before="119" w:line="331" w:lineRule="auto"/>
        <w:textAlignment w:val="baseline"/>
        <w:rPr>
          <w:color w:val="000000"/>
          <w:szCs w:val="21"/>
          <w:u w:color="000000"/>
        </w:rPr>
      </w:pPr>
      <w:r>
        <w:rPr>
          <w:color w:val="000000"/>
          <w:szCs w:val="21"/>
          <w:u w:color="000000"/>
        </w:rPr>
        <w:t>11.3    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天内应免费维修或更换有缺陷的货物或部件。</w:t>
      </w:r>
    </w:p>
    <w:p>
      <w:pPr>
        <w:snapToGrid w:val="0"/>
        <w:spacing w:before="119" w:line="331" w:lineRule="auto"/>
        <w:ind w:left="958" w:hanging="952"/>
        <w:textAlignment w:val="baseline"/>
        <w:rPr>
          <w:color w:val="000000"/>
          <w:szCs w:val="21"/>
          <w:u w:color="000000"/>
        </w:rPr>
      </w:pPr>
      <w:r>
        <w:rPr>
          <w:color w:val="000000"/>
          <w:szCs w:val="21"/>
          <w:u w:color="000000"/>
        </w:rPr>
        <w:t>11.4    如果卖方在收到通知后</w:t>
      </w:r>
      <w:r>
        <w:rPr>
          <w:color w:val="000000"/>
          <w:szCs w:val="21"/>
          <w:u w:val="single" w:color="000000"/>
        </w:rPr>
        <w:t xml:space="preserve">  </w:t>
      </w:r>
      <w:r>
        <w:rPr>
          <w:rFonts w:hint="eastAsia"/>
          <w:color w:val="000000"/>
          <w:szCs w:val="21"/>
          <w:u w:val="single" w:color="000000"/>
        </w:rPr>
        <w:t xml:space="preserve"> </w:t>
      </w:r>
      <w:r>
        <w:rPr>
          <w:color w:val="000000"/>
          <w:szCs w:val="21"/>
          <w:u w:color="000000"/>
        </w:rPr>
        <w:t>天内没有弥补缺陷，买方可采取必要的补救措施，但风险和费用将由卖方承担。</w:t>
      </w:r>
    </w:p>
    <w:p>
      <w:pPr>
        <w:snapToGrid w:val="0"/>
        <w:spacing w:before="119" w:line="331" w:lineRule="auto"/>
        <w:ind w:left="958" w:hanging="952"/>
        <w:textAlignment w:val="baseline"/>
        <w:rPr>
          <w:color w:val="000000"/>
          <w:szCs w:val="21"/>
          <w:u w:color="000000"/>
        </w:rPr>
      </w:pPr>
      <w:r>
        <w:rPr>
          <w:color w:val="000000"/>
          <w:szCs w:val="21"/>
          <w:u w:color="000000"/>
        </w:rPr>
        <w:t>11.5    合同项下货物的质量保证期为自货物通过最终验收起</w:t>
      </w:r>
      <w:r>
        <w:rPr>
          <w:color w:val="000000"/>
          <w:szCs w:val="21"/>
          <w:u w:val="single" w:color="000000"/>
        </w:rPr>
        <w:t xml:space="preserve">    </w:t>
      </w:r>
      <w:r>
        <w:rPr>
          <w:color w:val="000000"/>
          <w:szCs w:val="21"/>
          <w:u w:color="000000"/>
        </w:rPr>
        <w:t>个月。</w:t>
      </w:r>
    </w:p>
    <w:p>
      <w:pPr>
        <w:widowControl/>
        <w:numPr>
          <w:ilvl w:val="1"/>
          <w:numId w:val="15"/>
        </w:numPr>
        <w:snapToGrid w:val="0"/>
        <w:spacing w:before="119" w:line="331" w:lineRule="auto"/>
        <w:ind w:hanging="846"/>
        <w:textAlignment w:val="baseline"/>
        <w:rPr>
          <w:color w:val="000000"/>
          <w:szCs w:val="21"/>
          <w:u w:color="000000"/>
        </w:rPr>
      </w:pPr>
      <w:r>
        <w:rPr>
          <w:b/>
          <w:color w:val="000000"/>
          <w:szCs w:val="21"/>
          <w:u w:color="000000"/>
        </w:rPr>
        <w:t>检验和验收：</w:t>
      </w:r>
    </w:p>
    <w:p>
      <w:pPr>
        <w:widowControl/>
        <w:numPr>
          <w:ilvl w:val="1"/>
          <w:numId w:val="15"/>
        </w:numPr>
        <w:snapToGrid w:val="0"/>
        <w:spacing w:before="119" w:line="331" w:lineRule="auto"/>
        <w:ind w:hanging="846"/>
        <w:textAlignment w:val="baseline"/>
        <w:rPr>
          <w:color w:val="000000"/>
          <w:szCs w:val="21"/>
          <w:u w:color="000000"/>
        </w:rPr>
      </w:pPr>
      <w:r>
        <w:rPr>
          <w:b/>
          <w:color w:val="000000"/>
          <w:szCs w:val="21"/>
          <w:u w:color="000000"/>
        </w:rPr>
        <w:t>索赔：</w:t>
      </w:r>
    </w:p>
    <w:p>
      <w:pPr>
        <w:snapToGrid w:val="0"/>
        <w:spacing w:before="119" w:line="331" w:lineRule="auto"/>
        <w:textAlignment w:val="baseline"/>
        <w:rPr>
          <w:color w:val="000000"/>
          <w:szCs w:val="21"/>
          <w:u w:color="000000"/>
        </w:rPr>
      </w:pPr>
      <w:r>
        <w:rPr>
          <w:color w:val="000000"/>
          <w:szCs w:val="21"/>
          <w:u w:color="000000"/>
        </w:rPr>
        <w:t>13.3</w:t>
      </w:r>
      <w:r>
        <w:rPr>
          <w:color w:val="000000"/>
          <w:szCs w:val="21"/>
          <w:u w:color="000000"/>
        </w:rPr>
        <w:tab/>
      </w:r>
      <w:r>
        <w:rPr>
          <w:color w:val="000000"/>
          <w:szCs w:val="21"/>
          <w:u w:color="000000"/>
        </w:rPr>
        <w:t xml:space="preserve">  索赔通知期限：</w:t>
      </w:r>
      <w:r>
        <w:rPr>
          <w:color w:val="000000"/>
          <w:szCs w:val="21"/>
          <w:u w:val="single" w:color="000000"/>
        </w:rPr>
        <w:t xml:space="preserve">   </w:t>
      </w:r>
      <w:r>
        <w:rPr>
          <w:color w:val="000000"/>
          <w:szCs w:val="21"/>
          <w:u w:color="000000"/>
        </w:rPr>
        <w:t>天。</w:t>
      </w:r>
    </w:p>
    <w:p>
      <w:pPr>
        <w:snapToGrid w:val="0"/>
        <w:spacing w:before="119" w:line="331" w:lineRule="auto"/>
        <w:textAlignment w:val="baseline"/>
        <w:rPr>
          <w:color w:val="000000"/>
          <w:sz w:val="10"/>
          <w:szCs w:val="10"/>
          <w:u w:color="000000"/>
        </w:rPr>
      </w:pPr>
    </w:p>
    <w:p>
      <w:pPr>
        <w:snapToGrid w:val="0"/>
        <w:spacing w:before="119" w:line="331" w:lineRule="auto"/>
        <w:textAlignment w:val="baseline"/>
        <w:rPr>
          <w:color w:val="000000"/>
          <w:szCs w:val="21"/>
          <w:u w:color="000000"/>
        </w:rPr>
      </w:pPr>
      <w:r>
        <w:rPr>
          <w:b/>
          <w:color w:val="000000"/>
          <w:szCs w:val="21"/>
          <w:u w:color="000000"/>
        </w:rPr>
        <w:t>16、不可抗力：</w:t>
      </w:r>
    </w:p>
    <w:p>
      <w:pPr>
        <w:snapToGrid w:val="0"/>
        <w:spacing w:before="119" w:line="331" w:lineRule="auto"/>
        <w:textAlignment w:val="baseline"/>
        <w:rPr>
          <w:color w:val="000000"/>
          <w:szCs w:val="21"/>
          <w:u w:color="000000"/>
        </w:rPr>
      </w:pPr>
      <w:r>
        <w:rPr>
          <w:color w:val="000000"/>
          <w:szCs w:val="21"/>
          <w:u w:color="000000"/>
        </w:rPr>
        <w:t>16.2    不可抗力通知送达时间：事故发生后</w:t>
      </w:r>
      <w:r>
        <w:rPr>
          <w:color w:val="000000"/>
          <w:szCs w:val="21"/>
          <w:u w:val="single" w:color="000000"/>
        </w:rPr>
        <w:t xml:space="preserve">  </w:t>
      </w:r>
      <w:r>
        <w:rPr>
          <w:color w:val="000000"/>
          <w:szCs w:val="21"/>
          <w:u w:color="000000"/>
        </w:rPr>
        <w:t>天内。</w:t>
      </w:r>
    </w:p>
    <w:p>
      <w:pPr>
        <w:snapToGrid w:val="0"/>
        <w:spacing w:before="119" w:line="331" w:lineRule="auto"/>
        <w:textAlignment w:val="baseline"/>
        <w:rPr>
          <w:color w:val="000000"/>
          <w:szCs w:val="21"/>
          <w:u w:color="000000"/>
        </w:rPr>
      </w:pPr>
    </w:p>
    <w:p>
      <w:pPr>
        <w:snapToGrid w:val="0"/>
        <w:spacing w:before="119" w:line="331" w:lineRule="auto"/>
        <w:textAlignment w:val="baseline"/>
        <w:rPr>
          <w:color w:val="000000"/>
          <w:sz w:val="24"/>
        </w:rPr>
      </w:pPr>
      <w:r>
        <w:rPr>
          <w:rFonts w:hint="eastAsia"/>
          <w:b/>
          <w:color w:val="000000"/>
          <w:sz w:val="24"/>
        </w:rPr>
        <w:t>附件一：</w:t>
      </w:r>
      <w:r>
        <w:rPr>
          <w:rFonts w:hint="eastAsia"/>
          <w:color w:val="000000"/>
          <w:sz w:val="24"/>
        </w:rPr>
        <w:t>设备清单</w:t>
      </w:r>
    </w:p>
    <w:p>
      <w:pPr>
        <w:snapToGrid w:val="0"/>
        <w:spacing w:before="119" w:line="331" w:lineRule="auto"/>
        <w:textAlignment w:val="baseline"/>
        <w:rPr>
          <w:color w:val="000000"/>
          <w:sz w:val="24"/>
        </w:rPr>
      </w:pPr>
    </w:p>
    <w:p>
      <w:pPr>
        <w:adjustRightInd w:val="0"/>
        <w:snapToGrid w:val="0"/>
        <w:spacing w:before="119" w:line="289" w:lineRule="atLeast"/>
        <w:rPr>
          <w:color w:val="000000"/>
          <w:sz w:val="24"/>
        </w:rPr>
      </w:pPr>
      <w:r>
        <w:rPr>
          <w:rFonts w:hint="eastAsia"/>
          <w:b/>
          <w:color w:val="000000"/>
          <w:sz w:val="24"/>
        </w:rPr>
        <w:t>附件二：</w:t>
      </w:r>
      <w:r>
        <w:rPr>
          <w:rFonts w:hint="eastAsia"/>
          <w:color w:val="000000"/>
          <w:sz w:val="24"/>
        </w:rPr>
        <w:t>售后服务承诺</w:t>
      </w:r>
    </w:p>
    <w:p>
      <w:pPr>
        <w:widowControl/>
        <w:rPr>
          <w:color w:val="000000"/>
          <w:sz w:val="24"/>
        </w:rPr>
      </w:pPr>
      <w:r>
        <w:rPr>
          <w:color w:val="000000"/>
          <w:sz w:val="24"/>
        </w:rPr>
        <w:br w:type="page"/>
      </w:r>
    </w:p>
    <w:p>
      <w:pPr>
        <w:pStyle w:val="4"/>
        <w:tabs>
          <w:tab w:val="left" w:pos="768"/>
          <w:tab w:val="center" w:pos="4585"/>
        </w:tabs>
        <w:jc w:val="left"/>
      </w:pPr>
      <w:r>
        <w:t>（</w:t>
      </w:r>
      <w:r>
        <w:rPr>
          <w:rFonts w:hint="eastAsia"/>
        </w:rPr>
        <w:t>四</w:t>
      </w:r>
      <w:r>
        <w:t xml:space="preserve">）合同附件格式 </w:t>
      </w:r>
    </w:p>
    <w:p>
      <w:pPr>
        <w:pStyle w:val="29"/>
        <w:spacing w:before="7"/>
        <w:rPr>
          <w:sz w:val="14"/>
        </w:rPr>
      </w:pPr>
    </w:p>
    <w:p>
      <w:pPr>
        <w:spacing w:before="71" w:line="360" w:lineRule="auto"/>
        <w:ind w:left="687" w:right="1497"/>
        <w:jc w:val="center"/>
      </w:pPr>
      <w:r>
        <w:t xml:space="preserve">履约保证金保函（格式） </w:t>
      </w:r>
    </w:p>
    <w:p>
      <w:pPr>
        <w:spacing w:before="71" w:line="360" w:lineRule="auto"/>
        <w:ind w:left="328"/>
        <w:rPr>
          <w:b/>
        </w:rPr>
      </w:pPr>
      <w:r>
        <w:t>编号：</w:t>
      </w:r>
      <w:r>
        <w:rPr>
          <w:b/>
          <w:w w:val="99"/>
        </w:rPr>
        <w:t xml:space="preserve"> </w:t>
      </w:r>
    </w:p>
    <w:p>
      <w:pPr>
        <w:pStyle w:val="29"/>
        <w:spacing w:before="4"/>
        <w:rPr>
          <w:b/>
          <w:sz w:val="26"/>
        </w:rPr>
      </w:pPr>
    </w:p>
    <w:p>
      <w:pPr>
        <w:pStyle w:val="29"/>
        <w:ind w:left="328"/>
      </w:pPr>
      <w:r>
        <w:t xml:space="preserve">（采购人）： </w:t>
      </w:r>
    </w:p>
    <w:p>
      <w:pPr>
        <w:pStyle w:val="29"/>
        <w:spacing w:before="9"/>
      </w:pPr>
    </w:p>
    <w:p>
      <w:pPr>
        <w:pStyle w:val="29"/>
        <w:ind w:left="328" w:right="1239" w:firstLine="480"/>
      </w:pPr>
      <w:r>
        <w:t>鉴于你方与（以下简称供应商）于年月日签定编号为的《</w:t>
      </w:r>
      <w:r>
        <w:rPr>
          <w:u w:val="single"/>
        </w:rPr>
        <w:t xml:space="preserve">     政府采购</w:t>
      </w:r>
      <w: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pPr>
        <w:spacing w:before="161" w:line="360" w:lineRule="auto"/>
        <w:ind w:left="810" w:right="1" w:hanging="483"/>
        <w:rPr>
          <w:b/>
          <w:sz w:val="24"/>
        </w:rPr>
      </w:pPr>
      <w:r>
        <w:rPr>
          <w:b/>
          <w:sz w:val="24"/>
        </w:rPr>
        <w:t xml:space="preserve">一、保证责任的情形及保证金额 </w:t>
      </w:r>
    </w:p>
    <w:p>
      <w:pPr>
        <w:pStyle w:val="29"/>
        <w:ind w:left="808"/>
      </w:pPr>
      <w:r>
        <w:t xml:space="preserve">（一）在供应商出现下列情形之一时，我方承担保证责任： </w:t>
      </w:r>
    </w:p>
    <w:p>
      <w:pPr>
        <w:pStyle w:val="420"/>
        <w:numPr>
          <w:ilvl w:val="0"/>
          <w:numId w:val="16"/>
        </w:numPr>
        <w:tabs>
          <w:tab w:val="left" w:pos="1170"/>
        </w:tabs>
        <w:autoSpaceDE w:val="0"/>
        <w:autoSpaceDN w:val="0"/>
        <w:spacing w:before="160" w:line="360" w:lineRule="auto"/>
        <w:ind w:right="1243" w:firstLine="480" w:firstLineChars="0"/>
        <w:jc w:val="left"/>
        <w:rPr>
          <w:sz w:val="24"/>
        </w:rPr>
      </w:pPr>
      <w:r>
        <w:rPr>
          <w:spacing w:val="-5"/>
          <w:sz w:val="24"/>
        </w:rPr>
        <w:t>将成交项目转让给他人，或者在响应文件中未说明，且未经采购人同意，将成交项</w:t>
      </w:r>
      <w:r>
        <w:rPr>
          <w:sz w:val="24"/>
        </w:rPr>
        <w:t xml:space="preserve">目分包给他人的； </w:t>
      </w:r>
    </w:p>
    <w:p>
      <w:pPr>
        <w:pStyle w:val="420"/>
        <w:numPr>
          <w:ilvl w:val="0"/>
          <w:numId w:val="16"/>
        </w:numPr>
        <w:tabs>
          <w:tab w:val="left" w:pos="1170"/>
        </w:tabs>
        <w:autoSpaceDE w:val="0"/>
        <w:autoSpaceDN w:val="0"/>
        <w:spacing w:before="1" w:line="360" w:lineRule="auto"/>
        <w:ind w:left="1169" w:hanging="362" w:firstLineChars="0"/>
        <w:jc w:val="left"/>
        <w:rPr>
          <w:sz w:val="24"/>
        </w:rPr>
      </w:pPr>
      <w:r>
        <w:rPr>
          <w:sz w:val="24"/>
        </w:rPr>
        <w:t xml:space="preserve">主合同约定的应当缴纳履约保证金的情形:  </w:t>
      </w:r>
    </w:p>
    <w:p>
      <w:pPr>
        <w:pStyle w:val="420"/>
        <w:numPr>
          <w:ilvl w:val="0"/>
          <w:numId w:val="17"/>
        </w:numPr>
        <w:tabs>
          <w:tab w:val="left" w:pos="1410"/>
        </w:tabs>
        <w:autoSpaceDE w:val="0"/>
        <w:autoSpaceDN w:val="0"/>
        <w:spacing w:before="161" w:line="360" w:lineRule="auto"/>
        <w:ind w:hanging="602" w:firstLineChars="0"/>
        <w:jc w:val="left"/>
        <w:rPr>
          <w:b/>
          <w:sz w:val="24"/>
        </w:rPr>
      </w:pPr>
      <w:r>
        <w:rPr>
          <w:sz w:val="24"/>
        </w:rPr>
        <w:t xml:space="preserve">未按主合同约定的质量、数量和期限供应货物/提供服务/完成工程的； </w:t>
      </w:r>
      <w:r>
        <w:rPr>
          <w:b/>
          <w:w w:val="99"/>
          <w:sz w:val="24"/>
        </w:rPr>
        <w:t xml:space="preserve"> </w:t>
      </w:r>
    </w:p>
    <w:p>
      <w:pPr>
        <w:pStyle w:val="420"/>
        <w:numPr>
          <w:ilvl w:val="0"/>
          <w:numId w:val="17"/>
        </w:numPr>
        <w:tabs>
          <w:tab w:val="left" w:pos="1410"/>
        </w:tabs>
        <w:autoSpaceDE w:val="0"/>
        <w:autoSpaceDN w:val="0"/>
        <w:spacing w:before="161" w:line="360" w:lineRule="auto"/>
        <w:ind w:hanging="602" w:firstLineChars="0"/>
        <w:jc w:val="left"/>
        <w:rPr>
          <w:sz w:val="24"/>
        </w:rPr>
      </w:pPr>
      <w:r>
        <w:rPr>
          <w:sz w:val="24"/>
        </w:rPr>
        <w:t xml:space="preserve">。 </w:t>
      </w:r>
    </w:p>
    <w:p>
      <w:pPr>
        <w:pStyle w:val="29"/>
        <w:spacing w:before="160"/>
        <w:ind w:left="808"/>
      </w:pPr>
      <w:r>
        <w:t>（二）我方的保证范围是主合同约定的合同价款总额的%数额为元（大写），币种为。</w:t>
      </w:r>
    </w:p>
    <w:p>
      <w:pPr>
        <w:spacing w:before="161" w:line="360" w:lineRule="auto"/>
        <w:ind w:left="810" w:right="7161" w:hanging="483"/>
        <w:rPr>
          <w:sz w:val="24"/>
        </w:rPr>
      </w:pPr>
      <w:r>
        <w:rPr>
          <w:sz w:val="24"/>
        </w:rPr>
        <w:t xml:space="preserve">（即主合同履约保证金金额）  </w:t>
      </w:r>
    </w:p>
    <w:p>
      <w:pPr>
        <w:spacing w:before="161" w:line="360" w:lineRule="auto"/>
        <w:ind w:left="810" w:right="1" w:hanging="483"/>
        <w:rPr>
          <w:b/>
          <w:sz w:val="24"/>
        </w:rPr>
      </w:pPr>
      <w:r>
        <w:rPr>
          <w:b/>
          <w:sz w:val="24"/>
        </w:rPr>
        <w:t>二、保证的方式及保证期间</w:t>
      </w:r>
      <w:r>
        <w:rPr>
          <w:b/>
          <w:w w:val="99"/>
          <w:sz w:val="24"/>
        </w:rPr>
        <w:t xml:space="preserve"> </w:t>
      </w:r>
    </w:p>
    <w:p>
      <w:pPr>
        <w:pStyle w:val="29"/>
        <w:spacing w:before="1"/>
        <w:ind w:left="808"/>
      </w:pPr>
      <w:r>
        <w:t xml:space="preserve">我方保证的方式为：连带责任保证。 </w:t>
      </w:r>
    </w:p>
    <w:p>
      <w:pPr>
        <w:pStyle w:val="29"/>
        <w:spacing w:before="160"/>
        <w:ind w:left="328" w:right="1241" w:firstLine="480"/>
      </w:pPr>
      <w:r>
        <w:rPr>
          <w:spacing w:val="-8"/>
        </w:rPr>
        <w:t>我方保证的期间为：自本合同生效之日起至供应商按照主合同约定的供货</w:t>
      </w:r>
      <w:r>
        <w:t>/</w:t>
      </w:r>
      <w:r>
        <w:rPr>
          <w:spacing w:val="-4"/>
        </w:rPr>
        <w:t>完工期限届</w:t>
      </w:r>
      <w:r>
        <w:t xml:space="preserve">满后日内。 </w:t>
      </w:r>
    </w:p>
    <w:p>
      <w:pPr>
        <w:pStyle w:val="29"/>
        <w:spacing w:before="2"/>
        <w:ind w:left="328" w:right="1241" w:firstLine="480"/>
      </w:pPr>
      <w:r>
        <w:t xml:space="preserve">如果供应商未按主合同约定向贵方供应货物/提供服务/完成工程的，由我方在保证金额内向你方支付上述款项。  </w:t>
      </w:r>
    </w:p>
    <w:p>
      <w:pPr>
        <w:spacing w:before="161" w:line="360" w:lineRule="auto"/>
        <w:ind w:left="810" w:right="1" w:hanging="483"/>
        <w:rPr>
          <w:b/>
          <w:sz w:val="24"/>
        </w:rPr>
      </w:pPr>
      <w:r>
        <w:rPr>
          <w:b/>
          <w:sz w:val="24"/>
        </w:rPr>
        <w:t xml:space="preserve">三、承担保证责任的程序 </w:t>
      </w:r>
    </w:p>
    <w:p>
      <w:pPr>
        <w:pStyle w:val="420"/>
        <w:numPr>
          <w:ilvl w:val="0"/>
          <w:numId w:val="18"/>
        </w:numPr>
        <w:tabs>
          <w:tab w:val="left" w:pos="1174"/>
        </w:tabs>
        <w:autoSpaceDE w:val="0"/>
        <w:autoSpaceDN w:val="0"/>
        <w:spacing w:before="161" w:line="360" w:lineRule="auto"/>
        <w:ind w:right="1127" w:firstLine="480" w:firstLineChars="0"/>
        <w:jc w:val="left"/>
        <w:rPr>
          <w:b/>
          <w:sz w:val="24"/>
        </w:rPr>
      </w:pPr>
      <w:r>
        <w:rPr>
          <w:spacing w:val="-1"/>
          <w:sz w:val="24"/>
        </w:rPr>
        <w:t>你方要求我方承担保证责任的，应在本保函保证期间内向我方发出书面索赔通知。</w:t>
      </w:r>
      <w:r>
        <w:rPr>
          <w:sz w:val="24"/>
        </w:rPr>
        <w:t>索赔通知应写明要求索赔的金额，支付款项应到达的帐号。并附有证明供应商违约事实的证明材料。</w:t>
      </w:r>
      <w:r>
        <w:rPr>
          <w:b/>
          <w:w w:val="99"/>
          <w:sz w:val="24"/>
        </w:rPr>
        <w:t xml:space="preserve"> </w:t>
      </w:r>
    </w:p>
    <w:p>
      <w:pPr>
        <w:pStyle w:val="29"/>
        <w:spacing w:before="2"/>
        <w:ind w:left="328" w:right="1244" w:firstLine="480"/>
      </w:pPr>
      <w:r>
        <w:rPr>
          <w:spacing w:val="-1"/>
        </w:rPr>
        <w:t>如果你方与供应商因货物质量问题产生争议，你方还需同时提供部门出具的质量检测</w:t>
      </w:r>
      <w:r>
        <w:t>报告，或经诉讼（仲裁）</w:t>
      </w:r>
      <w:r>
        <w:rPr>
          <w:spacing w:val="-1"/>
        </w:rPr>
        <w:t>程序裁决后的裁决书、调解书，本保证人即按照检测结果或裁决</w:t>
      </w:r>
      <w:r>
        <w:t xml:space="preserve">书、调解书决定是否承担保证责任。 </w:t>
      </w:r>
    </w:p>
    <w:p>
      <w:pPr>
        <w:pStyle w:val="420"/>
        <w:numPr>
          <w:ilvl w:val="0"/>
          <w:numId w:val="18"/>
        </w:numPr>
        <w:tabs>
          <w:tab w:val="left" w:pos="1170"/>
        </w:tabs>
        <w:autoSpaceDE w:val="0"/>
        <w:autoSpaceDN w:val="0"/>
        <w:spacing w:before="161" w:line="360" w:lineRule="auto"/>
        <w:ind w:right="1242" w:firstLine="480" w:firstLineChars="0"/>
        <w:jc w:val="left"/>
        <w:rPr>
          <w:sz w:val="24"/>
        </w:rPr>
      </w:pPr>
      <w:r>
        <w:rPr>
          <w:spacing w:val="-2"/>
          <w:sz w:val="24"/>
        </w:rPr>
        <w:t>我方收到你方的书面索赔通知及相应证明材料，在工作日内进行核定后按照本保</w:t>
      </w:r>
      <w:r>
        <w:rPr>
          <w:spacing w:val="-4"/>
          <w:sz w:val="24"/>
        </w:rPr>
        <w:t xml:space="preserve">函的承诺承担保证责任。 </w:t>
      </w:r>
    </w:p>
    <w:p>
      <w:pPr>
        <w:spacing w:before="161" w:line="360" w:lineRule="auto"/>
        <w:ind w:left="810" w:right="1" w:hanging="483"/>
        <w:rPr>
          <w:b/>
          <w:sz w:val="24"/>
        </w:rPr>
      </w:pPr>
      <w:r>
        <w:rPr>
          <w:b/>
          <w:sz w:val="24"/>
        </w:rPr>
        <w:t xml:space="preserve">四、保证责任的终止 </w:t>
      </w:r>
    </w:p>
    <w:p>
      <w:pPr>
        <w:pStyle w:val="420"/>
        <w:numPr>
          <w:ilvl w:val="0"/>
          <w:numId w:val="19"/>
        </w:numPr>
        <w:tabs>
          <w:tab w:val="left" w:pos="1170"/>
        </w:tabs>
        <w:autoSpaceDE w:val="0"/>
        <w:autoSpaceDN w:val="0"/>
        <w:spacing w:before="161" w:line="360" w:lineRule="auto"/>
        <w:ind w:right="1239" w:firstLine="480" w:firstLineChars="0"/>
        <w:rPr>
          <w:sz w:val="24"/>
        </w:rPr>
      </w:pPr>
      <w:r>
        <w:rPr>
          <w:spacing w:val="-3"/>
          <w:sz w:val="24"/>
        </w:rPr>
        <w:t>保证期间届满你方未向我方书面主张保证责任的，自保证期间届满次日起，我方保</w:t>
      </w:r>
      <w:r>
        <w:rPr>
          <w:sz w:val="24"/>
        </w:rPr>
        <w:t>证责任自动终止。保证期间届满前，主合同约定的货物\工程\</w:t>
      </w:r>
      <w:r>
        <w:rPr>
          <w:spacing w:val="-2"/>
          <w:sz w:val="24"/>
        </w:rPr>
        <w:t>服务全部验收合格的，自验</w:t>
      </w:r>
      <w:r>
        <w:rPr>
          <w:sz w:val="24"/>
        </w:rPr>
        <w:t xml:space="preserve">收合格日起，我方保证责任自动终止。 </w:t>
      </w:r>
    </w:p>
    <w:p>
      <w:pPr>
        <w:pStyle w:val="420"/>
        <w:numPr>
          <w:ilvl w:val="0"/>
          <w:numId w:val="19"/>
        </w:numPr>
        <w:tabs>
          <w:tab w:val="left" w:pos="1170"/>
        </w:tabs>
        <w:autoSpaceDE w:val="0"/>
        <w:autoSpaceDN w:val="0"/>
        <w:spacing w:before="2" w:line="360" w:lineRule="auto"/>
        <w:ind w:right="1240" w:firstLine="480" w:firstLineChars="0"/>
        <w:jc w:val="left"/>
        <w:rPr>
          <w:sz w:val="24"/>
        </w:rPr>
      </w:pPr>
      <w:r>
        <w:rPr>
          <w:spacing w:val="-3"/>
          <w:sz w:val="24"/>
        </w:rPr>
        <w:t>我方按照本保函向你方履行了保证责任后，自我方向你方支付款项</w:t>
      </w:r>
      <w:r>
        <w:rPr>
          <w:sz w:val="24"/>
        </w:rPr>
        <w:t>（</w:t>
      </w:r>
      <w:r>
        <w:rPr>
          <w:spacing w:val="-3"/>
          <w:sz w:val="24"/>
        </w:rPr>
        <w:t>支付款项从我</w:t>
      </w:r>
      <w:r>
        <w:rPr>
          <w:sz w:val="24"/>
        </w:rPr>
        <w:t xml:space="preserve">方账户划出）之日起，保证责任即终止。 </w:t>
      </w:r>
    </w:p>
    <w:p>
      <w:pPr>
        <w:pStyle w:val="420"/>
        <w:numPr>
          <w:ilvl w:val="0"/>
          <w:numId w:val="19"/>
        </w:numPr>
        <w:tabs>
          <w:tab w:val="left" w:pos="1170"/>
        </w:tabs>
        <w:autoSpaceDE w:val="0"/>
        <w:autoSpaceDN w:val="0"/>
        <w:spacing w:before="1" w:line="360" w:lineRule="auto"/>
        <w:ind w:right="1243" w:firstLine="480" w:firstLineChars="0"/>
        <w:jc w:val="left"/>
        <w:rPr>
          <w:sz w:val="24"/>
        </w:rPr>
      </w:pPr>
      <w:r>
        <w:rPr>
          <w:spacing w:val="-2"/>
          <w:sz w:val="24"/>
        </w:rPr>
        <w:t>按照法律法规的规定或出现应终止我方保证责任的其它情形的，我方在本保函项</w:t>
      </w:r>
      <w:r>
        <w:rPr>
          <w:spacing w:val="-4"/>
          <w:sz w:val="24"/>
        </w:rPr>
        <w:t xml:space="preserve">下的保证责任亦终止。 </w:t>
      </w:r>
    </w:p>
    <w:p>
      <w:pPr>
        <w:pStyle w:val="420"/>
        <w:numPr>
          <w:ilvl w:val="0"/>
          <w:numId w:val="19"/>
        </w:numPr>
        <w:tabs>
          <w:tab w:val="left" w:pos="1170"/>
        </w:tabs>
        <w:autoSpaceDE w:val="0"/>
        <w:autoSpaceDN w:val="0"/>
        <w:spacing w:before="1" w:line="360" w:lineRule="auto"/>
        <w:ind w:right="1241" w:firstLine="480" w:firstLineChars="0"/>
        <w:rPr>
          <w:sz w:val="24"/>
        </w:rPr>
      </w:pPr>
      <w:r>
        <w:rPr>
          <w:spacing w:val="-14"/>
          <w:sz w:val="24"/>
        </w:rPr>
        <w:t>你方与供应商修改主合同，加重我方保证责任的，我方对加重部分不承担保证责任</w:t>
      </w:r>
      <w:r>
        <w:rPr>
          <w:spacing w:val="-13"/>
          <w:sz w:val="24"/>
        </w:rPr>
        <w:t>，但该等修改事先经我方书面同意的除外；你方与供应商修改主合同履行期限，我方保证</w:t>
      </w:r>
      <w:r>
        <w:rPr>
          <w:spacing w:val="-4"/>
          <w:sz w:val="24"/>
        </w:rPr>
        <w:t xml:space="preserve">期间仍依修改前的履行期限计算，但该等修改事先经我方书面同意的除外。 </w:t>
      </w:r>
    </w:p>
    <w:p>
      <w:pPr>
        <w:spacing w:before="2" w:line="360" w:lineRule="auto"/>
        <w:ind w:left="808" w:right="1774" w:firstLine="2"/>
        <w:rPr>
          <w:sz w:val="24"/>
        </w:rPr>
      </w:pPr>
      <w:r>
        <w:rPr>
          <w:b/>
          <w:sz w:val="24"/>
        </w:rPr>
        <w:t xml:space="preserve">五、免责条款                                                       </w:t>
      </w:r>
      <w:r>
        <w:rPr>
          <w:sz w:val="24"/>
        </w:rPr>
        <w:t xml:space="preserve">1．因你方违反主合同约定致使供应商不能履行义务的，我方不承担保证责任。 </w:t>
      </w:r>
    </w:p>
    <w:p>
      <w:pPr>
        <w:pStyle w:val="420"/>
        <w:numPr>
          <w:ilvl w:val="0"/>
          <w:numId w:val="20"/>
        </w:numPr>
        <w:tabs>
          <w:tab w:val="left" w:pos="1170"/>
        </w:tabs>
        <w:autoSpaceDE w:val="0"/>
        <w:autoSpaceDN w:val="0"/>
        <w:spacing w:before="2" w:line="360" w:lineRule="auto"/>
        <w:ind w:right="1243" w:firstLine="480" w:firstLineChars="0"/>
        <w:jc w:val="left"/>
        <w:rPr>
          <w:b/>
          <w:sz w:val="24"/>
        </w:rPr>
      </w:pPr>
      <w:r>
        <w:rPr>
          <w:spacing w:val="-2"/>
          <w:sz w:val="24"/>
        </w:rPr>
        <w:t>依照法律法规的规定或你方与供应商的另行约定，全部或者部分免除供应商应缴</w:t>
      </w:r>
      <w:r>
        <w:rPr>
          <w:spacing w:val="-4"/>
          <w:sz w:val="24"/>
        </w:rPr>
        <w:t>纳的保证金义务的，我方亦免除相应的保证责任。</w:t>
      </w:r>
      <w:r>
        <w:rPr>
          <w:b/>
          <w:spacing w:val="-4"/>
          <w:w w:val="99"/>
          <w:sz w:val="24"/>
        </w:rPr>
        <w:t xml:space="preserve"> </w:t>
      </w:r>
    </w:p>
    <w:p>
      <w:pPr>
        <w:pStyle w:val="420"/>
        <w:numPr>
          <w:ilvl w:val="0"/>
          <w:numId w:val="20"/>
        </w:numPr>
        <w:tabs>
          <w:tab w:val="left" w:pos="1170"/>
        </w:tabs>
        <w:autoSpaceDE w:val="0"/>
        <w:autoSpaceDN w:val="0"/>
        <w:spacing w:before="1" w:line="360" w:lineRule="auto"/>
        <w:ind w:left="1169" w:hanging="362" w:firstLineChars="0"/>
        <w:jc w:val="left"/>
        <w:rPr>
          <w:sz w:val="24"/>
        </w:rPr>
      </w:pPr>
      <w:r>
        <w:rPr>
          <w:sz w:val="24"/>
        </w:rPr>
        <w:t xml:space="preserve">因不可抗力造成供应商不能履行供货义务的，我方不承担保证责任。 </w:t>
      </w:r>
    </w:p>
    <w:p>
      <w:pPr>
        <w:spacing w:before="161" w:line="360" w:lineRule="auto"/>
        <w:ind w:left="810" w:right="1" w:hanging="483"/>
        <w:rPr>
          <w:b/>
          <w:sz w:val="24"/>
        </w:rPr>
      </w:pPr>
      <w:r>
        <w:rPr>
          <w:b/>
          <w:sz w:val="24"/>
        </w:rPr>
        <w:t xml:space="preserve">六、争议的解决 </w:t>
      </w:r>
    </w:p>
    <w:p>
      <w:pPr>
        <w:pStyle w:val="29"/>
        <w:ind w:left="328" w:right="1246" w:firstLine="480"/>
      </w:pPr>
      <w:r>
        <w:rPr>
          <w:spacing w:val="-1"/>
        </w:rPr>
        <w:t>因本保函发生的纠纷，由你我双方协商解决，协商不成的，通过诉讼程序解决，诉讼</w:t>
      </w:r>
      <w:r>
        <w:t xml:space="preserve">管辖地法院为法院。 </w:t>
      </w:r>
    </w:p>
    <w:p>
      <w:pPr>
        <w:spacing w:before="161" w:line="360" w:lineRule="auto"/>
        <w:ind w:left="810" w:right="1" w:hanging="483"/>
        <w:rPr>
          <w:b/>
          <w:sz w:val="24"/>
        </w:rPr>
      </w:pPr>
      <w:r>
        <w:rPr>
          <w:b/>
          <w:sz w:val="24"/>
        </w:rPr>
        <w:t xml:space="preserve">七、保函的生效 </w:t>
      </w:r>
    </w:p>
    <w:p>
      <w:pPr>
        <w:pStyle w:val="29"/>
        <w:spacing w:before="160"/>
        <w:ind w:left="808"/>
      </w:pPr>
      <w:r>
        <w:t xml:space="preserve">本保函自我方加盖公章之日起生效。 </w:t>
      </w:r>
    </w:p>
    <w:p>
      <w:pPr>
        <w:pStyle w:val="29"/>
        <w:ind w:left="3621"/>
      </w:pPr>
      <w:r>
        <w:t xml:space="preserve">                                  </w:t>
      </w:r>
      <w:r>
        <w:rPr>
          <w:spacing w:val="1"/>
        </w:rPr>
        <w:t xml:space="preserve"> </w:t>
      </w:r>
      <w:r>
        <w:t xml:space="preserve">保证人：（公章）          </w:t>
      </w:r>
    </w:p>
    <w:p>
      <w:pPr>
        <w:widowControl/>
        <w:jc w:val="right"/>
        <w:rPr>
          <w:rFonts w:ascii="宋体" w:hAnsi="宋体" w:cs="宋体"/>
          <w:sz w:val="24"/>
        </w:rPr>
      </w:pPr>
      <w:r>
        <w:t xml:space="preserve">                                   </w:t>
      </w:r>
      <w:r>
        <w:rPr>
          <w:spacing w:val="1"/>
        </w:rPr>
        <w:t xml:space="preserve"> </w:t>
      </w:r>
      <w:r>
        <w:t>年   月   日</w:t>
      </w:r>
      <w:r>
        <w:rPr>
          <w:rFonts w:ascii="宋体" w:hAnsi="宋体" w:cs="宋体"/>
          <w:sz w:val="24"/>
        </w:rPr>
        <w:br w:type="page"/>
      </w:r>
    </w:p>
    <w:p>
      <w:pPr>
        <w:widowControl/>
        <w:jc w:val="left"/>
        <w:rPr>
          <w:rFonts w:ascii="宋体" w:hAnsi="宋体" w:cs="宋体"/>
          <w:sz w:val="24"/>
        </w:rPr>
      </w:pP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175" w:name="_Toc61594801"/>
      <w:r>
        <w:rPr>
          <w:rFonts w:hint="eastAsia" w:ascii="宋体" w:hAnsi="宋体" w:cs="黑体"/>
          <w:b/>
          <w:bCs/>
          <w:kern w:val="0"/>
          <w:sz w:val="32"/>
          <w:szCs w:val="32"/>
        </w:rPr>
        <w:t>第五章 采购需求</w:t>
      </w:r>
      <w:bookmarkEnd w:id="175"/>
    </w:p>
    <w:p>
      <w:pPr>
        <w:autoSpaceDE w:val="0"/>
        <w:autoSpaceDN w:val="0"/>
        <w:adjustRightInd w:val="0"/>
        <w:snapToGrid w:val="0"/>
        <w:spacing w:after="156" w:afterLines="50"/>
        <w:jc w:val="left"/>
        <w:outlineLvl w:val="1"/>
        <w:rPr>
          <w:rFonts w:ascii="宋体" w:hAnsi="宋体" w:cs="黑体"/>
          <w:kern w:val="0"/>
          <w:sz w:val="28"/>
          <w:szCs w:val="28"/>
        </w:rPr>
      </w:pPr>
      <w:r>
        <w:rPr>
          <w:rFonts w:hint="eastAsia" w:ascii="宋体" w:hAnsi="宋体" w:cs="黑体"/>
          <w:kern w:val="0"/>
          <w:sz w:val="28"/>
          <w:szCs w:val="28"/>
        </w:rPr>
        <w:t>（一）项目基本概况</w:t>
      </w:r>
    </w:p>
    <w:p>
      <w:pPr>
        <w:spacing w:line="360" w:lineRule="auto"/>
        <w:ind w:left="840" w:leftChars="400"/>
        <w:rPr>
          <w:rFonts w:ascii="宋体" w:hAnsi="宋体"/>
          <w:szCs w:val="21"/>
        </w:rPr>
      </w:pPr>
      <w:r>
        <w:rPr>
          <w:rFonts w:hint="eastAsia" w:ascii="宋体" w:hAnsi="宋体"/>
          <w:szCs w:val="21"/>
        </w:rPr>
        <w:t>项目名称：中国劳动关系学院北京校区四六级广播设备购置项目</w:t>
      </w:r>
      <w:r>
        <w:rPr>
          <w:rFonts w:ascii="宋体" w:hAnsi="宋体"/>
          <w:szCs w:val="21"/>
        </w:rPr>
        <w:t xml:space="preserve">                                    </w:t>
      </w:r>
    </w:p>
    <w:p>
      <w:pPr>
        <w:spacing w:line="360" w:lineRule="auto"/>
        <w:ind w:left="840" w:leftChars="400"/>
        <w:rPr>
          <w:rFonts w:ascii="宋体" w:hAnsi="宋体"/>
          <w:szCs w:val="21"/>
        </w:rPr>
      </w:pPr>
      <w:r>
        <w:rPr>
          <w:rFonts w:hint="eastAsia" w:ascii="宋体" w:hAnsi="宋体"/>
          <w:szCs w:val="21"/>
        </w:rPr>
        <w:t>预算金额/最高限价/招标控制价：</w:t>
      </w:r>
      <w:r>
        <w:rPr>
          <w:rFonts w:ascii="宋体" w:hAnsi="宋体"/>
          <w:szCs w:val="21"/>
        </w:rPr>
        <w:t xml:space="preserve">18.45万元                   </w:t>
      </w:r>
    </w:p>
    <w:p>
      <w:pPr>
        <w:spacing w:line="360" w:lineRule="auto"/>
        <w:ind w:left="840" w:leftChars="400"/>
        <w:rPr>
          <w:rFonts w:ascii="宋体" w:hAnsi="宋体"/>
          <w:szCs w:val="21"/>
        </w:rPr>
      </w:pPr>
      <w:r>
        <w:rPr>
          <w:rFonts w:hint="eastAsia" w:ascii="宋体" w:hAnsi="宋体"/>
          <w:szCs w:val="21"/>
        </w:rPr>
        <w:t>采购内容：为了保证英语四六级考试及其他考试项目的广播播放，特购置一批广播系统，为考场播放广播及听力测试提供保障。</w:t>
      </w:r>
      <w:r>
        <w:rPr>
          <w:rFonts w:ascii="宋体" w:hAnsi="宋体"/>
          <w:szCs w:val="21"/>
        </w:rPr>
        <w:t xml:space="preserve">                    </w:t>
      </w:r>
    </w:p>
    <w:p>
      <w:pPr>
        <w:autoSpaceDE w:val="0"/>
        <w:autoSpaceDN w:val="0"/>
        <w:adjustRightInd w:val="0"/>
        <w:snapToGrid w:val="0"/>
        <w:spacing w:after="156" w:afterLines="50"/>
        <w:jc w:val="left"/>
        <w:outlineLvl w:val="1"/>
        <w:rPr>
          <w:rFonts w:ascii="宋体" w:hAnsi="宋体" w:cs="黑体"/>
          <w:kern w:val="0"/>
          <w:sz w:val="28"/>
          <w:szCs w:val="28"/>
        </w:rPr>
      </w:pPr>
      <w:r>
        <w:rPr>
          <w:rFonts w:hint="eastAsia" w:ascii="宋体" w:hAnsi="宋体" w:cs="黑体"/>
          <w:kern w:val="0"/>
          <w:sz w:val="28"/>
          <w:szCs w:val="28"/>
        </w:rPr>
        <w:t>（二）</w:t>
      </w:r>
      <w:r>
        <w:rPr>
          <w:rFonts w:hint="eastAsia" w:ascii="宋体" w:hAnsi="宋体" w:cs="宋体"/>
          <w:color w:val="000000"/>
          <w:kern w:val="0"/>
          <w:szCs w:val="21"/>
        </w:rPr>
        <w:t>★</w:t>
      </w:r>
      <w:r>
        <w:rPr>
          <w:rFonts w:hint="eastAsia" w:ascii="宋体" w:hAnsi="宋体" w:cs="黑体"/>
          <w:kern w:val="0"/>
          <w:sz w:val="28"/>
          <w:szCs w:val="28"/>
        </w:rPr>
        <w:t>商务和服务要求</w:t>
      </w:r>
    </w:p>
    <w:tbl>
      <w:tblPr>
        <w:tblStyle w:val="73"/>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22"/>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8" w:type="dxa"/>
            <w:vAlign w:val="center"/>
          </w:tcPr>
          <w:p>
            <w:pPr>
              <w:spacing w:line="360" w:lineRule="auto"/>
              <w:jc w:val="center"/>
              <w:rPr>
                <w:rFonts w:ascii="宋体" w:hAnsi="宋体" w:cs="宋体"/>
                <w:b/>
                <w:snapToGrid w:val="0"/>
                <w:kern w:val="0"/>
                <w:szCs w:val="21"/>
                <w:lang w:val="zh-CN"/>
              </w:rPr>
            </w:pPr>
            <w:r>
              <w:rPr>
                <w:rFonts w:ascii="宋体" w:hAnsi="宋体"/>
                <w:szCs w:val="21"/>
              </w:rPr>
              <w:t>序号</w:t>
            </w:r>
          </w:p>
        </w:tc>
        <w:tc>
          <w:tcPr>
            <w:tcW w:w="2022" w:type="dxa"/>
            <w:vAlign w:val="center"/>
          </w:tcPr>
          <w:p>
            <w:pPr>
              <w:spacing w:line="360" w:lineRule="auto"/>
              <w:jc w:val="center"/>
              <w:rPr>
                <w:rFonts w:ascii="宋体" w:hAnsi="宋体" w:cs="宋体"/>
                <w:b/>
                <w:snapToGrid w:val="0"/>
                <w:kern w:val="0"/>
                <w:szCs w:val="21"/>
                <w:lang w:val="zh-CN"/>
              </w:rPr>
            </w:pPr>
            <w:r>
              <w:rPr>
                <w:rFonts w:ascii="宋体" w:hAnsi="宋体"/>
                <w:szCs w:val="21"/>
              </w:rPr>
              <w:t>商务和服务项目</w:t>
            </w:r>
          </w:p>
        </w:tc>
        <w:tc>
          <w:tcPr>
            <w:tcW w:w="6379" w:type="dxa"/>
            <w:vAlign w:val="center"/>
          </w:tcPr>
          <w:p>
            <w:pPr>
              <w:spacing w:line="360" w:lineRule="auto"/>
              <w:jc w:val="center"/>
              <w:rPr>
                <w:rFonts w:ascii="宋体" w:hAnsi="宋体" w:cs="宋体"/>
                <w:b/>
                <w:snapToGrid w:val="0"/>
                <w:kern w:val="0"/>
                <w:szCs w:val="21"/>
                <w:lang w:val="zh-CN"/>
              </w:rPr>
            </w:pPr>
            <w:r>
              <w:rPr>
                <w:rFonts w:ascii="宋体" w:hAnsi="宋体"/>
                <w:szCs w:val="21"/>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8" w:type="dxa"/>
            <w:vAlign w:val="center"/>
          </w:tcPr>
          <w:p>
            <w:pPr>
              <w:spacing w:line="360" w:lineRule="auto"/>
              <w:jc w:val="center"/>
              <w:rPr>
                <w:rFonts w:ascii="宋体" w:hAnsi="宋体" w:cs="宋体"/>
                <w:snapToGrid w:val="0"/>
                <w:kern w:val="0"/>
                <w:szCs w:val="21"/>
                <w:lang w:val="zh-CN"/>
              </w:rPr>
            </w:pPr>
            <w:bookmarkStart w:id="176" w:name="_Hlk97205895"/>
            <w:r>
              <w:rPr>
                <w:rFonts w:ascii="宋体" w:hAnsi="宋体"/>
                <w:szCs w:val="21"/>
              </w:rPr>
              <w:t>1</w:t>
            </w:r>
          </w:p>
        </w:tc>
        <w:tc>
          <w:tcPr>
            <w:tcW w:w="2022" w:type="dxa"/>
            <w:vAlign w:val="center"/>
          </w:tcPr>
          <w:p>
            <w:pPr>
              <w:spacing w:line="360" w:lineRule="auto"/>
              <w:jc w:val="center"/>
              <w:rPr>
                <w:rFonts w:ascii="宋体" w:hAnsi="宋体" w:cs="宋体"/>
                <w:snapToGrid w:val="0"/>
                <w:kern w:val="0"/>
                <w:szCs w:val="21"/>
              </w:rPr>
            </w:pPr>
            <w:r>
              <w:rPr>
                <w:rFonts w:hint="eastAsia" w:ascii="宋体" w:hAnsi="宋体"/>
                <w:szCs w:val="21"/>
              </w:rPr>
              <w:t>交货时间</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签订合同后的</w:t>
            </w:r>
            <w:r>
              <w:rPr>
                <w:rFonts w:ascii="宋体" w:hAnsi="宋体" w:cs="宋体"/>
                <w:snapToGrid w:val="0"/>
                <w:kern w:val="0"/>
                <w:szCs w:val="21"/>
                <w:lang w:val="zh-CN"/>
              </w:rPr>
              <w:t>20个日历日内完成供货，30个日历日内完成安装调试</w:t>
            </w:r>
            <w:r>
              <w:rPr>
                <w:rFonts w:hint="eastAsia" w:ascii="宋体" w:hAnsi="宋体" w:cs="宋体"/>
                <w:snapToGrid w:val="0"/>
                <w:kern w:val="0"/>
                <w:szCs w:val="21"/>
                <w:lang w:val="zh-CN"/>
              </w:rPr>
              <w:t>。</w:t>
            </w:r>
          </w:p>
        </w:tc>
      </w:tr>
      <w:bookmark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2</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质保期</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质保期：</w:t>
            </w:r>
            <w:r>
              <w:rPr>
                <w:rFonts w:ascii="宋体" w:hAnsi="宋体" w:cs="宋体"/>
                <w:snapToGrid w:val="0"/>
                <w:kern w:val="0"/>
                <w:szCs w:val="21"/>
                <w:lang w:val="zh-CN"/>
              </w:rPr>
              <w:t>3</w:t>
            </w:r>
            <w:r>
              <w:rPr>
                <w:rFonts w:hint="eastAsia" w:ascii="宋体" w:hAnsi="宋体" w:cs="宋体"/>
                <w:snapToGrid w:val="0"/>
                <w:kern w:val="0"/>
                <w:szCs w:val="21"/>
                <w:lang w:val="zh-CN"/>
              </w:rPr>
              <w:t>年（自验收合格、双方签署验收书之日起开始计算）</w:t>
            </w:r>
          </w:p>
          <w:p>
            <w:pPr>
              <w:spacing w:line="360" w:lineRule="auto"/>
              <w:rPr>
                <w:rFonts w:ascii="宋体" w:hAnsi="宋体"/>
                <w:szCs w:val="21"/>
              </w:rPr>
            </w:pPr>
            <w:r>
              <w:rPr>
                <w:rFonts w:ascii="宋体" w:hAnsi="宋体"/>
                <w:szCs w:val="21"/>
              </w:rPr>
              <w:t>质保期内售后服务要求</w:t>
            </w:r>
            <w:r>
              <w:rPr>
                <w:rFonts w:hint="eastAsia" w:ascii="宋体" w:hAnsi="宋体"/>
                <w:szCs w:val="21"/>
              </w:rPr>
              <w:t>：</w:t>
            </w:r>
          </w:p>
          <w:p>
            <w:pPr>
              <w:spacing w:line="360" w:lineRule="auto"/>
              <w:rPr>
                <w:rFonts w:ascii="宋体" w:hAnsi="宋体"/>
                <w:szCs w:val="21"/>
              </w:rPr>
            </w:pPr>
            <w:r>
              <w:rPr>
                <w:rFonts w:ascii="宋体" w:hAnsi="宋体"/>
                <w:szCs w:val="21"/>
              </w:rPr>
              <w:t>1所有产品均需提供至少</w:t>
            </w:r>
            <w:r>
              <w:rPr>
                <w:rFonts w:hint="eastAsia" w:ascii="宋体" w:hAnsi="宋体"/>
                <w:szCs w:val="21"/>
              </w:rPr>
              <w:t>3</w:t>
            </w:r>
            <w:r>
              <w:rPr>
                <w:rFonts w:ascii="宋体" w:hAnsi="宋体"/>
                <w:szCs w:val="21"/>
              </w:rPr>
              <w:t>年的免费维修保养服务、系统技术支持及升级服务。免费质保期和系统技术支持自本项目验收签字之日计起。</w:t>
            </w:r>
          </w:p>
          <w:p>
            <w:pPr>
              <w:spacing w:line="360" w:lineRule="auto"/>
              <w:rPr>
                <w:rFonts w:ascii="宋体" w:hAnsi="宋体"/>
                <w:szCs w:val="21"/>
              </w:rPr>
            </w:pPr>
            <w:r>
              <w:rPr>
                <w:rFonts w:ascii="宋体" w:hAnsi="宋体"/>
                <w:szCs w:val="21"/>
              </w:rPr>
              <w:t>2质保期内，提供7*24小时热线支持，接到维修通知后应在</w:t>
            </w:r>
            <w:r>
              <w:rPr>
                <w:rFonts w:hint="eastAsia" w:ascii="宋体" w:hAnsi="宋体"/>
                <w:szCs w:val="21"/>
              </w:rPr>
              <w:t>2小时</w:t>
            </w:r>
            <w:r>
              <w:rPr>
                <w:rFonts w:ascii="宋体" w:hAnsi="宋体"/>
                <w:szCs w:val="21"/>
              </w:rPr>
              <w:t>内派人到现场排除故障；在检修4小时后仍无法解决问题的设备，应在24小时内提供不低于故障设备规格型号档次的替代设备。</w:t>
            </w:r>
          </w:p>
          <w:p>
            <w:pPr>
              <w:spacing w:line="360" w:lineRule="auto"/>
              <w:rPr>
                <w:rFonts w:ascii="宋体" w:hAnsi="宋体"/>
                <w:szCs w:val="21"/>
              </w:rPr>
            </w:pPr>
            <w:r>
              <w:rPr>
                <w:rFonts w:ascii="宋体" w:hAnsi="宋体"/>
                <w:szCs w:val="21"/>
              </w:rPr>
              <w:t>3</w:t>
            </w:r>
            <w:r>
              <w:rPr>
                <w:rFonts w:hint="eastAsia" w:ascii="宋体" w:hAnsi="宋体"/>
                <w:szCs w:val="21"/>
              </w:rPr>
              <w:t>响应单位</w:t>
            </w:r>
            <w:r>
              <w:rPr>
                <w:rFonts w:ascii="宋体" w:hAnsi="宋体"/>
                <w:szCs w:val="21"/>
              </w:rPr>
              <w:t>应指定专人/组提供全方位技术支持，其中至少有1人全程参与调试，提供支持专线和技术人员联络方式。</w:t>
            </w:r>
          </w:p>
          <w:p>
            <w:pPr>
              <w:spacing w:line="360" w:lineRule="auto"/>
              <w:rPr>
                <w:rFonts w:ascii="宋体" w:hAnsi="宋体"/>
                <w:szCs w:val="21"/>
              </w:rPr>
            </w:pPr>
            <w:r>
              <w:rPr>
                <w:rFonts w:ascii="宋体" w:hAnsi="宋体"/>
                <w:szCs w:val="21"/>
              </w:rPr>
              <w:t>4质保期内，所有设备维修均为上门服务，即由</w:t>
            </w:r>
            <w:r>
              <w:rPr>
                <w:rFonts w:hint="eastAsia" w:ascii="宋体" w:hAnsi="宋体"/>
                <w:szCs w:val="21"/>
              </w:rPr>
              <w:t>响应单位</w:t>
            </w:r>
            <w:r>
              <w:rPr>
                <w:rFonts w:ascii="宋体" w:hAnsi="宋体"/>
                <w:szCs w:val="21"/>
              </w:rPr>
              <w:t>派人员到</w:t>
            </w:r>
            <w:r>
              <w:rPr>
                <w:rFonts w:hint="eastAsia" w:ascii="宋体" w:hAnsi="宋体"/>
                <w:szCs w:val="21"/>
              </w:rPr>
              <w:t>采购</w:t>
            </w:r>
            <w:r>
              <w:rPr>
                <w:rFonts w:ascii="宋体" w:hAnsi="宋体"/>
                <w:szCs w:val="21"/>
              </w:rPr>
              <w:t>方设备使用现场维修，由此产生的费用均由</w:t>
            </w:r>
            <w:r>
              <w:rPr>
                <w:rFonts w:hint="eastAsia" w:ascii="宋体" w:hAnsi="宋体"/>
                <w:szCs w:val="21"/>
              </w:rPr>
              <w:t>成交单位</w:t>
            </w:r>
            <w:r>
              <w:rPr>
                <w:rFonts w:ascii="宋体" w:hAnsi="宋体"/>
                <w:szCs w:val="21"/>
              </w:rPr>
              <w:t>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3</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售后技术服务要求</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供应商负责运输安装到采购人指定位置，并提供软硬件设备安装、设备调试等集成服务；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4</w:t>
            </w:r>
          </w:p>
        </w:tc>
        <w:tc>
          <w:tcPr>
            <w:tcW w:w="2022" w:type="dxa"/>
            <w:vAlign w:val="center"/>
          </w:tcPr>
          <w:p>
            <w:pPr>
              <w:spacing w:line="360" w:lineRule="auto"/>
              <w:jc w:val="center"/>
              <w:rPr>
                <w:rFonts w:ascii="宋体" w:hAnsi="宋体" w:cs="宋体"/>
                <w:snapToGrid w:val="0"/>
                <w:kern w:val="0"/>
                <w:szCs w:val="21"/>
              </w:rPr>
            </w:pPr>
            <w:r>
              <w:rPr>
                <w:rFonts w:hint="eastAsia" w:ascii="宋体" w:hAnsi="宋体"/>
                <w:szCs w:val="21"/>
              </w:rPr>
              <w:t>交货地点</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5</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培训</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需对其提供产品的使用和操作应尽培训义务。应提供基本免费培训，使用方使用人员能够正常操作。应明确承诺培训时间不少于两天，培训讲师不少于</w:t>
            </w:r>
            <w:r>
              <w:rPr>
                <w:rFonts w:ascii="宋体" w:hAnsi="宋体" w:cs="宋体"/>
                <w:snapToGrid w:val="0"/>
                <w:kern w:val="0"/>
                <w:szCs w:val="21"/>
                <w:lang w:val="zh-CN"/>
              </w:rPr>
              <w:t>2人。</w:t>
            </w:r>
          </w:p>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w:t>
            </w:r>
            <w:r>
              <w:rPr>
                <w:rFonts w:ascii="宋体" w:hAnsi="宋体" w:cs="宋体"/>
                <w:snapToGrid w:val="0"/>
                <w:kern w:val="0"/>
                <w:szCs w:val="21"/>
                <w:lang w:val="zh-CN"/>
              </w:rPr>
              <w:t>1）供应商需将培训方案在</w:t>
            </w:r>
            <w:r>
              <w:rPr>
                <w:rFonts w:hint="eastAsia" w:ascii="宋体" w:hAnsi="宋体" w:cs="宋体"/>
                <w:snapToGrid w:val="0"/>
                <w:kern w:val="0"/>
                <w:szCs w:val="21"/>
                <w:lang w:val="zh-CN"/>
              </w:rPr>
              <w:t>响应</w:t>
            </w:r>
            <w:r>
              <w:rPr>
                <w:rFonts w:ascii="宋体" w:hAnsi="宋体" w:cs="宋体"/>
                <w:snapToGrid w:val="0"/>
                <w:kern w:val="0"/>
                <w:szCs w:val="21"/>
                <w:lang w:val="zh-CN"/>
              </w:rPr>
              <w:t>文件中列出。</w:t>
            </w:r>
          </w:p>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w:t>
            </w:r>
            <w:r>
              <w:rPr>
                <w:rFonts w:ascii="宋体" w:hAnsi="宋体" w:cs="宋体"/>
                <w:snapToGrid w:val="0"/>
                <w:kern w:val="0"/>
                <w:szCs w:val="21"/>
                <w:lang w:val="zh-CN"/>
              </w:rPr>
              <w:t>2）供应商须为被培训人员提供有关培训文字资料和讲义，所有的资料必须是中文书写。</w:t>
            </w:r>
          </w:p>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w:t>
            </w:r>
            <w:r>
              <w:rPr>
                <w:rFonts w:ascii="宋体" w:hAnsi="宋体" w:cs="宋体"/>
                <w:snapToGrid w:val="0"/>
                <w:kern w:val="0"/>
                <w:szCs w:val="21"/>
                <w:lang w:val="zh-CN"/>
              </w:rPr>
              <w:t>3）培训费用（包含培训教材费等分项费用）全部免费提供。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6</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验收标准</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按照采购需求进行逐条验收，系统正常运行，各项功能达标，满足所有要求。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808" w:type="dxa"/>
            <w:vAlign w:val="center"/>
          </w:tcPr>
          <w:p>
            <w:pPr>
              <w:spacing w:line="360" w:lineRule="auto"/>
              <w:jc w:val="center"/>
              <w:rPr>
                <w:rFonts w:ascii="宋体" w:hAnsi="宋体" w:cs="宋体"/>
                <w:snapToGrid w:val="0"/>
                <w:kern w:val="0"/>
                <w:szCs w:val="21"/>
                <w:lang w:val="zh-CN"/>
              </w:rPr>
            </w:pPr>
            <w:r>
              <w:rPr>
                <w:rFonts w:ascii="宋体" w:hAnsi="宋体"/>
                <w:szCs w:val="21"/>
              </w:rPr>
              <w:t>7</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付款方式</w:t>
            </w:r>
            <w:r>
              <w:rPr>
                <w:rFonts w:hint="eastAsia" w:ascii="宋体" w:hAnsi="宋体"/>
                <w:szCs w:val="21"/>
              </w:rPr>
              <w:t xml:space="preserve"> </w:t>
            </w:r>
          </w:p>
        </w:tc>
        <w:tc>
          <w:tcPr>
            <w:tcW w:w="6379" w:type="dxa"/>
            <w:vAlign w:val="center"/>
          </w:tcPr>
          <w:p>
            <w:pPr>
              <w:spacing w:line="360" w:lineRule="auto"/>
              <w:jc w:val="left"/>
              <w:rPr>
                <w:rFonts w:ascii="宋体" w:hAnsi="宋体"/>
                <w:szCs w:val="21"/>
              </w:rPr>
            </w:pPr>
            <w:r>
              <w:rPr>
                <w:rFonts w:hint="eastAsia" w:ascii="宋体" w:hAnsi="宋体"/>
                <w:szCs w:val="21"/>
              </w:rPr>
              <w:t>第一次付款：合同签订后</w:t>
            </w:r>
            <w:r>
              <w:rPr>
                <w:rFonts w:ascii="宋体" w:hAnsi="宋体"/>
                <w:szCs w:val="21"/>
              </w:rPr>
              <w:t xml:space="preserve">10个工作日内，乙方向甲方提供发票后，甲方向乙方支付合同额的30%的首付款，计 </w:t>
            </w:r>
            <w:r>
              <w:rPr>
                <w:rFonts w:hint="eastAsia" w:ascii="宋体" w:hAnsi="宋体"/>
                <w:szCs w:val="21"/>
              </w:rPr>
              <w:t>xx</w:t>
            </w:r>
            <w:r>
              <w:rPr>
                <w:rFonts w:ascii="宋体" w:hAnsi="宋体"/>
                <w:szCs w:val="21"/>
              </w:rPr>
              <w:t>元。</w:t>
            </w:r>
          </w:p>
          <w:p>
            <w:pPr>
              <w:spacing w:line="360" w:lineRule="auto"/>
              <w:jc w:val="left"/>
              <w:rPr>
                <w:rFonts w:ascii="宋体" w:hAnsi="宋体"/>
                <w:szCs w:val="21"/>
              </w:rPr>
            </w:pPr>
            <w:r>
              <w:rPr>
                <w:rFonts w:hint="eastAsia" w:ascii="宋体" w:hAnsi="宋体"/>
                <w:szCs w:val="21"/>
              </w:rPr>
              <w:t>第二次付款：所有设备安装到位、项目验收合格后，乙方向甲方提供发票后</w:t>
            </w:r>
            <w:r>
              <w:rPr>
                <w:rFonts w:ascii="宋体" w:hAnsi="宋体"/>
                <w:szCs w:val="21"/>
              </w:rPr>
              <w:t>10个工作日内，甲方向乙方支付合同金额的65%，计</w:t>
            </w:r>
            <w:r>
              <w:rPr>
                <w:rFonts w:hint="eastAsia" w:ascii="宋体" w:hAnsi="宋体"/>
                <w:szCs w:val="21"/>
              </w:rPr>
              <w:t>xx</w:t>
            </w:r>
            <w:r>
              <w:rPr>
                <w:rFonts w:ascii="宋体" w:hAnsi="宋体"/>
                <w:szCs w:val="21"/>
              </w:rPr>
              <w:t>元。</w:t>
            </w:r>
          </w:p>
          <w:p>
            <w:pPr>
              <w:spacing w:line="360" w:lineRule="auto"/>
              <w:jc w:val="left"/>
              <w:rPr>
                <w:rFonts w:ascii="宋体" w:hAnsi="宋体" w:cs="宋体"/>
                <w:snapToGrid w:val="0"/>
                <w:kern w:val="0"/>
                <w:szCs w:val="21"/>
                <w:lang w:val="zh-CN"/>
              </w:rPr>
            </w:pPr>
            <w:r>
              <w:rPr>
                <w:rFonts w:hint="eastAsia" w:ascii="宋体" w:hAnsi="宋体"/>
                <w:szCs w:val="21"/>
              </w:rPr>
              <w:t>第三次付款：验收合格一年后，乙方向甲方提供发票后</w:t>
            </w:r>
            <w:r>
              <w:rPr>
                <w:rFonts w:ascii="宋体" w:hAnsi="宋体"/>
                <w:szCs w:val="21"/>
              </w:rPr>
              <w:t>10个工作日内，甲方向乙方支付合同金额的5%，计</w:t>
            </w:r>
            <w:r>
              <w:rPr>
                <w:rFonts w:hint="eastAsia" w:ascii="宋体" w:hAnsi="宋体"/>
                <w:szCs w:val="21"/>
              </w:rPr>
              <w:t>xx</w:t>
            </w:r>
            <w:r>
              <w:rPr>
                <w:rFonts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08" w:type="dxa"/>
            <w:vAlign w:val="center"/>
          </w:tcPr>
          <w:p>
            <w:pPr>
              <w:spacing w:line="360" w:lineRule="auto"/>
              <w:jc w:val="center"/>
              <w:rPr>
                <w:rFonts w:ascii="宋体" w:hAnsi="宋体" w:cs="宋体"/>
                <w:snapToGrid w:val="0"/>
                <w:kern w:val="0"/>
                <w:szCs w:val="21"/>
              </w:rPr>
            </w:pPr>
            <w:r>
              <w:rPr>
                <w:rFonts w:ascii="宋体" w:hAnsi="宋体"/>
                <w:szCs w:val="21"/>
              </w:rPr>
              <w:t>8</w:t>
            </w:r>
          </w:p>
        </w:tc>
        <w:tc>
          <w:tcPr>
            <w:tcW w:w="2022" w:type="dxa"/>
            <w:vAlign w:val="center"/>
          </w:tcPr>
          <w:p>
            <w:pPr>
              <w:spacing w:line="360" w:lineRule="auto"/>
              <w:jc w:val="center"/>
              <w:rPr>
                <w:rFonts w:ascii="宋体" w:hAnsi="宋体" w:cs="宋体"/>
                <w:snapToGrid w:val="0"/>
                <w:kern w:val="0"/>
                <w:szCs w:val="21"/>
                <w:lang w:val="zh-CN"/>
              </w:rPr>
            </w:pPr>
            <w:r>
              <w:rPr>
                <w:rFonts w:ascii="宋体" w:hAnsi="宋体"/>
                <w:szCs w:val="21"/>
              </w:rPr>
              <w:t>质量管理、企业信用要求</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通过符合</w:t>
            </w:r>
            <w:r>
              <w:rPr>
                <w:rFonts w:ascii="宋体" w:hAnsi="宋体" w:cs="宋体"/>
                <w:snapToGrid w:val="0"/>
                <w:kern w:val="0"/>
                <w:szCs w:val="21"/>
                <w:lang w:val="zh-CN"/>
              </w:rPr>
              <w:t>ISO14001</w:t>
            </w:r>
            <w:r>
              <w:rPr>
                <w:rFonts w:hint="eastAsia" w:ascii="宋体" w:hAnsi="宋体" w:cs="宋体"/>
                <w:snapToGrid w:val="0"/>
                <w:kern w:val="0"/>
                <w:szCs w:val="21"/>
                <w:lang w:val="zh-CN"/>
              </w:rPr>
              <w:t>标准环境管理体系认证证书</w:t>
            </w:r>
          </w:p>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通过符合</w:t>
            </w:r>
            <w:r>
              <w:rPr>
                <w:rFonts w:ascii="宋体" w:hAnsi="宋体" w:cs="宋体"/>
                <w:snapToGrid w:val="0"/>
                <w:kern w:val="0"/>
                <w:szCs w:val="21"/>
                <w:lang w:val="zh-CN"/>
              </w:rPr>
              <w:t>ISO9001</w:t>
            </w:r>
            <w:r>
              <w:rPr>
                <w:rFonts w:hint="eastAsia" w:ascii="宋体" w:hAnsi="宋体" w:cs="宋体"/>
                <w:snapToGrid w:val="0"/>
                <w:kern w:val="0"/>
                <w:szCs w:val="21"/>
                <w:lang w:val="zh-CN"/>
              </w:rPr>
              <w:t>标准质量管理体系认证证书</w:t>
            </w:r>
          </w:p>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3</w:t>
            </w:r>
            <w:r>
              <w:rPr>
                <w:rFonts w:ascii="宋体" w:hAnsi="宋体" w:cs="宋体"/>
                <w:snapToGrid w:val="0"/>
                <w:kern w:val="0"/>
                <w:szCs w:val="21"/>
                <w:lang w:val="zh-CN"/>
              </w:rPr>
              <w:t>A</w:t>
            </w:r>
            <w:r>
              <w:rPr>
                <w:rFonts w:hint="eastAsia" w:ascii="宋体" w:hAnsi="宋体" w:cs="宋体"/>
                <w:snapToGrid w:val="0"/>
                <w:kern w:val="0"/>
                <w:szCs w:val="21"/>
                <w:lang w:val="zh-CN"/>
              </w:rPr>
              <w:t>级信用企业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8" w:type="dxa"/>
            <w:vAlign w:val="center"/>
          </w:tcPr>
          <w:p>
            <w:pPr>
              <w:spacing w:line="360" w:lineRule="auto"/>
              <w:jc w:val="center"/>
              <w:rPr>
                <w:rFonts w:ascii="宋体" w:hAnsi="宋体" w:cs="宋体"/>
                <w:snapToGrid w:val="0"/>
                <w:kern w:val="0"/>
                <w:szCs w:val="21"/>
              </w:rPr>
            </w:pPr>
            <w:r>
              <w:rPr>
                <w:rFonts w:ascii="宋体" w:hAnsi="宋体"/>
                <w:szCs w:val="21"/>
              </w:rPr>
              <w:t>9</w:t>
            </w:r>
          </w:p>
        </w:tc>
        <w:tc>
          <w:tcPr>
            <w:tcW w:w="2022" w:type="dxa"/>
            <w:vAlign w:val="center"/>
          </w:tcPr>
          <w:p>
            <w:pPr>
              <w:spacing w:line="360" w:lineRule="auto"/>
              <w:jc w:val="center"/>
              <w:rPr>
                <w:rFonts w:ascii="宋体" w:hAnsi="宋体"/>
                <w:szCs w:val="21"/>
              </w:rPr>
            </w:pPr>
            <w:r>
              <w:rPr>
                <w:rFonts w:ascii="宋体" w:hAnsi="宋体"/>
                <w:szCs w:val="21"/>
              </w:rPr>
              <w:t>能力或业绩要求</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通过符合ISO27001信息安全管理体系认证</w:t>
            </w:r>
          </w:p>
          <w:p>
            <w:pPr>
              <w:spacing w:line="360" w:lineRule="auto"/>
              <w:jc w:val="left"/>
              <w:rPr>
                <w:rFonts w:ascii="宋体" w:hAnsi="宋体" w:cs="宋体"/>
                <w:iCs/>
                <w:snapToGrid w:val="0"/>
                <w:kern w:val="0"/>
                <w:szCs w:val="21"/>
                <w:lang w:val="zh-CN"/>
              </w:rPr>
            </w:pPr>
            <w:r>
              <w:rPr>
                <w:rFonts w:hint="eastAsia" w:ascii="宋体" w:hAnsi="宋体"/>
                <w:szCs w:val="21"/>
              </w:rPr>
              <w:t>国家高新技术企业证书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08" w:type="dxa"/>
            <w:vAlign w:val="center"/>
          </w:tcPr>
          <w:p>
            <w:pPr>
              <w:spacing w:line="360" w:lineRule="auto"/>
              <w:jc w:val="center"/>
              <w:rPr>
                <w:rFonts w:ascii="宋体" w:hAnsi="宋体" w:cs="宋体"/>
                <w:snapToGrid w:val="0"/>
                <w:kern w:val="0"/>
                <w:szCs w:val="21"/>
              </w:rPr>
            </w:pPr>
            <w:r>
              <w:rPr>
                <w:rFonts w:ascii="宋体" w:hAnsi="宋体"/>
                <w:szCs w:val="21"/>
              </w:rPr>
              <w:t>10</w:t>
            </w:r>
          </w:p>
        </w:tc>
        <w:tc>
          <w:tcPr>
            <w:tcW w:w="2022" w:type="dxa"/>
            <w:vAlign w:val="center"/>
          </w:tcPr>
          <w:p>
            <w:pPr>
              <w:spacing w:line="360" w:lineRule="auto"/>
              <w:jc w:val="center"/>
              <w:rPr>
                <w:rFonts w:ascii="宋体" w:hAnsi="宋体"/>
                <w:szCs w:val="21"/>
              </w:rPr>
            </w:pPr>
            <w:r>
              <w:rPr>
                <w:rFonts w:ascii="宋体" w:hAnsi="宋体"/>
                <w:szCs w:val="21"/>
              </w:rPr>
              <w:t>售后服务保障或维修响应时间要求</w:t>
            </w:r>
          </w:p>
        </w:tc>
        <w:tc>
          <w:tcPr>
            <w:tcW w:w="6379" w:type="dxa"/>
            <w:vAlign w:val="center"/>
          </w:tcPr>
          <w:p>
            <w:pPr>
              <w:spacing w:line="360" w:lineRule="auto"/>
              <w:jc w:val="left"/>
              <w:rPr>
                <w:rFonts w:ascii="宋体" w:hAnsi="宋体" w:cs="宋体"/>
                <w:snapToGrid w:val="0"/>
                <w:kern w:val="0"/>
                <w:szCs w:val="21"/>
                <w:lang w:val="zh-CN"/>
              </w:rPr>
            </w:pPr>
            <w:r>
              <w:rPr>
                <w:rFonts w:hint="eastAsia" w:ascii="宋体" w:hAnsi="宋体" w:cs="宋体"/>
                <w:snapToGrid w:val="0"/>
                <w:kern w:val="0"/>
                <w:szCs w:val="21"/>
                <w:lang w:val="zh-CN"/>
              </w:rPr>
              <w:t>售后服务响应：报价人需要提供详细的售后服务方案，包括服务人员、服务内容和措施、应急预案等内容。服务响应时间：提供每周</w:t>
            </w:r>
            <w:r>
              <w:rPr>
                <w:rFonts w:ascii="宋体" w:hAnsi="宋体" w:cs="宋体"/>
                <w:snapToGrid w:val="0"/>
                <w:kern w:val="0"/>
                <w:szCs w:val="21"/>
                <w:lang w:val="zh-CN"/>
              </w:rPr>
              <w:t>7×24小时电话咨询服务，确保随时能到现场解决技术、质量问题。接到用户报修通知响应时间：</w:t>
            </w:r>
            <w:r>
              <w:rPr>
                <w:rFonts w:hint="eastAsia" w:ascii="宋体" w:hAnsi="宋体" w:cs="宋体"/>
                <w:snapToGrid w:val="0"/>
                <w:kern w:val="0"/>
                <w:szCs w:val="21"/>
                <w:lang w:val="zh-CN"/>
              </w:rPr>
              <w:t>1</w:t>
            </w:r>
            <w:r>
              <w:rPr>
                <w:rFonts w:ascii="宋体" w:hAnsi="宋体" w:cs="宋体"/>
                <w:snapToGrid w:val="0"/>
                <w:kern w:val="0"/>
                <w:szCs w:val="21"/>
                <w:lang w:val="zh-CN"/>
              </w:rPr>
              <w:t>0</w:t>
            </w:r>
            <w:r>
              <w:rPr>
                <w:rFonts w:hint="eastAsia" w:ascii="宋体" w:hAnsi="宋体" w:cs="宋体"/>
                <w:snapToGrid w:val="0"/>
                <w:kern w:val="0"/>
                <w:szCs w:val="21"/>
                <w:lang w:val="zh-CN"/>
              </w:rPr>
              <w:t>分钟</w:t>
            </w:r>
            <w:r>
              <w:rPr>
                <w:rFonts w:ascii="宋体" w:hAnsi="宋体" w:cs="宋体"/>
                <w:snapToGrid w:val="0"/>
                <w:kern w:val="0"/>
                <w:szCs w:val="21"/>
                <w:lang w:val="zh-CN"/>
              </w:rPr>
              <w:t>之内响应，</w:t>
            </w:r>
            <w:r>
              <w:rPr>
                <w:rFonts w:hint="eastAsia" w:ascii="宋体" w:hAnsi="宋体" w:cs="宋体"/>
                <w:snapToGrid w:val="0"/>
                <w:kern w:val="0"/>
                <w:szCs w:val="21"/>
                <w:lang w:val="zh-CN"/>
              </w:rPr>
              <w:t>四</w:t>
            </w:r>
            <w:r>
              <w:rPr>
                <w:rFonts w:ascii="宋体" w:hAnsi="宋体" w:cs="宋体"/>
                <w:snapToGrid w:val="0"/>
                <w:kern w:val="0"/>
                <w:szCs w:val="21"/>
                <w:lang w:val="zh-CN"/>
              </w:rPr>
              <w:t>小时之内解决问题。</w:t>
            </w:r>
          </w:p>
        </w:tc>
      </w:tr>
    </w:tbl>
    <w:p/>
    <w:p>
      <w:pPr>
        <w:widowControl/>
        <w:jc w:val="left"/>
        <w:rPr>
          <w:rFonts w:ascii="宋体" w:hAnsi="宋体" w:cs="黑体"/>
          <w:kern w:val="0"/>
          <w:sz w:val="28"/>
          <w:szCs w:val="28"/>
        </w:rPr>
      </w:pPr>
      <w:r>
        <w:rPr>
          <w:rFonts w:ascii="宋体" w:hAnsi="宋体" w:cs="黑体"/>
          <w:kern w:val="0"/>
          <w:sz w:val="28"/>
          <w:szCs w:val="28"/>
        </w:rPr>
        <w:br w:type="page"/>
      </w:r>
    </w:p>
    <w:p>
      <w:pPr>
        <w:autoSpaceDE w:val="0"/>
        <w:autoSpaceDN w:val="0"/>
        <w:adjustRightInd w:val="0"/>
        <w:snapToGrid w:val="0"/>
        <w:spacing w:after="156" w:afterLines="50"/>
        <w:jc w:val="left"/>
        <w:outlineLvl w:val="1"/>
        <w:rPr>
          <w:rFonts w:ascii="宋体" w:hAnsi="宋体" w:cs="黑体"/>
          <w:kern w:val="0"/>
          <w:sz w:val="28"/>
          <w:szCs w:val="28"/>
        </w:rPr>
      </w:pPr>
      <w:r>
        <w:rPr>
          <w:rFonts w:hint="eastAsia" w:ascii="宋体" w:hAnsi="宋体" w:cs="黑体"/>
          <w:kern w:val="0"/>
          <w:sz w:val="28"/>
          <w:szCs w:val="28"/>
        </w:rPr>
        <w:t>（三）技术需求</w:t>
      </w:r>
    </w:p>
    <w:tbl>
      <w:tblPr>
        <w:tblStyle w:val="73"/>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6490"/>
        <w:gridCol w:w="753"/>
        <w:gridCol w:w="43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26"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设备名称</w:t>
            </w:r>
          </w:p>
        </w:tc>
        <w:tc>
          <w:tcPr>
            <w:tcW w:w="338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技术参数</w:t>
            </w:r>
          </w:p>
        </w:tc>
        <w:tc>
          <w:tcPr>
            <w:tcW w:w="393"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单位</w:t>
            </w:r>
          </w:p>
        </w:tc>
        <w:tc>
          <w:tcPr>
            <w:tcW w:w="228"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数量</w:t>
            </w:r>
          </w:p>
        </w:tc>
        <w:tc>
          <w:tcPr>
            <w:tcW w:w="565" w:type="pct"/>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6"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网络广播中心</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1.采用高档工业级主板设计，≥17.3寸液晶触摸显示屏，分辨率≥1</w:t>
            </w:r>
            <w:r>
              <w:rPr>
                <w:rFonts w:ascii="宋体" w:hAnsi="宋体" w:cs="宋体"/>
                <w:color w:val="000000"/>
                <w:kern w:val="0"/>
                <w:szCs w:val="21"/>
              </w:rPr>
              <w:t>280*720</w:t>
            </w:r>
            <w:r>
              <w:rPr>
                <w:rFonts w:hint="eastAsia" w:ascii="宋体" w:hAnsi="宋体" w:cs="宋体"/>
                <w:color w:val="000000"/>
                <w:kern w:val="0"/>
                <w:szCs w:val="21"/>
              </w:rPr>
              <w:t>，内置工业级双硬盘，≥120G固态硬盘，≥500G机械硬盘；</w:t>
            </w:r>
            <w:r>
              <w:rPr>
                <w:rFonts w:hint="eastAsia" w:ascii="宋体" w:hAnsi="宋体" w:cs="宋体"/>
                <w:color w:val="000000"/>
                <w:kern w:val="0"/>
                <w:szCs w:val="21"/>
              </w:rPr>
              <w:br w:type="textWrapping"/>
            </w:r>
            <w:r>
              <w:rPr>
                <w:rFonts w:hint="eastAsia" w:ascii="宋体" w:hAnsi="宋体" w:cs="宋体"/>
                <w:color w:val="000000"/>
                <w:kern w:val="0"/>
                <w:szCs w:val="21"/>
              </w:rPr>
              <w:t>2.采用模块化设计，支持插卡式扩展多种功能模块，系统定制灵活；</w:t>
            </w:r>
            <w:r>
              <w:rPr>
                <w:rFonts w:hint="eastAsia" w:ascii="宋体" w:hAnsi="宋体" w:cs="宋体"/>
                <w:color w:val="000000"/>
                <w:kern w:val="0"/>
                <w:szCs w:val="21"/>
              </w:rPr>
              <w:br w:type="textWrapping"/>
            </w:r>
            <w:r>
              <w:rPr>
                <w:rFonts w:hint="eastAsia" w:ascii="宋体" w:hAnsi="宋体" w:cs="宋体"/>
                <w:color w:val="000000"/>
                <w:kern w:val="0"/>
                <w:szCs w:val="21"/>
              </w:rPr>
              <w:t>3.具有CD播放功能：主机面板提供吸入式CD光驱，操作系统内置CD播放器；</w:t>
            </w:r>
            <w:r>
              <w:rPr>
                <w:rFonts w:hint="eastAsia" w:ascii="宋体" w:hAnsi="宋体" w:cs="宋体"/>
                <w:color w:val="000000"/>
                <w:kern w:val="0"/>
                <w:szCs w:val="21"/>
              </w:rPr>
              <w:br w:type="textWrapping"/>
            </w:r>
            <w:r>
              <w:rPr>
                <w:rFonts w:hint="eastAsia" w:ascii="宋体" w:hAnsi="宋体" w:cs="宋体"/>
                <w:color w:val="000000"/>
                <w:kern w:val="0"/>
                <w:szCs w:val="21"/>
              </w:rPr>
              <w:t>4.采用双千兆网卡备份设计，支持TCP/IP、UDP协议，支持跨网段传输；</w:t>
            </w:r>
            <w:r>
              <w:rPr>
                <w:rFonts w:hint="eastAsia" w:ascii="宋体" w:hAnsi="宋体" w:cs="宋体"/>
                <w:color w:val="000000"/>
                <w:kern w:val="0"/>
                <w:szCs w:val="21"/>
              </w:rPr>
              <w:br w:type="textWrapping"/>
            </w:r>
            <w:r>
              <w:rPr>
                <w:rFonts w:hint="eastAsia" w:ascii="宋体" w:hAnsi="宋体" w:cs="宋体"/>
                <w:color w:val="000000"/>
                <w:kern w:val="0"/>
                <w:szCs w:val="21"/>
              </w:rPr>
              <w:t>5.内置10W定阻输出功放，提供1路3.5耳机输出接口，1路线路输出接口，1路绿色凤凰端子接口；</w:t>
            </w:r>
            <w:r>
              <w:rPr>
                <w:rFonts w:hint="eastAsia" w:ascii="宋体" w:hAnsi="宋体" w:cs="宋体"/>
                <w:color w:val="000000"/>
                <w:kern w:val="0"/>
                <w:szCs w:val="21"/>
              </w:rPr>
              <w:br w:type="textWrapping"/>
            </w:r>
            <w:r>
              <w:rPr>
                <w:rFonts w:hint="eastAsia" w:ascii="宋体" w:hAnsi="宋体" w:cs="宋体"/>
                <w:color w:val="000000"/>
                <w:kern w:val="0"/>
                <w:szCs w:val="21"/>
              </w:rPr>
              <w:t>6.具有一键触发全区告警和手动分区告警功能，告警时可通过本机EMC话筒进行广播，面板提供醒目的“一键报警”红色按钮；</w:t>
            </w:r>
            <w:r>
              <w:rPr>
                <w:rFonts w:hint="eastAsia" w:ascii="宋体" w:hAnsi="宋体" w:cs="宋体"/>
                <w:color w:val="000000"/>
                <w:kern w:val="0"/>
                <w:szCs w:val="21"/>
              </w:rPr>
              <w:br w:type="textWrapping"/>
            </w:r>
            <w:r>
              <w:rPr>
                <w:rFonts w:hint="eastAsia" w:ascii="宋体" w:hAnsi="宋体" w:cs="宋体"/>
                <w:color w:val="000000"/>
                <w:kern w:val="0"/>
                <w:szCs w:val="21"/>
              </w:rPr>
              <w:t>★7.支持插卡式网络音频采集功能，支持≥4路音频输入接口，≥4路SC短路信号输入接口，功能卡既可插在主机后面板工作，也可分布式放置通过网络与主机连接工作；（要求生产厂家提供主机插卡式外观图片，并加盖原厂公章）</w:t>
            </w:r>
            <w:r>
              <w:rPr>
                <w:rFonts w:hint="eastAsia" w:ascii="宋体" w:hAnsi="宋体" w:cs="宋体"/>
                <w:color w:val="000000"/>
                <w:kern w:val="0"/>
                <w:szCs w:val="21"/>
              </w:rPr>
              <w:br w:type="textWrapping"/>
            </w:r>
            <w:r>
              <w:rPr>
                <w:rFonts w:hint="eastAsia" w:ascii="宋体" w:hAnsi="宋体" w:cs="宋体"/>
                <w:color w:val="000000"/>
                <w:kern w:val="0"/>
                <w:szCs w:val="21"/>
              </w:rPr>
              <w:t>★8.支持插卡式电源输出控制功能，支持≥4路220V电源输出，可接受定时任务定时控制开关，也可手动控制开关；（投标时提供4路电源插座实物界面图片及定时点控制功能截图加盖厂家公章）</w:t>
            </w:r>
            <w:r>
              <w:rPr>
                <w:rFonts w:hint="eastAsia" w:ascii="宋体" w:hAnsi="宋体" w:cs="宋体"/>
                <w:color w:val="000000"/>
                <w:kern w:val="0"/>
                <w:szCs w:val="21"/>
              </w:rPr>
              <w:br w:type="textWrapping"/>
            </w:r>
            <w:r>
              <w:rPr>
                <w:rFonts w:hint="eastAsia" w:ascii="宋体" w:hAnsi="宋体" w:cs="宋体"/>
                <w:color w:val="000000"/>
                <w:kern w:val="0"/>
                <w:szCs w:val="21"/>
              </w:rPr>
              <w:t>★9.支持插卡式监听功能，支持≥1路音频输入接口，支持≥1路话筒输入接口，支持≥1路6.5mm输出接口，支持≥1路3.5mm输出接口，功能卡既可插在主机后面板工作，也可分布式放置通过网络与主机连接工作；（要求生产厂家提供主机插卡式外观图片，并加盖原厂公章）</w:t>
            </w:r>
            <w:r>
              <w:rPr>
                <w:rFonts w:hint="eastAsia" w:ascii="宋体" w:hAnsi="宋体" w:cs="宋体"/>
                <w:color w:val="000000"/>
                <w:kern w:val="0"/>
                <w:szCs w:val="21"/>
              </w:rPr>
              <w:br w:type="textWrapping"/>
            </w:r>
            <w:r>
              <w:rPr>
                <w:rFonts w:hint="eastAsia" w:ascii="宋体" w:hAnsi="宋体" w:cs="宋体"/>
                <w:color w:val="000000"/>
                <w:kern w:val="0"/>
                <w:szCs w:val="21"/>
              </w:rPr>
              <w:t>★10.支持插卡式消防联动报警功能，支持≥32路消防通道触发报警，支持≥32路通道的线路故障检测功能，支持RS485通信协议，可与第三方系统通讯实现联动告警触发；（要求生产厂家提供主机插卡式外观图片及线路故障检测功能界面截图证明，并加盖原厂公章）</w:t>
            </w:r>
            <w:r>
              <w:rPr>
                <w:rFonts w:hint="eastAsia" w:ascii="宋体" w:hAnsi="宋体" w:cs="宋体"/>
                <w:color w:val="000000"/>
                <w:kern w:val="0"/>
                <w:szCs w:val="21"/>
              </w:rPr>
              <w:br w:type="textWrapping"/>
            </w:r>
            <w:r>
              <w:rPr>
                <w:rFonts w:hint="eastAsia" w:ascii="宋体" w:hAnsi="宋体" w:cs="宋体"/>
                <w:color w:val="000000"/>
                <w:kern w:val="0"/>
                <w:szCs w:val="21"/>
              </w:rPr>
              <w:t>#11.支持插卡式硬盘拓展功能，支持≥1路USB接口，可连接U盘或移动硬盘等存储器设备，记录系统寻呼、对讲等音频文件及视频广播内容文件；（要求生产厂家提供主机插卡式外观图片证明，并加盖原厂公章）</w:t>
            </w:r>
            <w:r>
              <w:rPr>
                <w:rFonts w:hint="eastAsia" w:ascii="宋体" w:hAnsi="宋体" w:cs="宋体"/>
                <w:color w:val="000000"/>
                <w:kern w:val="0"/>
                <w:szCs w:val="21"/>
              </w:rPr>
              <w:br w:type="textWrapping"/>
            </w:r>
            <w:r>
              <w:rPr>
                <w:rFonts w:hint="eastAsia" w:ascii="宋体" w:hAnsi="宋体" w:cs="宋体"/>
                <w:color w:val="000000"/>
                <w:kern w:val="0"/>
                <w:szCs w:val="21"/>
              </w:rPr>
              <w:t>#12.支持插卡式电话寻呼功能，支持≥4路电话接口，支持模拟电话传输到广播系统，支持电话级限控制功能，功能卡既可插在主机后面板工作，也可分布式放置通过网络与主机连接工作；（要求生产厂家提供主机插卡式外观图片证明并加盖原厂公章）</w:t>
            </w:r>
            <w:r>
              <w:rPr>
                <w:rFonts w:hint="eastAsia" w:ascii="宋体" w:hAnsi="宋体" w:cs="宋体"/>
                <w:color w:val="000000"/>
                <w:kern w:val="0"/>
                <w:szCs w:val="21"/>
              </w:rPr>
              <w:br w:type="textWrapping"/>
            </w:r>
            <w:r>
              <w:rPr>
                <w:rFonts w:hint="eastAsia" w:ascii="宋体" w:hAnsi="宋体" w:cs="宋体"/>
                <w:color w:val="000000"/>
                <w:kern w:val="0"/>
                <w:szCs w:val="21"/>
              </w:rPr>
              <w:t>#13.具有寻呼功能：本机EMC话筒进行对各个分区寻呼，也可通过网络智能寻呼站进行分区广播寻呼及对讲。（提供第三方检测报告加盖厂家公章）</w:t>
            </w:r>
            <w:r>
              <w:rPr>
                <w:rFonts w:hint="eastAsia" w:ascii="宋体" w:hAnsi="宋体" w:cs="宋体"/>
                <w:color w:val="000000"/>
                <w:kern w:val="0"/>
                <w:szCs w:val="21"/>
              </w:rPr>
              <w:br w:type="textWrapping"/>
            </w:r>
            <w:r>
              <w:rPr>
                <w:rFonts w:hint="eastAsia" w:ascii="宋体" w:hAnsi="宋体" w:cs="宋体"/>
                <w:color w:val="000000"/>
                <w:kern w:val="0"/>
                <w:szCs w:val="21"/>
              </w:rPr>
              <w:t>#14.具有定时广播功能：可以保存\修改\添加\删除\复制及显示各个定时点，定时点对每个分区得音源分配和音量控制，播放模式选择，对每四路主备电源输出控制和终端强手电源DC24V输出及SC-短路输出控制。（提供第三方检测报告加盖厂家公章）</w:t>
            </w:r>
            <w:r>
              <w:rPr>
                <w:rFonts w:hint="eastAsia" w:ascii="宋体" w:hAnsi="宋体" w:cs="宋体"/>
                <w:color w:val="000000"/>
                <w:kern w:val="0"/>
                <w:szCs w:val="21"/>
              </w:rPr>
              <w:br w:type="textWrapping"/>
            </w:r>
            <w:r>
              <w:rPr>
                <w:rFonts w:hint="eastAsia" w:ascii="宋体" w:hAnsi="宋体" w:cs="宋体"/>
                <w:color w:val="000000"/>
                <w:kern w:val="0"/>
                <w:szCs w:val="21"/>
              </w:rPr>
              <w:t>#15.具有监听功能：主机可以对任何分区进行监听，多个分区播放节目时，在选中要监听得分区，再点击监听按键，主机即可监听选中得分区播放音源。（提供第三方检测报告加盖厂家公章）</w:t>
            </w:r>
            <w:r>
              <w:rPr>
                <w:rFonts w:hint="eastAsia" w:ascii="宋体" w:hAnsi="宋体" w:cs="宋体"/>
                <w:color w:val="000000"/>
                <w:kern w:val="0"/>
                <w:szCs w:val="21"/>
              </w:rPr>
              <w:br w:type="textWrapping"/>
            </w:r>
            <w:r>
              <w:rPr>
                <w:rFonts w:hint="eastAsia" w:ascii="宋体" w:hAnsi="宋体" w:cs="宋体"/>
                <w:color w:val="000000"/>
                <w:kern w:val="0"/>
                <w:szCs w:val="21"/>
              </w:rPr>
              <w:t>16.支持分区\分组\音源\钟声操作控制：选中\取消一个或多个分区，进行播放及分组和音量调节，不同的分区播放不同的音源，内置MP3播放模式选择，同时CD播放功能操作正常；在分区播放音源时，可以点击钟声，进行插入钟声播放，钟声结束后恢复播放之前的播放音源。（提供第三方检测报告加盖厂家公章）</w:t>
            </w:r>
            <w:r>
              <w:rPr>
                <w:rFonts w:hint="eastAsia" w:ascii="宋体" w:hAnsi="宋体" w:cs="宋体"/>
                <w:color w:val="000000"/>
                <w:kern w:val="0"/>
                <w:szCs w:val="21"/>
              </w:rPr>
              <w:br w:type="textWrapping"/>
            </w:r>
            <w:r>
              <w:rPr>
                <w:rFonts w:hint="eastAsia" w:ascii="宋体" w:hAnsi="宋体" w:cs="宋体"/>
                <w:color w:val="000000"/>
                <w:kern w:val="0"/>
                <w:szCs w:val="21"/>
              </w:rPr>
              <w:t>★17.具有告警触发功能：面板全告警按钮能触发全部分区告警进行短路触发告警，在告警时可通过主机EMC话筒进行广播；（提供第三方权威机构的检测报告复印件并加盖公章）</w:t>
            </w:r>
            <w:r>
              <w:rPr>
                <w:rFonts w:hint="eastAsia" w:ascii="宋体" w:hAnsi="宋体" w:cs="宋体"/>
                <w:color w:val="000000"/>
                <w:kern w:val="0"/>
                <w:szCs w:val="21"/>
              </w:rPr>
              <w:br w:type="textWrapping"/>
            </w:r>
            <w:r>
              <w:rPr>
                <w:rFonts w:hint="eastAsia" w:ascii="宋体" w:hAnsi="宋体" w:cs="宋体"/>
                <w:color w:val="000000"/>
                <w:kern w:val="0"/>
                <w:szCs w:val="21"/>
              </w:rPr>
              <w:t>#18.具有自动采播功能：支持≥4通道自动采播，每路通道可绑定任意分区，并支持延时触发关闭功能，延时触发关闭时间不低于3s；（提供设备功能截图加盖厂家公章）</w:t>
            </w:r>
            <w:r>
              <w:rPr>
                <w:rFonts w:hint="eastAsia" w:ascii="宋体" w:hAnsi="宋体" w:cs="宋体"/>
                <w:color w:val="000000"/>
                <w:kern w:val="0"/>
                <w:szCs w:val="21"/>
              </w:rPr>
              <w:br w:type="textWrapping"/>
            </w:r>
            <w:r>
              <w:rPr>
                <w:rFonts w:hint="eastAsia" w:ascii="宋体" w:hAnsi="宋体" w:cs="宋体"/>
                <w:color w:val="000000"/>
                <w:kern w:val="0"/>
                <w:szCs w:val="21"/>
              </w:rPr>
              <w:t>★19.具有TTS文字广播功能：支持中英文文字转语音，可直接导入文本格式，主机自动识别成语音播放，以便在播放紧急文件时可用到此功能；（提供设备功能截图加盖厂家公章）</w:t>
            </w:r>
            <w:r>
              <w:rPr>
                <w:rFonts w:hint="eastAsia" w:ascii="宋体" w:hAnsi="宋体" w:cs="宋体"/>
                <w:color w:val="000000"/>
                <w:kern w:val="0"/>
                <w:szCs w:val="21"/>
              </w:rPr>
              <w:br w:type="textWrapping"/>
            </w:r>
            <w:r>
              <w:rPr>
                <w:rFonts w:hint="eastAsia" w:ascii="宋体" w:hAnsi="宋体" w:cs="宋体"/>
                <w:color w:val="000000"/>
                <w:kern w:val="0"/>
                <w:szCs w:val="21"/>
              </w:rPr>
              <w:t>★20.支持网络电台及Airplay无线推送功能，具有“广播电台模式”或“Airplay 模式”可选；（提供设备功能截图加盖厂家公章）</w:t>
            </w:r>
            <w:r>
              <w:rPr>
                <w:rFonts w:hint="eastAsia" w:ascii="宋体" w:hAnsi="宋体" w:cs="宋体"/>
                <w:color w:val="000000"/>
                <w:kern w:val="0"/>
                <w:szCs w:val="21"/>
              </w:rPr>
              <w:br w:type="textWrapping"/>
            </w:r>
            <w:r>
              <w:rPr>
                <w:rFonts w:hint="eastAsia" w:ascii="宋体" w:hAnsi="宋体" w:cs="宋体"/>
                <w:color w:val="000000"/>
                <w:kern w:val="0"/>
                <w:szCs w:val="21"/>
              </w:rPr>
              <w:t>#21.具有电子地图功能：主机支持电子地图交互管理，可查看每个分区所在的地理位置，并能对分区执行“播放、钟声、寻呼、告警、程控”等操作任务；（提供设备功能截图加盖厂家公章）</w:t>
            </w:r>
            <w:r>
              <w:rPr>
                <w:rFonts w:hint="eastAsia" w:ascii="宋体" w:hAnsi="宋体" w:cs="宋体"/>
                <w:color w:val="000000"/>
                <w:kern w:val="0"/>
                <w:szCs w:val="21"/>
              </w:rPr>
              <w:br w:type="textWrapping"/>
            </w:r>
            <w:r>
              <w:rPr>
                <w:rFonts w:hint="eastAsia" w:ascii="宋体" w:hAnsi="宋体" w:cs="宋体"/>
                <w:color w:val="000000"/>
                <w:kern w:val="0"/>
                <w:szCs w:val="21"/>
              </w:rPr>
              <w:t>#22.内置主备服务器软件，具有主机备份功能，支持两个服务器数据实时同步，当主服务器发生故障时，可切换到备用服务器；（提供版权局出具的“网络化主备服务器软件”的软件著作权加盖公章）</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ascii="宋体" w:hAnsi="宋体" w:cs="宋体"/>
                <w:color w:val="000000"/>
                <w:kern w:val="0"/>
                <w:szCs w:val="21"/>
              </w:rPr>
              <w:t>3</w:t>
            </w:r>
            <w:r>
              <w:rPr>
                <w:rFonts w:hint="eastAsia" w:ascii="宋体" w:hAnsi="宋体" w:cs="宋体"/>
                <w:color w:val="000000"/>
                <w:kern w:val="0"/>
                <w:szCs w:val="21"/>
              </w:rPr>
              <w:t>.内置服务器控制软件，具有“公共广播系统网络化主机控制软件”著作权登记证书；（提供证书复印件加盖厂家公章，http://www.ccopyright.com.cn备查）</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ascii="宋体" w:hAnsi="宋体" w:cs="宋体"/>
                <w:color w:val="000000"/>
                <w:kern w:val="0"/>
                <w:szCs w:val="21"/>
              </w:rPr>
              <w:t>4</w:t>
            </w:r>
            <w:r>
              <w:rPr>
                <w:rFonts w:hint="eastAsia" w:ascii="宋体" w:hAnsi="宋体" w:cs="宋体"/>
                <w:color w:val="000000"/>
                <w:kern w:val="0"/>
                <w:szCs w:val="21"/>
              </w:rPr>
              <w:t>.内置网络消防联动终端控制软件，具有“公共广播系统网络消防联动终端控制软件”著作权登记证书；（提供证书复印件加盖厂家公章，http://www.ccopyright.com.cn备查）</w:t>
            </w:r>
            <w:r>
              <w:rPr>
                <w:rFonts w:hint="eastAsia" w:ascii="宋体" w:hAnsi="宋体" w:cs="宋体"/>
                <w:color w:val="000000"/>
                <w:kern w:val="0"/>
                <w:szCs w:val="21"/>
              </w:rPr>
              <w:br w:type="textWrapping"/>
            </w:r>
            <w:r>
              <w:rPr>
                <w:rFonts w:hint="eastAsia" w:ascii="宋体" w:hAnsi="宋体" w:cs="宋体"/>
                <w:color w:val="000000"/>
                <w:kern w:val="0"/>
                <w:szCs w:val="21"/>
              </w:rPr>
              <w:t>★2</w:t>
            </w:r>
            <w:r>
              <w:rPr>
                <w:rFonts w:ascii="宋体" w:hAnsi="宋体" w:cs="宋体"/>
                <w:color w:val="000000"/>
                <w:kern w:val="0"/>
                <w:szCs w:val="21"/>
              </w:rPr>
              <w:t>5</w:t>
            </w:r>
            <w:r>
              <w:rPr>
                <w:rFonts w:hint="eastAsia" w:ascii="宋体" w:hAnsi="宋体" w:cs="宋体"/>
                <w:color w:val="000000"/>
                <w:kern w:val="0"/>
                <w:szCs w:val="21"/>
              </w:rPr>
              <w:t>.该公共广播系统产品被中国质量认证中心评为中国节能产品（提供中国节能产品认证证书并加盖厂家公章）。</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时序电源控制器</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1、按顺序开启或关闭16路受控设备的电源。</w:t>
            </w:r>
            <w:r>
              <w:rPr>
                <w:rFonts w:hint="eastAsia" w:ascii="宋体" w:hAnsi="宋体" w:cs="宋体"/>
                <w:color w:val="000000"/>
                <w:kern w:val="0"/>
                <w:szCs w:val="21"/>
              </w:rPr>
              <w:br w:type="textWrapping"/>
            </w:r>
            <w:r>
              <w:rPr>
                <w:rFonts w:hint="eastAsia" w:ascii="宋体" w:hAnsi="宋体" w:cs="宋体"/>
                <w:color w:val="000000"/>
                <w:kern w:val="0"/>
                <w:szCs w:val="21"/>
              </w:rPr>
              <w:t>2、可以通过定时器自动控制或人工控制。</w:t>
            </w:r>
            <w:r>
              <w:rPr>
                <w:rFonts w:hint="eastAsia" w:ascii="宋体" w:hAnsi="宋体" w:cs="宋体"/>
                <w:color w:val="000000"/>
                <w:kern w:val="0"/>
                <w:szCs w:val="21"/>
              </w:rPr>
              <w:br w:type="textWrapping"/>
            </w:r>
            <w:r>
              <w:rPr>
                <w:rFonts w:hint="eastAsia" w:ascii="宋体" w:hAnsi="宋体" w:cs="宋体"/>
                <w:color w:val="000000"/>
                <w:kern w:val="0"/>
                <w:szCs w:val="21"/>
              </w:rPr>
              <w:t>3、插座总容量达 3.5kVA。</w:t>
            </w:r>
            <w:r>
              <w:rPr>
                <w:rFonts w:hint="eastAsia" w:ascii="宋体" w:hAnsi="宋体" w:cs="宋体"/>
                <w:color w:val="000000"/>
                <w:kern w:val="0"/>
                <w:szCs w:val="21"/>
              </w:rPr>
              <w:br w:type="textWrapping"/>
            </w:r>
            <w:r>
              <w:rPr>
                <w:rFonts w:hint="eastAsia" w:ascii="宋体" w:hAnsi="宋体" w:cs="宋体"/>
                <w:color w:val="000000"/>
                <w:kern w:val="0"/>
                <w:szCs w:val="21"/>
              </w:rPr>
              <w:t>4、电源插座输出总容量3.5kVA，16A，16通道；每个插座最大输出为220V，10A；</w:t>
            </w:r>
            <w:r>
              <w:rPr>
                <w:rFonts w:hint="eastAsia" w:ascii="宋体" w:hAnsi="宋体" w:cs="宋体"/>
                <w:color w:val="000000"/>
                <w:kern w:val="0"/>
                <w:szCs w:val="21"/>
              </w:rPr>
              <w:br w:type="textWrapping"/>
            </w:r>
            <w:r>
              <w:rPr>
                <w:rFonts w:hint="eastAsia" w:ascii="宋体" w:hAnsi="宋体" w:cs="宋体"/>
                <w:color w:val="000000"/>
                <w:kern w:val="0"/>
                <w:szCs w:val="21"/>
              </w:rPr>
              <w:t>5、定时器控制信号 交流220伏，0.01A</w:t>
            </w:r>
            <w:r>
              <w:rPr>
                <w:rFonts w:hint="eastAsia" w:ascii="宋体" w:hAnsi="宋体" w:cs="宋体"/>
                <w:color w:val="000000"/>
                <w:kern w:val="0"/>
                <w:szCs w:val="21"/>
              </w:rPr>
              <w:br w:type="textWrapping"/>
            </w:r>
            <w:r>
              <w:rPr>
                <w:rFonts w:hint="eastAsia" w:ascii="宋体" w:hAnsi="宋体" w:cs="宋体"/>
                <w:color w:val="000000"/>
                <w:kern w:val="0"/>
                <w:szCs w:val="21"/>
              </w:rPr>
              <w:t>6、动作间隔时间 0.4秒-0.5秒</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调谐器</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1、微电脑控制，数字调谐系统。</w:t>
            </w:r>
            <w:r>
              <w:rPr>
                <w:rFonts w:hint="eastAsia" w:ascii="宋体" w:hAnsi="宋体" w:cs="宋体"/>
                <w:color w:val="000000"/>
                <w:kern w:val="0"/>
                <w:szCs w:val="21"/>
              </w:rPr>
              <w:br w:type="textWrapping"/>
            </w:r>
            <w:r>
              <w:rPr>
                <w:rFonts w:hint="eastAsia" w:ascii="宋体" w:hAnsi="宋体" w:cs="宋体"/>
                <w:color w:val="000000"/>
                <w:kern w:val="0"/>
                <w:szCs w:val="21"/>
              </w:rPr>
              <w:t>2、收音头以模块形式设计，可与主机分离，放置在接收信号更好的位置。</w:t>
            </w:r>
            <w:r>
              <w:rPr>
                <w:rFonts w:hint="eastAsia" w:ascii="宋体" w:hAnsi="宋体" w:cs="宋体"/>
                <w:color w:val="000000"/>
                <w:kern w:val="0"/>
                <w:szCs w:val="21"/>
              </w:rPr>
              <w:br w:type="textWrapping"/>
            </w:r>
            <w:r>
              <w:rPr>
                <w:rFonts w:hint="eastAsia" w:ascii="宋体" w:hAnsi="宋体" w:cs="宋体"/>
                <w:color w:val="000000"/>
                <w:kern w:val="0"/>
                <w:szCs w:val="21"/>
              </w:rPr>
              <w:t>3、全轻触按键控制，VFD显示。</w:t>
            </w:r>
            <w:r>
              <w:rPr>
                <w:rFonts w:hint="eastAsia" w:ascii="宋体" w:hAnsi="宋体" w:cs="宋体"/>
                <w:color w:val="000000"/>
                <w:kern w:val="0"/>
                <w:szCs w:val="21"/>
              </w:rPr>
              <w:br w:type="textWrapping"/>
            </w:r>
            <w:r>
              <w:rPr>
                <w:rFonts w:hint="eastAsia" w:ascii="宋体" w:hAnsi="宋体" w:cs="宋体"/>
                <w:color w:val="000000"/>
                <w:kern w:val="0"/>
                <w:szCs w:val="21"/>
              </w:rPr>
              <w:t>4、AM/FM 各40个电台存储功能。</w:t>
            </w:r>
            <w:r>
              <w:rPr>
                <w:rFonts w:hint="eastAsia" w:ascii="宋体" w:hAnsi="宋体" w:cs="宋体"/>
                <w:color w:val="000000"/>
                <w:kern w:val="0"/>
                <w:szCs w:val="21"/>
              </w:rPr>
              <w:br w:type="textWrapping"/>
            </w:r>
            <w:r>
              <w:rPr>
                <w:rFonts w:hint="eastAsia" w:ascii="宋体" w:hAnsi="宋体" w:cs="宋体"/>
                <w:color w:val="000000"/>
                <w:kern w:val="0"/>
                <w:szCs w:val="21"/>
              </w:rPr>
              <w:t>5、具有自动搜索电台并自动存储功能。</w:t>
            </w:r>
            <w:r>
              <w:rPr>
                <w:rFonts w:hint="eastAsia" w:ascii="宋体" w:hAnsi="宋体" w:cs="宋体"/>
                <w:color w:val="000000"/>
                <w:kern w:val="0"/>
                <w:szCs w:val="21"/>
              </w:rPr>
              <w:br w:type="textWrapping"/>
            </w:r>
            <w:r>
              <w:rPr>
                <w:rFonts w:hint="eastAsia" w:ascii="宋体" w:hAnsi="宋体" w:cs="宋体"/>
                <w:color w:val="000000"/>
                <w:kern w:val="0"/>
                <w:szCs w:val="21"/>
              </w:rPr>
              <w:t>6、具有音频信号电平指示。</w:t>
            </w:r>
            <w:r>
              <w:rPr>
                <w:rFonts w:hint="eastAsia" w:ascii="宋体" w:hAnsi="宋体" w:cs="宋体"/>
                <w:color w:val="000000"/>
                <w:kern w:val="0"/>
                <w:szCs w:val="21"/>
              </w:rPr>
              <w:br w:type="textWrapping"/>
            </w:r>
            <w:r>
              <w:rPr>
                <w:rFonts w:hint="eastAsia" w:ascii="宋体" w:hAnsi="宋体" w:cs="宋体"/>
                <w:color w:val="000000"/>
                <w:kern w:val="0"/>
                <w:szCs w:val="21"/>
              </w:rPr>
              <w:t>7、具有断电记忆功能。</w:t>
            </w:r>
            <w:r>
              <w:rPr>
                <w:rFonts w:hint="eastAsia" w:ascii="宋体" w:hAnsi="宋体" w:cs="宋体"/>
                <w:color w:val="000000"/>
                <w:kern w:val="0"/>
                <w:szCs w:val="21"/>
              </w:rPr>
              <w:br w:type="textWrapping"/>
            </w:r>
            <w:r>
              <w:rPr>
                <w:rFonts w:hint="eastAsia" w:ascii="宋体" w:hAnsi="宋体" w:cs="宋体"/>
                <w:color w:val="000000"/>
                <w:kern w:val="0"/>
                <w:szCs w:val="21"/>
              </w:rPr>
              <w:t>8、接收范围 FM 87.0MHz-108.0MHz/AM 522kHz-1620kHz</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播放器</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1、CD/MP3/MP4/VCD/DVD/WAV 等多格式音视频文件播放功能</w:t>
            </w:r>
            <w:r>
              <w:rPr>
                <w:rFonts w:hint="eastAsia" w:ascii="宋体" w:hAnsi="宋体" w:cs="宋体"/>
                <w:color w:val="000000"/>
                <w:kern w:val="0"/>
                <w:szCs w:val="21"/>
              </w:rPr>
              <w:br w:type="textWrapping"/>
            </w:r>
            <w:r>
              <w:rPr>
                <w:rFonts w:hint="eastAsia" w:ascii="宋体" w:hAnsi="宋体" w:cs="宋体"/>
                <w:color w:val="000000"/>
                <w:kern w:val="0"/>
                <w:szCs w:val="21"/>
              </w:rPr>
              <w:t>2、高亮度动态 VFD 显示，清晰醒目；</w:t>
            </w:r>
            <w:r>
              <w:rPr>
                <w:rFonts w:hint="eastAsia" w:ascii="宋体" w:hAnsi="宋体" w:cs="宋体"/>
                <w:color w:val="000000"/>
                <w:kern w:val="0"/>
                <w:szCs w:val="21"/>
              </w:rPr>
              <w:br w:type="textWrapping"/>
            </w:r>
            <w:r>
              <w:rPr>
                <w:rFonts w:hint="eastAsia" w:ascii="宋体" w:hAnsi="宋体" w:cs="宋体"/>
                <w:color w:val="000000"/>
                <w:kern w:val="0"/>
                <w:szCs w:val="21"/>
              </w:rPr>
              <w:t>3、具有曲目直选功能；</w:t>
            </w:r>
            <w:r>
              <w:rPr>
                <w:rFonts w:hint="eastAsia" w:ascii="宋体" w:hAnsi="宋体" w:cs="宋体"/>
                <w:color w:val="000000"/>
                <w:kern w:val="0"/>
                <w:szCs w:val="21"/>
              </w:rPr>
              <w:br w:type="textWrapping"/>
            </w:r>
            <w:r>
              <w:rPr>
                <w:rFonts w:hint="eastAsia" w:ascii="宋体" w:hAnsi="宋体" w:cs="宋体"/>
                <w:color w:val="000000"/>
                <w:kern w:val="0"/>
                <w:szCs w:val="21"/>
              </w:rPr>
              <w:t>4、频率响应 20Hz-20kHz（±3dB）</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一路音频输出终端</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1.采用1U机架式设计，银白色氧化铝拉丝面板，精致美观；</w:t>
            </w:r>
            <w:r>
              <w:rPr>
                <w:rFonts w:hint="eastAsia" w:ascii="宋体" w:hAnsi="宋体" w:cs="宋体"/>
                <w:color w:val="000000"/>
                <w:kern w:val="0"/>
                <w:szCs w:val="21"/>
              </w:rPr>
              <w:br w:type="textWrapping"/>
            </w:r>
            <w:r>
              <w:rPr>
                <w:rFonts w:hint="eastAsia" w:ascii="宋体" w:hAnsi="宋体" w:cs="宋体"/>
                <w:color w:val="000000"/>
                <w:kern w:val="0"/>
                <w:szCs w:val="21"/>
              </w:rPr>
              <w:t>2.采用双网络接口冗余设计，支持100M/10M 自适应TCP/IP网络传输协议，支持跨网段工作；</w:t>
            </w:r>
            <w:r>
              <w:rPr>
                <w:rFonts w:hint="eastAsia" w:ascii="宋体" w:hAnsi="宋体" w:cs="宋体"/>
                <w:color w:val="000000"/>
                <w:kern w:val="0"/>
                <w:szCs w:val="21"/>
              </w:rPr>
              <w:br w:type="textWrapping"/>
            </w:r>
            <w:r>
              <w:rPr>
                <w:rFonts w:hint="eastAsia" w:ascii="宋体" w:hAnsi="宋体" w:cs="宋体"/>
                <w:color w:val="000000"/>
                <w:kern w:val="0"/>
                <w:szCs w:val="21"/>
              </w:rPr>
              <w:t>3.具有EMC紧急24V输出接口与SC短路输出接口两种输出接口，可实现消防强插、控制电源开关等触发方案，触发方式可编辑，包括主机寻呼、主机告警、消防告警、播放钟声、广播节目、点播节目等；</w:t>
            </w:r>
            <w:r>
              <w:rPr>
                <w:rFonts w:hint="eastAsia" w:ascii="宋体" w:hAnsi="宋体" w:cs="宋体"/>
                <w:color w:val="000000"/>
                <w:kern w:val="0"/>
                <w:szCs w:val="21"/>
              </w:rPr>
              <w:br w:type="textWrapping"/>
            </w:r>
            <w:r>
              <w:rPr>
                <w:rFonts w:hint="eastAsia" w:ascii="宋体" w:hAnsi="宋体" w:cs="宋体"/>
                <w:color w:val="000000"/>
                <w:kern w:val="0"/>
                <w:szCs w:val="21"/>
              </w:rPr>
              <w:t>4.具有1路强插输入功能，实现拓展节目源功能，输入电平大小可调；</w:t>
            </w:r>
            <w:r>
              <w:rPr>
                <w:rFonts w:hint="eastAsia" w:ascii="宋体" w:hAnsi="宋体" w:cs="宋体"/>
                <w:color w:val="000000"/>
                <w:kern w:val="0"/>
                <w:szCs w:val="21"/>
              </w:rPr>
              <w:br w:type="textWrapping"/>
            </w:r>
            <w:r>
              <w:rPr>
                <w:rFonts w:hint="eastAsia" w:ascii="宋体" w:hAnsi="宋体" w:cs="宋体"/>
                <w:color w:val="000000"/>
                <w:kern w:val="0"/>
                <w:szCs w:val="21"/>
              </w:rPr>
              <w:t>5.具有1路强插链接输出功能，实现设备间级连；</w:t>
            </w:r>
            <w:r>
              <w:rPr>
                <w:rFonts w:hint="eastAsia" w:ascii="宋体" w:hAnsi="宋体" w:cs="宋体"/>
                <w:color w:val="000000"/>
                <w:kern w:val="0"/>
                <w:szCs w:val="21"/>
              </w:rPr>
              <w:br w:type="textWrapping"/>
            </w:r>
            <w:r>
              <w:rPr>
                <w:rFonts w:hint="eastAsia" w:ascii="宋体" w:hAnsi="宋体" w:cs="宋体"/>
                <w:color w:val="000000"/>
                <w:kern w:val="0"/>
                <w:szCs w:val="21"/>
              </w:rPr>
              <w:t>6.内置1路网络硬件音频解码模块，可连接功放拓展功率，有信号输出时指示灯亮；</w:t>
            </w:r>
            <w:r>
              <w:rPr>
                <w:rFonts w:hint="eastAsia" w:ascii="宋体" w:hAnsi="宋体" w:cs="宋体"/>
                <w:color w:val="000000"/>
                <w:kern w:val="0"/>
                <w:szCs w:val="21"/>
              </w:rPr>
              <w:br w:type="textWrapping"/>
            </w:r>
            <w:r>
              <w:rPr>
                <w:rFonts w:hint="eastAsia" w:ascii="宋体" w:hAnsi="宋体" w:cs="宋体"/>
                <w:color w:val="000000"/>
                <w:kern w:val="0"/>
                <w:szCs w:val="21"/>
              </w:rPr>
              <w:t>7.内置监听喇叭，支持本地监听，监听开关可控，监听音量可调；</w:t>
            </w:r>
            <w:r>
              <w:rPr>
                <w:rFonts w:hint="eastAsia" w:ascii="宋体" w:hAnsi="宋体" w:cs="宋体"/>
                <w:color w:val="000000"/>
                <w:kern w:val="0"/>
                <w:szCs w:val="21"/>
              </w:rPr>
              <w:br w:type="textWrapping"/>
            </w:r>
            <w:r>
              <w:rPr>
                <w:rFonts w:hint="eastAsia" w:ascii="宋体" w:hAnsi="宋体" w:cs="宋体"/>
                <w:color w:val="000000"/>
                <w:kern w:val="0"/>
                <w:szCs w:val="21"/>
              </w:rPr>
              <w:t>8.采用全数字化、高保真语音设计，支持最大48kHz采样率16bit MP3/ WAV/PCM数字音频码流解码，语音传输指数高；</w:t>
            </w:r>
            <w:r>
              <w:rPr>
                <w:rFonts w:hint="eastAsia" w:ascii="宋体" w:hAnsi="宋体" w:cs="宋体"/>
                <w:color w:val="000000"/>
                <w:kern w:val="0"/>
                <w:szCs w:val="21"/>
              </w:rPr>
              <w:br w:type="textWrapping"/>
            </w:r>
            <w:r>
              <w:rPr>
                <w:rFonts w:hint="eastAsia" w:ascii="宋体" w:hAnsi="宋体" w:cs="宋体"/>
                <w:color w:val="000000"/>
                <w:kern w:val="0"/>
                <w:szCs w:val="21"/>
              </w:rPr>
              <w:t>9.具有接受主机的控制命令，并实施相应操作的功能，实现分区广播、定时广播、分区寻呼、分区告警等功能；</w:t>
            </w:r>
            <w:r>
              <w:rPr>
                <w:rFonts w:hint="eastAsia" w:ascii="宋体" w:hAnsi="宋体" w:cs="宋体"/>
                <w:color w:val="000000"/>
                <w:kern w:val="0"/>
                <w:szCs w:val="21"/>
              </w:rPr>
              <w:br w:type="textWrapping"/>
            </w:r>
            <w:r>
              <w:rPr>
                <w:rFonts w:hint="eastAsia" w:ascii="宋体" w:hAnsi="宋体" w:cs="宋体"/>
                <w:color w:val="000000"/>
                <w:kern w:val="0"/>
                <w:szCs w:val="21"/>
              </w:rPr>
              <w:t>#10.具有点播功能：接上网络化点播面板，可以点播网络化广播中心的音源；（提供第三方权威机构的检测报告复印件并加盖公章）</w:t>
            </w:r>
            <w:r>
              <w:rPr>
                <w:rFonts w:hint="eastAsia" w:ascii="宋体" w:hAnsi="宋体" w:cs="宋体"/>
                <w:color w:val="000000"/>
                <w:kern w:val="0"/>
                <w:szCs w:val="21"/>
              </w:rPr>
              <w:br w:type="textWrapping"/>
            </w:r>
            <w:r>
              <w:rPr>
                <w:rFonts w:hint="eastAsia" w:ascii="宋体" w:hAnsi="宋体" w:cs="宋体"/>
                <w:color w:val="000000"/>
                <w:kern w:val="0"/>
                <w:szCs w:val="21"/>
              </w:rPr>
              <w:t>11.支持播放优先模式设置，提供本地、网络、混合三种模式可选；</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shd w:val="clear" w:color="auto" w:fill="auto"/>
            <w:vAlign w:val="center"/>
          </w:tcPr>
          <w:p>
            <w:pPr>
              <w:widowControl/>
              <w:jc w:val="left"/>
              <w:rPr>
                <w:rFonts w:ascii="宋体" w:hAnsi="宋体" w:cs="宋体"/>
                <w:color w:val="FF0000"/>
                <w:kern w:val="0"/>
                <w:szCs w:val="21"/>
              </w:rPr>
            </w:pPr>
            <w:r>
              <w:rPr>
                <w:rFonts w:hint="eastAsia" w:ascii="宋体" w:hAnsi="宋体" w:cs="宋体"/>
                <w:color w:val="FF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前置放大器</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1.支持≥5个话筒口输入，≥3个辅助口音频输入，≥1个优先口输入，≥4个输出口。</w:t>
            </w:r>
            <w:r>
              <w:rPr>
                <w:rFonts w:hint="eastAsia" w:ascii="宋体" w:hAnsi="宋体" w:cs="宋体"/>
                <w:color w:val="000000"/>
                <w:kern w:val="0"/>
                <w:szCs w:val="21"/>
              </w:rPr>
              <w:br w:type="textWrapping"/>
            </w:r>
            <w:r>
              <w:rPr>
                <w:rFonts w:hint="eastAsia" w:ascii="宋体" w:hAnsi="宋体" w:cs="宋体"/>
                <w:color w:val="000000"/>
                <w:kern w:val="0"/>
                <w:szCs w:val="21"/>
              </w:rPr>
              <w:t>2.支持各通道音量独立控制。</w:t>
            </w:r>
            <w:r>
              <w:rPr>
                <w:rFonts w:hint="eastAsia" w:ascii="宋体" w:hAnsi="宋体" w:cs="宋体"/>
                <w:color w:val="000000"/>
                <w:kern w:val="0"/>
                <w:szCs w:val="21"/>
              </w:rPr>
              <w:br w:type="textWrapping"/>
            </w:r>
            <w:r>
              <w:rPr>
                <w:rFonts w:hint="eastAsia" w:ascii="宋体" w:hAnsi="宋体" w:cs="宋体"/>
                <w:color w:val="000000"/>
                <w:kern w:val="0"/>
                <w:szCs w:val="21"/>
              </w:rPr>
              <w:t>3.支持高音和低音音调控制。</w:t>
            </w:r>
            <w:r>
              <w:rPr>
                <w:rFonts w:hint="eastAsia" w:ascii="宋体" w:hAnsi="宋体" w:cs="宋体"/>
                <w:color w:val="000000"/>
                <w:kern w:val="0"/>
                <w:szCs w:val="21"/>
              </w:rPr>
              <w:br w:type="textWrapping"/>
            </w:r>
            <w:r>
              <w:rPr>
                <w:rFonts w:hint="eastAsia" w:ascii="宋体" w:hAnsi="宋体" w:cs="宋体"/>
                <w:color w:val="000000"/>
                <w:kern w:val="0"/>
                <w:szCs w:val="21"/>
              </w:rPr>
              <w:t>4.支持强插功能。</w:t>
            </w:r>
            <w:r>
              <w:rPr>
                <w:rFonts w:hint="eastAsia" w:ascii="宋体" w:hAnsi="宋体" w:cs="宋体"/>
                <w:color w:val="000000"/>
                <w:kern w:val="0"/>
                <w:szCs w:val="21"/>
              </w:rPr>
              <w:br w:type="textWrapping"/>
            </w:r>
            <w:r>
              <w:rPr>
                <w:rFonts w:hint="eastAsia" w:ascii="宋体" w:hAnsi="宋体" w:cs="宋体"/>
                <w:color w:val="000000"/>
                <w:kern w:val="0"/>
                <w:szCs w:val="21"/>
              </w:rPr>
              <w:t>5.最小源电动势 Mic：≤3.2mV， 不平衡/Aux：≤300mV 不平衡/EMC：≤450mV</w:t>
            </w:r>
            <w:r>
              <w:rPr>
                <w:rFonts w:hint="eastAsia" w:ascii="宋体" w:hAnsi="宋体" w:cs="宋体"/>
                <w:color w:val="000000"/>
                <w:kern w:val="0"/>
                <w:szCs w:val="21"/>
              </w:rPr>
              <w:br w:type="textWrapping"/>
            </w:r>
            <w:r>
              <w:rPr>
                <w:rFonts w:hint="eastAsia" w:ascii="宋体" w:hAnsi="宋体" w:cs="宋体"/>
                <w:color w:val="000000"/>
                <w:kern w:val="0"/>
                <w:szCs w:val="21"/>
              </w:rPr>
              <w:t xml:space="preserve">6.频率响应 Line：30Hz-20KHz （±3dB） </w:t>
            </w:r>
            <w:r>
              <w:rPr>
                <w:rFonts w:hint="eastAsia" w:ascii="宋体" w:hAnsi="宋体" w:cs="宋体"/>
                <w:color w:val="000000"/>
                <w:kern w:val="0"/>
                <w:szCs w:val="21"/>
              </w:rPr>
              <w:br w:type="textWrapping"/>
            </w:r>
            <w:r>
              <w:rPr>
                <w:rFonts w:hint="eastAsia" w:ascii="宋体" w:hAnsi="宋体" w:cs="宋体"/>
                <w:color w:val="000000"/>
                <w:kern w:val="0"/>
                <w:szCs w:val="21"/>
              </w:rPr>
              <w:t>7.总谐波失真 Aux：≤0.1%（1KHz，额定正常工作条件）</w:t>
            </w:r>
            <w:r>
              <w:rPr>
                <w:rFonts w:hint="eastAsia" w:ascii="宋体" w:hAnsi="宋体" w:cs="宋体"/>
                <w:color w:val="000000"/>
                <w:kern w:val="0"/>
                <w:szCs w:val="21"/>
              </w:rPr>
              <w:br w:type="textWrapping"/>
            </w:r>
            <w:r>
              <w:rPr>
                <w:rFonts w:hint="eastAsia" w:ascii="宋体" w:hAnsi="宋体" w:cs="宋体"/>
                <w:color w:val="000000"/>
                <w:kern w:val="0"/>
                <w:szCs w:val="21"/>
              </w:rPr>
              <w:t>8.信噪比 Aux input：≥66dB</w:t>
            </w:r>
            <w:r>
              <w:rPr>
                <w:rFonts w:hint="eastAsia" w:ascii="宋体" w:hAnsi="宋体" w:cs="宋体"/>
                <w:color w:val="000000"/>
                <w:kern w:val="0"/>
                <w:szCs w:val="21"/>
              </w:rPr>
              <w:br w:type="textWrapping"/>
            </w:r>
            <w:r>
              <w:rPr>
                <w:rFonts w:hint="eastAsia" w:ascii="宋体" w:hAnsi="宋体" w:cs="宋体"/>
                <w:color w:val="000000"/>
                <w:kern w:val="0"/>
                <w:szCs w:val="21"/>
              </w:rPr>
              <w:t xml:space="preserve">9.音调调节范围 Bass：±10dB（100Hz）/Treble：±10dB（10kHz）  </w:t>
            </w:r>
            <w:r>
              <w:rPr>
                <w:rFonts w:hint="eastAsia" w:ascii="宋体" w:hAnsi="宋体" w:cs="宋体"/>
                <w:color w:val="000000"/>
                <w:kern w:val="0"/>
                <w:szCs w:val="21"/>
              </w:rPr>
              <w:br w:type="textWrapping"/>
            </w:r>
            <w:r>
              <w:rPr>
                <w:rFonts w:hint="eastAsia" w:ascii="宋体" w:hAnsi="宋体" w:cs="宋体"/>
                <w:color w:val="000000"/>
                <w:kern w:val="0"/>
                <w:szCs w:val="21"/>
              </w:rPr>
              <w:t>#10.需提供中国质量认证中心（CQC）公共广播/消防广播系统检验报告；</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网络化室内音箱</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1.采用自主研发的工程塑料模具倒模设计，用料环保无害，外观美观。</w:t>
            </w:r>
            <w:r>
              <w:rPr>
                <w:rFonts w:hint="eastAsia" w:ascii="宋体" w:hAnsi="宋体" w:cs="宋体"/>
                <w:color w:val="000000"/>
                <w:kern w:val="0"/>
                <w:szCs w:val="21"/>
              </w:rPr>
              <w:br w:type="textWrapping"/>
            </w:r>
            <w:r>
              <w:rPr>
                <w:rFonts w:hint="eastAsia" w:ascii="宋体" w:hAnsi="宋体" w:cs="宋体"/>
                <w:color w:val="000000"/>
                <w:kern w:val="0"/>
                <w:szCs w:val="21"/>
              </w:rPr>
              <w:t>#2.数码显示屏设计，既可显示实时时钟时间，也可设定显示播放进度时间（提供产品彩页与设备高清图片并加盖厂家公章）。</w:t>
            </w:r>
            <w:r>
              <w:rPr>
                <w:rFonts w:hint="eastAsia" w:ascii="宋体" w:hAnsi="宋体" w:cs="宋体"/>
                <w:color w:val="000000"/>
                <w:kern w:val="0"/>
                <w:szCs w:val="21"/>
              </w:rPr>
              <w:br w:type="textWrapping"/>
            </w:r>
            <w:r>
              <w:rPr>
                <w:rFonts w:hint="eastAsia" w:ascii="宋体" w:hAnsi="宋体" w:cs="宋体"/>
                <w:color w:val="000000"/>
                <w:kern w:val="0"/>
                <w:szCs w:val="21"/>
              </w:rPr>
              <w:t>#3.双网络接口冗余设计，可跨网段工作（提供设备高清图片并加盖厂家公章）。</w:t>
            </w:r>
            <w:r>
              <w:rPr>
                <w:rFonts w:hint="eastAsia" w:ascii="宋体" w:hAnsi="宋体" w:cs="宋体"/>
                <w:color w:val="000000"/>
                <w:kern w:val="0"/>
                <w:szCs w:val="21"/>
              </w:rPr>
              <w:br w:type="textWrapping"/>
            </w:r>
            <w:r>
              <w:rPr>
                <w:rFonts w:hint="eastAsia" w:ascii="宋体" w:hAnsi="宋体" w:cs="宋体"/>
                <w:color w:val="000000"/>
                <w:kern w:val="0"/>
                <w:szCs w:val="21"/>
              </w:rPr>
              <w:t>4.支持100/10Mbps自适应TCP/IP网络传输协议，内置≧2*15W高效率数字功放；</w:t>
            </w:r>
            <w:r>
              <w:rPr>
                <w:rFonts w:hint="eastAsia" w:ascii="宋体" w:hAnsi="宋体" w:cs="宋体"/>
                <w:color w:val="000000"/>
                <w:kern w:val="0"/>
                <w:szCs w:val="21"/>
              </w:rPr>
              <w:br w:type="textWrapping"/>
            </w:r>
            <w:r>
              <w:rPr>
                <w:rFonts w:hint="eastAsia" w:ascii="宋体" w:hAnsi="宋体" w:cs="宋体"/>
                <w:color w:val="000000"/>
                <w:kern w:val="0"/>
                <w:szCs w:val="21"/>
              </w:rPr>
              <w:t>5.内置高保真CD音质的解码芯片，最大支持48KHZ采样率16BIT的MP3音频流数据解码。</w:t>
            </w:r>
            <w:r>
              <w:rPr>
                <w:rFonts w:hint="eastAsia" w:ascii="宋体" w:hAnsi="宋体" w:cs="宋体"/>
                <w:color w:val="000000"/>
                <w:kern w:val="0"/>
                <w:szCs w:val="21"/>
              </w:rPr>
              <w:br w:type="textWrapping"/>
            </w:r>
            <w:r>
              <w:rPr>
                <w:rFonts w:hint="eastAsia" w:ascii="宋体" w:hAnsi="宋体" w:cs="宋体"/>
                <w:color w:val="000000"/>
                <w:kern w:val="0"/>
                <w:szCs w:val="21"/>
              </w:rPr>
              <w:t>6.支持一路AUX线路输入、一路话筒输入、一路AUX线路输出，方便扩展本地其它音源广播，与本地功率扩展。</w:t>
            </w:r>
            <w:r>
              <w:rPr>
                <w:rFonts w:hint="eastAsia" w:ascii="宋体" w:hAnsi="宋体" w:cs="宋体"/>
                <w:color w:val="000000"/>
                <w:kern w:val="0"/>
                <w:szCs w:val="21"/>
              </w:rPr>
              <w:br w:type="textWrapping"/>
            </w:r>
            <w:r>
              <w:rPr>
                <w:rFonts w:hint="eastAsia" w:ascii="宋体" w:hAnsi="宋体" w:cs="宋体"/>
                <w:color w:val="000000"/>
                <w:kern w:val="0"/>
                <w:szCs w:val="21"/>
              </w:rPr>
              <w:t>#7.支持100V定压备份功能：可接入消防紧急广播、多媒体系统音频信号等，在断网断电故障情况下，可自动切换到100V定压备份通道。（提供“具有备份功能的公共广播音箱及音箱系统”证明文件复印件并加盖公章）</w:t>
            </w:r>
            <w:r>
              <w:rPr>
                <w:rFonts w:hint="eastAsia" w:ascii="宋体" w:hAnsi="宋体" w:cs="宋体"/>
                <w:color w:val="000000"/>
                <w:kern w:val="0"/>
                <w:szCs w:val="21"/>
              </w:rPr>
              <w:br w:type="textWrapping"/>
            </w:r>
            <w:r>
              <w:rPr>
                <w:rFonts w:hint="eastAsia" w:ascii="宋体" w:hAnsi="宋体" w:cs="宋体"/>
                <w:color w:val="000000"/>
                <w:kern w:val="0"/>
                <w:szCs w:val="21"/>
              </w:rPr>
              <w:t>#8.支持点播功能：可以通过网络化点播面板进行点播播放网络化广播中心的音源（提供第三方检测报告复印件并加盖公章）。</w:t>
            </w:r>
            <w:r>
              <w:rPr>
                <w:rFonts w:hint="eastAsia" w:ascii="宋体" w:hAnsi="宋体" w:cs="宋体"/>
                <w:color w:val="000000"/>
                <w:kern w:val="0"/>
                <w:szCs w:val="21"/>
              </w:rPr>
              <w:br w:type="textWrapping"/>
            </w:r>
            <w:r>
              <w:rPr>
                <w:rFonts w:hint="eastAsia" w:ascii="宋体" w:hAnsi="宋体" w:cs="宋体"/>
                <w:color w:val="000000"/>
                <w:kern w:val="0"/>
                <w:szCs w:val="21"/>
              </w:rPr>
              <w:t>9.具有蓝牙功能：接上蓝牙麦克风控制面板后，可进行蓝牙播放；</w:t>
            </w:r>
            <w:r>
              <w:rPr>
                <w:rFonts w:hint="eastAsia" w:ascii="宋体" w:hAnsi="宋体" w:cs="宋体"/>
                <w:color w:val="000000"/>
                <w:kern w:val="0"/>
                <w:szCs w:val="21"/>
              </w:rPr>
              <w:br w:type="textWrapping"/>
            </w:r>
            <w:r>
              <w:rPr>
                <w:rFonts w:hint="eastAsia" w:ascii="宋体" w:hAnsi="宋体" w:cs="宋体"/>
                <w:color w:val="000000"/>
                <w:kern w:val="0"/>
                <w:szCs w:val="21"/>
              </w:rPr>
              <w:t>10.内置脱机本地定时点播放功能，定时节目备份存储到SD卡里，并全自动备份定时点节目。</w:t>
            </w:r>
            <w:r>
              <w:rPr>
                <w:rFonts w:hint="eastAsia" w:ascii="宋体" w:hAnsi="宋体" w:cs="宋体"/>
                <w:color w:val="000000"/>
                <w:kern w:val="0"/>
                <w:szCs w:val="21"/>
              </w:rPr>
              <w:br w:type="textWrapping"/>
            </w:r>
            <w:r>
              <w:rPr>
                <w:rFonts w:hint="eastAsia" w:ascii="宋体" w:hAnsi="宋体" w:cs="宋体"/>
                <w:color w:val="000000"/>
                <w:kern w:val="0"/>
                <w:szCs w:val="21"/>
              </w:rPr>
              <w:t>11.内置红外接收模块，可通过遥控器控制，方便易用。</w:t>
            </w:r>
            <w:r>
              <w:rPr>
                <w:rFonts w:hint="eastAsia" w:ascii="宋体" w:hAnsi="宋体" w:cs="宋体"/>
                <w:color w:val="000000"/>
                <w:kern w:val="0"/>
                <w:szCs w:val="21"/>
              </w:rPr>
              <w:br w:type="textWrapping"/>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主/备功放自动切换器</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1.能自动发现声频功放故障并在“主功放”和“ 备用功放”之间实现自动切换。</w:t>
            </w:r>
            <w:r>
              <w:rPr>
                <w:rFonts w:hint="eastAsia" w:ascii="宋体" w:hAnsi="宋体" w:cs="宋体"/>
                <w:color w:val="000000"/>
                <w:kern w:val="0"/>
                <w:szCs w:val="21"/>
              </w:rPr>
              <w:br w:type="textWrapping"/>
            </w:r>
            <w:r>
              <w:rPr>
                <w:rFonts w:hint="eastAsia" w:ascii="宋体" w:hAnsi="宋体" w:cs="宋体"/>
                <w:color w:val="000000"/>
                <w:kern w:val="0"/>
                <w:szCs w:val="21"/>
              </w:rPr>
              <w:t>2.具有4个完全相同的独立通道，每个通道均能完成主/备功放之自动检测与切换。</w:t>
            </w:r>
            <w:r>
              <w:rPr>
                <w:rFonts w:hint="eastAsia" w:ascii="宋体" w:hAnsi="宋体" w:cs="宋体"/>
                <w:color w:val="000000"/>
                <w:kern w:val="0"/>
                <w:szCs w:val="21"/>
              </w:rPr>
              <w:br w:type="textWrapping"/>
            </w:r>
            <w:r>
              <w:rPr>
                <w:rFonts w:hint="eastAsia" w:ascii="宋体" w:hAnsi="宋体" w:cs="宋体"/>
                <w:color w:val="000000"/>
                <w:kern w:val="0"/>
                <w:szCs w:val="21"/>
              </w:rPr>
              <w:t>3.兼有手动主/备切换之功能。</w:t>
            </w:r>
            <w:r>
              <w:rPr>
                <w:rFonts w:hint="eastAsia" w:ascii="宋体" w:hAnsi="宋体" w:cs="宋体"/>
                <w:color w:val="000000"/>
                <w:kern w:val="0"/>
                <w:szCs w:val="21"/>
              </w:rPr>
              <w:br w:type="textWrapping"/>
            </w:r>
            <w:r>
              <w:rPr>
                <w:rFonts w:hint="eastAsia" w:ascii="宋体" w:hAnsi="宋体" w:cs="宋体"/>
                <w:color w:val="000000"/>
                <w:kern w:val="0"/>
                <w:szCs w:val="21"/>
              </w:rPr>
              <w:t>4.可控通道组数 ≥4组</w:t>
            </w:r>
            <w:r>
              <w:rPr>
                <w:rFonts w:hint="eastAsia" w:ascii="宋体" w:hAnsi="宋体" w:cs="宋体"/>
                <w:color w:val="000000"/>
                <w:kern w:val="0"/>
                <w:szCs w:val="21"/>
              </w:rPr>
              <w:br w:type="textWrapping"/>
            </w:r>
            <w:r>
              <w:rPr>
                <w:rFonts w:hint="eastAsia" w:ascii="宋体" w:hAnsi="宋体" w:cs="宋体"/>
                <w:color w:val="000000"/>
                <w:kern w:val="0"/>
                <w:szCs w:val="21"/>
              </w:rPr>
              <w:t>5.通道工作容量 100V/10A（音频信号）</w:t>
            </w:r>
            <w:r>
              <w:rPr>
                <w:rFonts w:hint="eastAsia" w:ascii="宋体" w:hAnsi="宋体" w:cs="宋体"/>
                <w:color w:val="000000"/>
                <w:kern w:val="0"/>
                <w:szCs w:val="21"/>
              </w:rPr>
              <w:br w:type="textWrapping"/>
            </w:r>
            <w:r>
              <w:rPr>
                <w:rFonts w:hint="eastAsia" w:ascii="宋体" w:hAnsi="宋体" w:cs="宋体"/>
                <w:color w:val="000000"/>
                <w:kern w:val="0"/>
                <w:szCs w:val="21"/>
              </w:rPr>
              <w:t>6.功放增益要求 &gt;20dB</w:t>
            </w:r>
            <w:r>
              <w:rPr>
                <w:rFonts w:hint="eastAsia" w:ascii="宋体" w:hAnsi="宋体" w:cs="宋体"/>
                <w:color w:val="000000"/>
                <w:kern w:val="0"/>
                <w:szCs w:val="21"/>
              </w:rPr>
              <w:br w:type="textWrapping"/>
            </w:r>
            <w:r>
              <w:rPr>
                <w:rFonts w:hint="eastAsia" w:ascii="宋体" w:hAnsi="宋体" w:cs="宋体"/>
                <w:color w:val="000000"/>
                <w:kern w:val="0"/>
                <w:szCs w:val="21"/>
              </w:rPr>
              <w:t>7.故障切换时间 ≤200ms</w:t>
            </w:r>
            <w:r>
              <w:rPr>
                <w:rFonts w:hint="eastAsia" w:ascii="宋体" w:hAnsi="宋体" w:cs="宋体"/>
                <w:color w:val="000000"/>
                <w:kern w:val="0"/>
                <w:szCs w:val="21"/>
              </w:rPr>
              <w:br w:type="textWrapping"/>
            </w:r>
            <w:r>
              <w:rPr>
                <w:rFonts w:hint="eastAsia" w:ascii="宋体" w:hAnsi="宋体" w:cs="宋体"/>
                <w:color w:val="000000"/>
                <w:kern w:val="0"/>
                <w:szCs w:val="21"/>
              </w:rPr>
              <w:t>8.通道检测时间 ≤40ms</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426" w:type="pct"/>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纯后级广播功放</w:t>
            </w:r>
          </w:p>
        </w:tc>
        <w:tc>
          <w:tcPr>
            <w:tcW w:w="3388" w:type="pct"/>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1.3U标准机柜设计，工业级面板，两边延伸拉手，适用于机柜或桌面安装；</w:t>
            </w:r>
            <w:r>
              <w:rPr>
                <w:rFonts w:hint="eastAsia" w:ascii="宋体" w:hAnsi="宋体" w:cs="宋体"/>
                <w:color w:val="000000"/>
                <w:kern w:val="0"/>
                <w:szCs w:val="21"/>
              </w:rPr>
              <w:br w:type="textWrapping"/>
            </w:r>
            <w:r>
              <w:rPr>
                <w:rFonts w:hint="eastAsia" w:ascii="宋体" w:hAnsi="宋体" w:cs="宋体"/>
                <w:color w:val="000000"/>
                <w:kern w:val="0"/>
                <w:szCs w:val="21"/>
              </w:rPr>
              <w:t>2.自带一键开关按钮、一个音量调节旋钮，控制线路音量；</w:t>
            </w:r>
            <w:r>
              <w:rPr>
                <w:rFonts w:hint="eastAsia" w:ascii="宋体" w:hAnsi="宋体" w:cs="宋体"/>
                <w:color w:val="000000"/>
                <w:kern w:val="0"/>
                <w:szCs w:val="21"/>
              </w:rPr>
              <w:br w:type="textWrapping"/>
            </w:r>
            <w:r>
              <w:rPr>
                <w:rFonts w:hint="eastAsia" w:ascii="宋体" w:hAnsi="宋体" w:cs="宋体"/>
                <w:color w:val="000000"/>
                <w:kern w:val="0"/>
                <w:szCs w:val="21"/>
              </w:rPr>
              <w:t>3.自带≥5个LED指示灯，通过指示灯实时了解功放工作状态，指示灯状态有：“电源”,“削顶”,“信号”,“保护”和“超温”</w:t>
            </w:r>
            <w:r>
              <w:rPr>
                <w:rFonts w:hint="eastAsia" w:ascii="宋体" w:hAnsi="宋体" w:cs="宋体"/>
                <w:color w:val="000000"/>
                <w:kern w:val="0"/>
                <w:szCs w:val="21"/>
              </w:rPr>
              <w:br w:type="textWrapping"/>
            </w:r>
            <w:r>
              <w:rPr>
                <w:rFonts w:hint="eastAsia" w:ascii="宋体" w:hAnsi="宋体" w:cs="宋体"/>
                <w:color w:val="000000"/>
                <w:kern w:val="0"/>
                <w:szCs w:val="21"/>
              </w:rPr>
              <w:t>4.支持≥1路XLR插口音源输入，≥1路6.35mm 插口音源输入，≥1路XLR插口音源输出，≥1路 6.35mm 插口音源输出，可环接至下一台功放音频输入接口；</w:t>
            </w:r>
            <w:r>
              <w:rPr>
                <w:rFonts w:hint="eastAsia" w:ascii="宋体" w:hAnsi="宋体" w:cs="宋体"/>
                <w:color w:val="000000"/>
                <w:kern w:val="0"/>
                <w:szCs w:val="21"/>
              </w:rPr>
              <w:br w:type="textWrapping"/>
            </w:r>
            <w:r>
              <w:rPr>
                <w:rFonts w:hint="eastAsia" w:ascii="宋体" w:hAnsi="宋体" w:cs="宋体"/>
                <w:color w:val="000000"/>
                <w:kern w:val="0"/>
                <w:szCs w:val="21"/>
              </w:rPr>
              <w:t>5.支持定压70V、100V、COM口、定阻4Ω多个连接端口，适应不同场合；</w:t>
            </w:r>
            <w:r>
              <w:rPr>
                <w:rFonts w:hint="eastAsia" w:ascii="宋体" w:hAnsi="宋体" w:cs="宋体"/>
                <w:color w:val="000000"/>
                <w:kern w:val="0"/>
                <w:szCs w:val="21"/>
              </w:rPr>
              <w:br w:type="textWrapping"/>
            </w:r>
            <w:r>
              <w:rPr>
                <w:rFonts w:hint="eastAsia" w:ascii="宋体" w:hAnsi="宋体" w:cs="宋体"/>
                <w:color w:val="000000"/>
                <w:kern w:val="0"/>
                <w:szCs w:val="21"/>
              </w:rPr>
              <w:t xml:space="preserve">6.最大不失真输出功率：≥1530W（L=4Ω，THD=1%）；                                                                                     </w:t>
            </w:r>
            <w:r>
              <w:rPr>
                <w:rFonts w:hint="eastAsia" w:ascii="宋体" w:hAnsi="宋体" w:cs="宋体"/>
                <w:color w:val="000000"/>
                <w:kern w:val="0"/>
                <w:szCs w:val="21"/>
              </w:rPr>
              <w:br w:type="textWrapping"/>
            </w:r>
            <w:r>
              <w:rPr>
                <w:rFonts w:hint="eastAsia" w:ascii="宋体" w:hAnsi="宋体" w:cs="宋体"/>
                <w:color w:val="000000"/>
                <w:kern w:val="0"/>
                <w:szCs w:val="21"/>
              </w:rPr>
              <w:t>7.增益限制的有效频率范围：≥58Hz～38000Hz；</w:t>
            </w:r>
            <w:r>
              <w:rPr>
                <w:rFonts w:hint="eastAsia" w:ascii="宋体" w:hAnsi="宋体" w:cs="宋体"/>
                <w:color w:val="000000"/>
                <w:kern w:val="0"/>
                <w:szCs w:val="21"/>
              </w:rPr>
              <w:br w:type="textWrapping"/>
            </w:r>
            <w:r>
              <w:rPr>
                <w:rFonts w:hint="eastAsia" w:ascii="宋体" w:hAnsi="宋体" w:cs="宋体"/>
                <w:color w:val="000000"/>
                <w:kern w:val="0"/>
                <w:szCs w:val="21"/>
              </w:rPr>
              <w:t xml:space="preserve">8.总谐波失真：≤0.1%                                                                                                         </w:t>
            </w:r>
            <w:r>
              <w:rPr>
                <w:rFonts w:hint="eastAsia" w:ascii="宋体" w:hAnsi="宋体" w:cs="宋体"/>
                <w:color w:val="000000"/>
                <w:kern w:val="0"/>
                <w:szCs w:val="21"/>
              </w:rPr>
              <w:br w:type="textWrapping"/>
            </w:r>
            <w:r>
              <w:rPr>
                <w:rFonts w:hint="eastAsia" w:ascii="宋体" w:hAnsi="宋体" w:cs="宋体"/>
                <w:color w:val="000000"/>
                <w:kern w:val="0"/>
                <w:szCs w:val="21"/>
              </w:rPr>
              <w:t xml:space="preserve">9.最小源电动势：≤895mV；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10.信噪比（线路输入）：≥102dB；                                                                                                    </w:t>
            </w:r>
            <w:r>
              <w:rPr>
                <w:rFonts w:hint="eastAsia" w:ascii="宋体" w:hAnsi="宋体" w:cs="宋体"/>
                <w:color w:val="000000"/>
                <w:kern w:val="0"/>
                <w:szCs w:val="21"/>
              </w:rPr>
              <w:br w:type="textWrapping"/>
            </w:r>
            <w:r>
              <w:rPr>
                <w:rFonts w:hint="eastAsia" w:ascii="宋体" w:hAnsi="宋体" w:cs="宋体"/>
                <w:color w:val="000000"/>
                <w:kern w:val="0"/>
                <w:szCs w:val="21"/>
              </w:rPr>
              <w:t xml:space="preserve">#11.提供产品通过带有“ILAC-MRA/CNAS/CMA”标识的第三方检测报告证书复印件（报告内容需要包含第6、7、8、9、10项）；                                                                          </w:t>
            </w:r>
          </w:p>
        </w:tc>
        <w:tc>
          <w:tcPr>
            <w:tcW w:w="393"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台</w:t>
            </w:r>
          </w:p>
        </w:tc>
        <w:tc>
          <w:tcPr>
            <w:tcW w:w="228" w:type="pct"/>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565" w:type="pct"/>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核心产品　</w:t>
            </w:r>
          </w:p>
        </w:tc>
      </w:tr>
    </w:tbl>
    <w:p>
      <w:pPr>
        <w:spacing w:line="360" w:lineRule="auto"/>
        <w:ind w:left="424" w:leftChars="202"/>
        <w:rPr>
          <w:rFonts w:ascii="宋体" w:hAnsi="宋体"/>
          <w:b/>
          <w:bCs/>
          <w:color w:val="FF0000"/>
          <w:szCs w:val="21"/>
          <w:u w:val="single"/>
        </w:rPr>
      </w:pPr>
      <w:r>
        <w:rPr>
          <w:rFonts w:hint="eastAsia" w:ascii="宋体" w:hAnsi="宋体"/>
          <w:b/>
          <w:bCs/>
          <w:color w:val="FF0000"/>
          <w:szCs w:val="21"/>
          <w:u w:val="single"/>
        </w:rPr>
        <w:t>*核心产品：谈判过程中一个品牌的核心产品即便由多家代理商代理，也只能算作一家单位响应，如果不满足三个品牌，则废标！</w:t>
      </w:r>
    </w:p>
    <w:p>
      <w:pPr>
        <w:spacing w:line="360" w:lineRule="auto"/>
        <w:rPr>
          <w:rFonts w:ascii="宋体" w:hAnsi="宋体"/>
          <w:szCs w:val="21"/>
        </w:rPr>
      </w:pPr>
      <w:r>
        <w:rPr>
          <w:rFonts w:hint="eastAsia" w:ascii="宋体" w:hAnsi="宋体"/>
          <w:szCs w:val="21"/>
        </w:rPr>
        <w:t>五、采购标的的验收标准；</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1）技术参数与采购合同一致，性能指标达到规定的标准。</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2）货物技术资料、功能清单等资料齐全。</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3）在系统试运行期间所出现的问题得到解决，并运行正常。</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4）在规定时间内完成交货并验收，并经用户方确认。</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5）产品在安装调试并试运行符合要求后，才作为最终验收。</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6）供应商提供的货物未达到</w:t>
      </w:r>
      <w:r>
        <w:rPr>
          <w:rFonts w:hint="eastAsia" w:ascii="宋体" w:hAnsi="宋体"/>
          <w:szCs w:val="21"/>
        </w:rPr>
        <w:t>谈判</w:t>
      </w:r>
      <w:r>
        <w:rPr>
          <w:rFonts w:ascii="宋体" w:hAnsi="宋体"/>
          <w:szCs w:val="21"/>
        </w:rPr>
        <w:t>文件规定要求，且对用户方造成损失的，由供应商承担一切责任，并赔偿所造成的损失。</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7）用户方需要供应商对交付的产品（包括质量、技术参数等）进行确认的，供应商应予以配合，并出具书面意见。</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8）验收内容：设备中的配置及数量是否与合同中的要求相符。设备是否完好无损，是否正常工作。</w:t>
      </w:r>
    </w:p>
    <w:p>
      <w:pPr>
        <w:spacing w:line="360" w:lineRule="auto"/>
        <w:ind w:left="424" w:leftChars="202" w:firstLine="420" w:firstLineChars="200"/>
        <w:rPr>
          <w:rFonts w:ascii="宋体" w:hAnsi="宋体"/>
          <w:szCs w:val="21"/>
        </w:rPr>
      </w:pPr>
      <w:r>
        <w:rPr>
          <w:rFonts w:hint="eastAsia" w:ascii="宋体" w:hAnsi="宋体"/>
          <w:szCs w:val="21"/>
        </w:rPr>
        <w:t>（</w:t>
      </w:r>
      <w:r>
        <w:rPr>
          <w:rFonts w:ascii="宋体" w:hAnsi="宋体"/>
          <w:szCs w:val="21"/>
        </w:rPr>
        <w:t>9）系统功能验收以招标文件规定的系统功能为标准。</w:t>
      </w:r>
    </w:p>
    <w:p>
      <w:pPr>
        <w:spacing w:line="360" w:lineRule="auto"/>
        <w:ind w:firstLine="630"/>
        <w:rPr>
          <w:rFonts w:ascii="仿宋" w:hAnsi="仿宋" w:eastAsia="仿宋"/>
          <w:sz w:val="24"/>
        </w:rPr>
      </w:pPr>
    </w:p>
    <w:p>
      <w:pPr>
        <w:autoSpaceDE w:val="0"/>
        <w:autoSpaceDN w:val="0"/>
        <w:adjustRightInd w:val="0"/>
        <w:snapToGrid w:val="0"/>
        <w:spacing w:before="312" w:beforeLines="100" w:after="312" w:afterLines="100"/>
        <w:jc w:val="center"/>
        <w:outlineLvl w:val="0"/>
        <w:rPr>
          <w:rFonts w:ascii="宋体" w:hAnsi="宋体" w:cs="黑体"/>
          <w:b/>
          <w:bCs/>
          <w:kern w:val="0"/>
          <w:sz w:val="32"/>
          <w:szCs w:val="32"/>
        </w:rPr>
      </w:pPr>
      <w:bookmarkStart w:id="177" w:name="_Toc61594802"/>
      <w:r>
        <w:rPr>
          <w:rFonts w:hint="eastAsia" w:ascii="宋体" w:hAnsi="宋体" w:cs="黑体"/>
          <w:b/>
          <w:bCs/>
          <w:kern w:val="0"/>
          <w:sz w:val="32"/>
          <w:szCs w:val="32"/>
        </w:rPr>
        <w:t>第六章 响应文件格式</w:t>
      </w:r>
      <w:bookmarkEnd w:id="177"/>
    </w:p>
    <w:p>
      <w:pPr>
        <w:widowControl/>
        <w:jc w:val="left"/>
        <w:rPr>
          <w:rFonts w:ascii="宋体" w:hAnsi="宋体" w:cs="宋体"/>
          <w:b/>
          <w:bCs/>
          <w:sz w:val="28"/>
          <w:szCs w:val="28"/>
        </w:rPr>
      </w:pPr>
      <w:bookmarkStart w:id="178" w:name="_Toc42712179"/>
      <w:bookmarkStart w:id="179" w:name="_Toc38371869"/>
      <w:bookmarkStart w:id="180" w:name="_Toc47370482"/>
      <w:bookmarkStart w:id="181" w:name="_Toc35978468"/>
      <w:bookmarkStart w:id="182" w:name="_Toc49944484"/>
      <w:bookmarkStart w:id="183" w:name="_Toc17088"/>
      <w:bookmarkStart w:id="184" w:name="_Toc35978216"/>
      <w:bookmarkStart w:id="185" w:name="_Toc17571"/>
      <w:r>
        <w:rPr>
          <w:rFonts w:ascii="宋体" w:hAnsi="宋体" w:cs="宋体"/>
          <w:sz w:val="28"/>
          <w:szCs w:val="28"/>
        </w:rPr>
        <w:br w:type="page"/>
      </w:r>
    </w:p>
    <w:p>
      <w:pPr>
        <w:pStyle w:val="4"/>
        <w:spacing w:before="0" w:after="0" w:line="360" w:lineRule="auto"/>
        <w:jc w:val="center"/>
        <w:rPr>
          <w:rFonts w:ascii="宋体" w:hAnsi="宋体" w:eastAsia="宋体" w:cs="宋体"/>
          <w:sz w:val="24"/>
          <w:szCs w:val="24"/>
        </w:rPr>
      </w:pPr>
      <w:bookmarkStart w:id="186" w:name="_Toc61594803"/>
      <w:r>
        <w:rPr>
          <w:rFonts w:hint="eastAsia" w:ascii="宋体" w:hAnsi="宋体" w:eastAsia="宋体" w:cs="宋体"/>
          <w:sz w:val="28"/>
          <w:szCs w:val="28"/>
        </w:rPr>
        <w:t>递交响应文件登记表</w:t>
      </w:r>
      <w:bookmarkEnd w:id="178"/>
      <w:bookmarkEnd w:id="179"/>
      <w:bookmarkEnd w:id="180"/>
      <w:bookmarkEnd w:id="181"/>
      <w:bookmarkEnd w:id="182"/>
      <w:bookmarkEnd w:id="183"/>
      <w:bookmarkEnd w:id="184"/>
      <w:bookmarkEnd w:id="185"/>
      <w:bookmarkEnd w:id="186"/>
    </w:p>
    <w:p>
      <w:pPr>
        <w:spacing w:line="360" w:lineRule="auto"/>
        <w:rPr>
          <w:rFonts w:ascii="宋体" w:hAnsi="宋体" w:cs="宋体"/>
        </w:rPr>
      </w:pPr>
      <w:r>
        <w:rPr>
          <w:rFonts w:hint="eastAsia" w:ascii="宋体" w:hAnsi="宋体" w:cs="宋体"/>
        </w:rPr>
        <w:t>项目名称：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rPr>
          <w:rFonts w:ascii="宋体" w:hAnsi="宋体" w:cs="宋体"/>
          <w:b/>
          <w:bCs/>
          <w:u w:val="single"/>
        </w:rPr>
      </w:pPr>
      <w:r>
        <w:rPr>
          <w:rFonts w:hint="eastAsia" w:ascii="宋体" w:hAnsi="宋体" w:cs="宋体"/>
        </w:rPr>
        <w:t>项目编号：</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响应截止时间：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bl>
      <w:tblPr>
        <w:tblStyle w:val="73"/>
        <w:tblW w:w="90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701"/>
        <w:gridCol w:w="1134"/>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b/>
                <w:bCs/>
                <w:kern w:val="0"/>
              </w:rPr>
            </w:pPr>
            <w:r>
              <w:rPr>
                <w:rFonts w:hint="eastAsia" w:ascii="宋体" w:hAnsi="宋体" w:cs="宋体"/>
                <w:b/>
                <w:bCs/>
                <w:kern w:val="0"/>
              </w:rPr>
              <w:t>项    目</w:t>
            </w:r>
          </w:p>
        </w:tc>
        <w:tc>
          <w:tcPr>
            <w:tcW w:w="7655" w:type="dxa"/>
            <w:gridSpan w:val="5"/>
            <w:vAlign w:val="center"/>
          </w:tcPr>
          <w:p>
            <w:pPr>
              <w:widowControl/>
              <w:spacing w:line="360" w:lineRule="auto"/>
              <w:jc w:val="center"/>
              <w:rPr>
                <w:rFonts w:ascii="宋体" w:hAnsi="宋体" w:cs="宋体"/>
                <w:b/>
                <w:bCs/>
                <w:kern w:val="0"/>
              </w:rPr>
            </w:pPr>
            <w:r>
              <w:rPr>
                <w:rFonts w:hint="eastAsia" w:ascii="宋体" w:hAnsi="宋体" w:cs="宋体"/>
                <w:b/>
                <w:bCs/>
                <w:kern w:val="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供应商</w:t>
            </w:r>
          </w:p>
          <w:p>
            <w:pPr>
              <w:widowControl/>
              <w:spacing w:line="360" w:lineRule="auto"/>
              <w:jc w:val="center"/>
              <w:rPr>
                <w:rFonts w:ascii="宋体" w:hAnsi="宋体" w:cs="宋体"/>
                <w:kern w:val="0"/>
              </w:rPr>
            </w:pPr>
            <w:r>
              <w:rPr>
                <w:rFonts w:hint="eastAsia" w:ascii="宋体" w:hAnsi="宋体" w:cs="宋体"/>
                <w:kern w:val="0"/>
              </w:rPr>
              <w:t>（单位全称）</w:t>
            </w: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p>
            <w:pPr>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正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副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电子版</w:t>
            </w:r>
          </w:p>
        </w:tc>
        <w:tc>
          <w:tcPr>
            <w:tcW w:w="1701"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 xml:space="preserve">□无   </w:t>
            </w:r>
          </w:p>
        </w:tc>
        <w:tc>
          <w:tcPr>
            <w:tcW w:w="4678" w:type="dxa"/>
            <w:gridSpan w:val="3"/>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tcBorders>
              <w:top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4678" w:type="dxa"/>
            <w:gridSpan w:val="3"/>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，介质：</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；数量：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联 系 人</w:t>
            </w: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姓  名</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手  机</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电  话</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传  真</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E-mail</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谈判保证金</w:t>
            </w:r>
          </w:p>
        </w:tc>
        <w:tc>
          <w:tcPr>
            <w:tcW w:w="1276"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□无</w:t>
            </w:r>
          </w:p>
        </w:tc>
        <w:tc>
          <w:tcPr>
            <w:tcW w:w="6379" w:type="dxa"/>
            <w:gridSpan w:val="4"/>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tcBorders>
              <w:bottom w:val="double" w:color="auto" w:sz="4" w:space="0"/>
            </w:tcBorders>
            <w:vAlign w:val="center"/>
          </w:tcPr>
          <w:p>
            <w:pPr>
              <w:widowControl/>
              <w:spacing w:line="360" w:lineRule="auto"/>
              <w:jc w:val="left"/>
              <w:rPr>
                <w:rFonts w:ascii="宋体" w:hAnsi="宋体" w:cs="宋体"/>
                <w:kern w:val="0"/>
              </w:rPr>
            </w:pPr>
          </w:p>
        </w:tc>
        <w:tc>
          <w:tcPr>
            <w:tcW w:w="1276" w:type="dxa"/>
            <w:tcBorders>
              <w:top w:val="nil"/>
              <w:bottom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6379" w:type="dxa"/>
            <w:gridSpan w:val="4"/>
            <w:tcBorders>
              <w:top w:val="nil"/>
              <w:left w:val="nil"/>
              <w:bottom w:val="doub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，形式：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；金额：</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8" w:type="dxa"/>
            <w:gridSpan w:val="6"/>
            <w:tcBorders>
              <w:top w:val="double" w:color="auto" w:sz="4" w:space="0"/>
              <w:bottom w:val="double" w:color="auto" w:sz="4" w:space="0"/>
            </w:tcBorders>
            <w:vAlign w:val="center"/>
          </w:tcPr>
          <w:p>
            <w:pPr>
              <w:widowControl/>
              <w:spacing w:line="360" w:lineRule="auto"/>
              <w:jc w:val="center"/>
              <w:rPr>
                <w:rFonts w:ascii="宋体" w:hAnsi="宋体" w:cs="宋体"/>
                <w:b/>
                <w:bCs/>
                <w:kern w:val="0"/>
              </w:rPr>
            </w:pPr>
            <w:r>
              <w:rPr>
                <w:rFonts w:hint="eastAsia" w:ascii="宋体" w:hAnsi="宋体" w:cs="宋体"/>
                <w:b/>
                <w:bCs/>
                <w:kern w:val="0"/>
              </w:rPr>
              <w:t>上述内容由供应商代表使用正楷字填写；下述内容由采购代理机构工作人员填写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tcBorders>
              <w:top w:val="doub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递交时间</w:t>
            </w:r>
          </w:p>
        </w:tc>
        <w:tc>
          <w:tcPr>
            <w:tcW w:w="4111" w:type="dxa"/>
            <w:gridSpan w:val="3"/>
            <w:vMerge w:val="restart"/>
            <w:tcBorders>
              <w:top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日</w:t>
            </w:r>
          </w:p>
        </w:tc>
        <w:tc>
          <w:tcPr>
            <w:tcW w:w="850" w:type="dxa"/>
            <w:tcBorders>
              <w:top w:val="double" w:color="auto" w:sz="4" w:space="0"/>
              <w:left w:val="nil"/>
              <w:bottom w:val="nil"/>
              <w:right w:val="nil"/>
            </w:tcBorders>
            <w:vAlign w:val="bottom"/>
          </w:tcPr>
          <w:p>
            <w:pPr>
              <w:widowControl/>
              <w:spacing w:line="360" w:lineRule="auto"/>
              <w:jc w:val="center"/>
              <w:rPr>
                <w:rFonts w:ascii="宋体" w:hAnsi="宋体" w:cs="宋体"/>
                <w:kern w:val="0"/>
              </w:rPr>
            </w:pPr>
            <w:r>
              <w:rPr>
                <w:rFonts w:hint="eastAsia" w:ascii="宋体" w:hAnsi="宋体" w:cs="宋体"/>
                <w:kern w:val="0"/>
              </w:rPr>
              <w:t>□上午</w:t>
            </w:r>
          </w:p>
        </w:tc>
        <w:tc>
          <w:tcPr>
            <w:tcW w:w="2694" w:type="dxa"/>
            <w:vMerge w:val="restart"/>
            <w:tcBorders>
              <w:top w:val="double" w:color="auto" w:sz="4" w:space="0"/>
              <w:left w:val="nil"/>
            </w:tcBorders>
            <w:vAlign w:val="center"/>
          </w:tcPr>
          <w:p>
            <w:pPr>
              <w:widowControl/>
              <w:spacing w:line="360" w:lineRule="auto"/>
              <w:jc w:val="lef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时</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4111" w:type="dxa"/>
            <w:gridSpan w:val="3"/>
            <w:vMerge w:val="continue"/>
            <w:tcBorders>
              <w:right w:val="nil"/>
            </w:tcBorders>
            <w:vAlign w:val="center"/>
          </w:tcPr>
          <w:p>
            <w:pPr>
              <w:widowControl/>
              <w:spacing w:line="360" w:lineRule="auto"/>
              <w:jc w:val="left"/>
              <w:rPr>
                <w:rFonts w:ascii="宋体" w:hAnsi="宋体" w:cs="宋体"/>
                <w:kern w:val="0"/>
              </w:rPr>
            </w:pPr>
          </w:p>
        </w:tc>
        <w:tc>
          <w:tcPr>
            <w:tcW w:w="850" w:type="dxa"/>
            <w:tcBorders>
              <w:top w:val="nil"/>
              <w:left w:val="nil"/>
              <w:right w:val="nil"/>
            </w:tcBorders>
          </w:tcPr>
          <w:p>
            <w:pPr>
              <w:widowControl/>
              <w:spacing w:line="360" w:lineRule="auto"/>
              <w:jc w:val="center"/>
              <w:rPr>
                <w:rFonts w:ascii="宋体" w:hAnsi="宋体" w:cs="宋体"/>
                <w:kern w:val="0"/>
              </w:rPr>
            </w:pPr>
            <w:r>
              <w:rPr>
                <w:rFonts w:hint="eastAsia" w:ascii="宋体" w:hAnsi="宋体" w:cs="宋体"/>
                <w:kern w:val="0"/>
              </w:rPr>
              <w:t>□下午</w:t>
            </w:r>
          </w:p>
        </w:tc>
        <w:tc>
          <w:tcPr>
            <w:tcW w:w="2694" w:type="dxa"/>
            <w:vMerge w:val="continue"/>
            <w:tcBorders>
              <w:left w:val="nil"/>
            </w:tcBorders>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递交方式</w:t>
            </w:r>
          </w:p>
        </w:tc>
        <w:tc>
          <w:tcPr>
            <w:tcW w:w="2977" w:type="dxa"/>
            <w:gridSpan w:val="2"/>
            <w:tcBorders>
              <w:bottom w:val="nil"/>
            </w:tcBorders>
            <w:vAlign w:val="center"/>
          </w:tcPr>
          <w:p>
            <w:pPr>
              <w:widowControl/>
              <w:spacing w:line="360" w:lineRule="auto"/>
              <w:jc w:val="left"/>
              <w:rPr>
                <w:rFonts w:ascii="宋体" w:hAnsi="宋体" w:cs="宋体"/>
                <w:kern w:val="0"/>
              </w:rPr>
            </w:pPr>
            <w:r>
              <w:rPr>
                <w:rFonts w:hint="eastAsia" w:ascii="宋体" w:hAnsi="宋体" w:cs="宋体"/>
                <w:kern w:val="0"/>
              </w:rPr>
              <w:t>□现场递交</w:t>
            </w:r>
          </w:p>
        </w:tc>
        <w:tc>
          <w:tcPr>
            <w:tcW w:w="1984" w:type="dxa"/>
            <w:gridSpan w:val="2"/>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p>
            <w:pPr>
              <w:widowControl/>
              <w:spacing w:line="360" w:lineRule="auto"/>
              <w:jc w:val="center"/>
              <w:rPr>
                <w:rFonts w:ascii="宋体" w:hAnsi="宋体" w:cs="宋体"/>
                <w:kern w:val="0"/>
              </w:rPr>
            </w:pPr>
            <w:r>
              <w:rPr>
                <w:rFonts w:hint="eastAsia" w:ascii="宋体" w:hAnsi="宋体" w:cs="宋体"/>
                <w:kern w:val="0"/>
              </w:rPr>
              <w:t>密封情况</w:t>
            </w:r>
          </w:p>
        </w:tc>
        <w:tc>
          <w:tcPr>
            <w:tcW w:w="269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bottom w:val="nil"/>
            </w:tcBorders>
            <w:vAlign w:val="center"/>
          </w:tcPr>
          <w:p>
            <w:pPr>
              <w:widowControl/>
              <w:spacing w:line="360" w:lineRule="auto"/>
              <w:jc w:val="left"/>
              <w:rPr>
                <w:rFonts w:ascii="宋体" w:hAnsi="宋体" w:cs="宋体"/>
                <w:kern w:val="0"/>
              </w:rPr>
            </w:pPr>
            <w:r>
              <w:rPr>
                <w:rFonts w:hint="eastAsia" w:ascii="宋体" w:hAnsi="宋体" w:cs="宋体"/>
                <w:kern w:val="0"/>
              </w:rPr>
              <w:t>□邮寄递交</w:t>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tcBorders>
            <w:vAlign w:val="center"/>
          </w:tcPr>
          <w:p>
            <w:pPr>
              <w:widowControl/>
              <w:spacing w:line="360" w:lineRule="auto"/>
              <w:jc w:val="left"/>
              <w:rPr>
                <w:rFonts w:ascii="宋体" w:hAnsi="宋体" w:cs="宋体"/>
                <w:kern w:val="0"/>
              </w:rPr>
            </w:pPr>
            <w:r>
              <w:rPr>
                <w:rFonts w:hint="eastAsia" w:ascii="宋体" w:hAnsi="宋体" w:cs="宋体"/>
                <w:kern w:val="0"/>
              </w:rPr>
              <w:t>□其他方式：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递交顺序</w:t>
            </w:r>
          </w:p>
        </w:tc>
        <w:tc>
          <w:tcPr>
            <w:tcW w:w="2977" w:type="dxa"/>
            <w:gridSpan w:val="2"/>
            <w:vAlign w:val="center"/>
          </w:tcPr>
          <w:p>
            <w:pPr>
              <w:widowControl/>
              <w:spacing w:line="360" w:lineRule="auto"/>
              <w:jc w:val="center"/>
              <w:rPr>
                <w:rFonts w:ascii="宋体" w:hAnsi="宋体" w:cs="宋体"/>
                <w:kern w:val="0"/>
              </w:rPr>
            </w:pPr>
            <w:r>
              <w:rPr>
                <w:rFonts w:hint="eastAsia" w:ascii="宋体" w:hAnsi="宋体" w:cs="宋体"/>
                <w:kern w:val="0"/>
              </w:rPr>
              <w:t>　</w:t>
            </w:r>
          </w:p>
        </w:tc>
        <w:tc>
          <w:tcPr>
            <w:tcW w:w="1984" w:type="dxa"/>
            <w:gridSpan w:val="2"/>
            <w:vAlign w:val="center"/>
          </w:tcPr>
          <w:p>
            <w:pPr>
              <w:widowControl/>
              <w:spacing w:line="360" w:lineRule="auto"/>
              <w:jc w:val="center"/>
              <w:rPr>
                <w:rFonts w:ascii="宋体" w:hAnsi="宋体" w:cs="宋体"/>
                <w:kern w:val="0"/>
              </w:rPr>
            </w:pPr>
            <w:r>
              <w:rPr>
                <w:rFonts w:hint="eastAsia" w:ascii="宋体" w:hAnsi="宋体" w:cs="宋体"/>
                <w:kern w:val="0"/>
              </w:rPr>
              <w:t>接收人员签字</w:t>
            </w:r>
          </w:p>
        </w:tc>
        <w:tc>
          <w:tcPr>
            <w:tcW w:w="2694" w:type="dxa"/>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备注及说明</w:t>
            </w: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tc>
      </w:tr>
    </w:tbl>
    <w:p>
      <w:pPr>
        <w:spacing w:line="360" w:lineRule="auto"/>
        <w:rPr>
          <w:rFonts w:ascii="宋体" w:hAnsi="宋体" w:cs="宋体"/>
          <w:b/>
          <w:bCs/>
        </w:rPr>
      </w:pPr>
      <w:r>
        <w:rPr>
          <w:rFonts w:hint="eastAsia" w:ascii="宋体" w:hAnsi="宋体" w:cs="宋体"/>
          <w:b/>
          <w:bCs/>
        </w:rPr>
        <w:t>注：本附件</w:t>
      </w:r>
      <w:bookmarkStart w:id="187" w:name="_Hlk3968053"/>
      <w:r>
        <w:rPr>
          <w:rFonts w:hint="eastAsia" w:ascii="宋体" w:hAnsi="宋体" w:cs="宋体"/>
          <w:b/>
          <w:bCs/>
        </w:rPr>
        <w:t>请供应商在递交响应文件时单独递交（无须密封），不要装订在响应文件中。</w:t>
      </w:r>
      <w:bookmarkEnd w:id="187"/>
    </w:p>
    <w:p>
      <w:pPr>
        <w:pStyle w:val="4"/>
        <w:spacing w:before="0" w:after="0" w:line="360" w:lineRule="auto"/>
        <w:jc w:val="center"/>
        <w:rPr>
          <w:rFonts w:ascii="宋体" w:hAnsi="宋体" w:eastAsia="宋体" w:cs="宋体"/>
          <w:sz w:val="24"/>
          <w:szCs w:val="24"/>
        </w:rPr>
      </w:pPr>
      <w:r>
        <w:rPr>
          <w:rFonts w:hint="eastAsia" w:ascii="宋体" w:hAnsi="宋体" w:eastAsia="宋体" w:cs="宋体"/>
        </w:rPr>
        <w:br w:type="page"/>
      </w:r>
      <w:bookmarkStart w:id="188" w:name="_Toc24311"/>
      <w:bookmarkStart w:id="189" w:name="_Toc49944485"/>
      <w:bookmarkStart w:id="190" w:name="_Toc35978217"/>
      <w:bookmarkStart w:id="191" w:name="_Toc42712180"/>
      <w:bookmarkStart w:id="192" w:name="_Toc47370483"/>
      <w:bookmarkStart w:id="193" w:name="_Toc35978469"/>
      <w:bookmarkStart w:id="194" w:name="_Toc38371870"/>
      <w:bookmarkStart w:id="195" w:name="_Toc9195"/>
      <w:bookmarkStart w:id="196" w:name="_Toc61594804"/>
      <w:r>
        <w:rPr>
          <w:rFonts w:hint="eastAsia" w:ascii="宋体" w:hAnsi="宋体" w:eastAsia="宋体" w:cs="宋体"/>
          <w:sz w:val="28"/>
          <w:szCs w:val="28"/>
        </w:rPr>
        <w:t>谈判保证金信息表</w:t>
      </w:r>
      <w:bookmarkEnd w:id="188"/>
      <w:bookmarkEnd w:id="189"/>
      <w:bookmarkEnd w:id="190"/>
      <w:bookmarkEnd w:id="191"/>
      <w:bookmarkEnd w:id="192"/>
      <w:bookmarkEnd w:id="193"/>
      <w:bookmarkEnd w:id="194"/>
      <w:bookmarkEnd w:id="195"/>
      <w:bookmarkEnd w:id="196"/>
    </w:p>
    <w:tbl>
      <w:tblPr>
        <w:tblStyle w:val="73"/>
        <w:tblW w:w="8861"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342"/>
        <w:gridCol w:w="677"/>
        <w:gridCol w:w="851"/>
        <w:gridCol w:w="1204"/>
        <w:gridCol w:w="2055"/>
        <w:gridCol w:w="102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tcPr>
          <w:p>
            <w:pPr>
              <w:spacing w:line="300" w:lineRule="exact"/>
              <w:jc w:val="center"/>
              <w:rPr>
                <w:rFonts w:ascii="宋体" w:hAnsi="宋体" w:cs="宋体"/>
                <w:b/>
                <w:bCs/>
              </w:rPr>
            </w:pPr>
            <w:r>
              <w:rPr>
                <w:rFonts w:hint="eastAsia" w:ascii="宋体" w:hAnsi="宋体" w:cs="宋体"/>
                <w:b/>
                <w:bCs/>
              </w:rPr>
              <w:t>序号</w:t>
            </w:r>
          </w:p>
        </w:tc>
        <w:tc>
          <w:tcPr>
            <w:tcW w:w="2342" w:type="dxa"/>
          </w:tcPr>
          <w:p>
            <w:pPr>
              <w:spacing w:line="300" w:lineRule="exact"/>
              <w:jc w:val="center"/>
              <w:rPr>
                <w:rFonts w:ascii="宋体" w:hAnsi="宋体" w:cs="宋体"/>
                <w:b/>
                <w:bCs/>
              </w:rPr>
            </w:pPr>
            <w:r>
              <w:rPr>
                <w:rFonts w:hint="eastAsia" w:ascii="宋体" w:hAnsi="宋体" w:cs="宋体"/>
                <w:b/>
                <w:bCs/>
              </w:rPr>
              <w:t>类别</w:t>
            </w:r>
          </w:p>
        </w:tc>
        <w:tc>
          <w:tcPr>
            <w:tcW w:w="5812" w:type="dxa"/>
            <w:gridSpan w:val="5"/>
          </w:tcPr>
          <w:p>
            <w:pPr>
              <w:spacing w:line="300" w:lineRule="exact"/>
              <w:jc w:val="center"/>
              <w:rPr>
                <w:rFonts w:ascii="宋体" w:hAnsi="宋体" w:cs="宋体"/>
                <w:b/>
                <w:bCs/>
              </w:rPr>
            </w:pPr>
            <w:r>
              <w:rPr>
                <w:rFonts w:hint="eastAsia" w:ascii="宋体" w:hAnsi="宋体" w:cs="宋体"/>
                <w:b/>
                <w:bCs/>
              </w:rPr>
              <w:t>具体信息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1</w:t>
            </w:r>
          </w:p>
        </w:tc>
        <w:tc>
          <w:tcPr>
            <w:tcW w:w="2342" w:type="dxa"/>
          </w:tcPr>
          <w:p>
            <w:pPr>
              <w:spacing w:line="300" w:lineRule="exact"/>
              <w:jc w:val="center"/>
              <w:rPr>
                <w:rFonts w:ascii="宋体" w:hAnsi="宋体" w:cs="宋体"/>
              </w:rPr>
            </w:pPr>
            <w:r>
              <w:rPr>
                <w:rFonts w:hint="eastAsia" w:ascii="宋体" w:hAnsi="宋体" w:cs="宋体"/>
              </w:rPr>
              <w:t>项目名称</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2</w:t>
            </w:r>
          </w:p>
        </w:tc>
        <w:tc>
          <w:tcPr>
            <w:tcW w:w="2342" w:type="dxa"/>
          </w:tcPr>
          <w:p>
            <w:pPr>
              <w:spacing w:line="300" w:lineRule="exact"/>
              <w:jc w:val="center"/>
              <w:rPr>
                <w:rFonts w:ascii="宋体" w:hAnsi="宋体" w:cs="宋体"/>
              </w:rPr>
            </w:pPr>
            <w:r>
              <w:rPr>
                <w:rFonts w:hint="eastAsia" w:ascii="宋体" w:hAnsi="宋体" w:cs="宋体"/>
              </w:rPr>
              <w:t>项目编号</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3</w:t>
            </w:r>
          </w:p>
        </w:tc>
        <w:tc>
          <w:tcPr>
            <w:tcW w:w="2342" w:type="dxa"/>
          </w:tcPr>
          <w:p>
            <w:pPr>
              <w:spacing w:line="300" w:lineRule="exact"/>
              <w:jc w:val="center"/>
              <w:rPr>
                <w:rFonts w:ascii="宋体" w:hAnsi="宋体" w:cs="宋体"/>
              </w:rPr>
            </w:pPr>
            <w:r>
              <w:rPr>
                <w:rFonts w:hint="eastAsia" w:ascii="宋体" w:hAnsi="宋体" w:cs="宋体"/>
              </w:rPr>
              <w:t>供应商名称</w:t>
            </w:r>
          </w:p>
        </w:tc>
        <w:tc>
          <w:tcPr>
            <w:tcW w:w="5812" w:type="dxa"/>
            <w:gridSpan w:val="5"/>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4</w:t>
            </w:r>
          </w:p>
        </w:tc>
        <w:tc>
          <w:tcPr>
            <w:tcW w:w="2342" w:type="dxa"/>
            <w:vMerge w:val="restart"/>
            <w:vAlign w:val="center"/>
          </w:tcPr>
          <w:p>
            <w:pPr>
              <w:spacing w:line="300" w:lineRule="exact"/>
              <w:jc w:val="center"/>
              <w:rPr>
                <w:rFonts w:ascii="宋体" w:hAnsi="宋体" w:cs="宋体"/>
              </w:rPr>
            </w:pPr>
            <w:r>
              <w:rPr>
                <w:rFonts w:hint="eastAsia" w:ascii="宋体" w:hAnsi="宋体" w:cs="宋体"/>
              </w:rPr>
              <w:t>保证金情况</w:t>
            </w:r>
          </w:p>
        </w:tc>
        <w:tc>
          <w:tcPr>
            <w:tcW w:w="677" w:type="dxa"/>
          </w:tcPr>
          <w:p>
            <w:pPr>
              <w:spacing w:line="300" w:lineRule="exact"/>
              <w:jc w:val="center"/>
              <w:rPr>
                <w:rFonts w:ascii="宋体" w:hAnsi="宋体" w:cs="宋体"/>
              </w:rPr>
            </w:pPr>
            <w:r>
              <w:rPr>
                <w:rFonts w:hint="eastAsia" w:ascii="宋体" w:hAnsi="宋体" w:cs="宋体"/>
              </w:rPr>
              <w:t>金额</w:t>
            </w:r>
          </w:p>
        </w:tc>
        <w:tc>
          <w:tcPr>
            <w:tcW w:w="2055" w:type="dxa"/>
            <w:gridSpan w:val="2"/>
          </w:tcPr>
          <w:p>
            <w:pPr>
              <w:spacing w:line="300" w:lineRule="exact"/>
              <w:jc w:val="center"/>
              <w:rPr>
                <w:rFonts w:ascii="宋体" w:hAnsi="宋体" w:cs="宋体"/>
              </w:rPr>
            </w:pPr>
          </w:p>
        </w:tc>
        <w:tc>
          <w:tcPr>
            <w:tcW w:w="2055" w:type="dxa"/>
          </w:tcPr>
          <w:p>
            <w:pPr>
              <w:spacing w:line="300" w:lineRule="exact"/>
              <w:jc w:val="center"/>
              <w:rPr>
                <w:rFonts w:ascii="宋体" w:hAnsi="宋体" w:cs="宋体"/>
              </w:rPr>
            </w:pPr>
            <w:r>
              <w:rPr>
                <w:rFonts w:hint="eastAsia" w:ascii="宋体" w:hAnsi="宋体" w:cs="宋体"/>
              </w:rPr>
              <w:t>汇出日期</w:t>
            </w:r>
          </w:p>
        </w:tc>
        <w:tc>
          <w:tcPr>
            <w:tcW w:w="1025" w:type="dxa"/>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tcPr>
          <w:p>
            <w:pPr>
              <w:spacing w:line="300" w:lineRule="exact"/>
              <w:jc w:val="center"/>
              <w:rPr>
                <w:rFonts w:ascii="宋体" w:hAnsi="宋体" w:cs="宋体"/>
              </w:rPr>
            </w:pPr>
          </w:p>
        </w:tc>
        <w:tc>
          <w:tcPr>
            <w:tcW w:w="677" w:type="dxa"/>
          </w:tcPr>
          <w:p>
            <w:pPr>
              <w:spacing w:line="300" w:lineRule="exact"/>
              <w:jc w:val="center"/>
              <w:rPr>
                <w:rFonts w:ascii="宋体" w:hAnsi="宋体" w:cs="宋体"/>
              </w:rPr>
            </w:pPr>
            <w:r>
              <w:rPr>
                <w:rFonts w:hint="eastAsia" w:ascii="宋体" w:hAnsi="宋体" w:cs="宋体"/>
              </w:rPr>
              <w:t>形式</w:t>
            </w:r>
          </w:p>
        </w:tc>
        <w:tc>
          <w:tcPr>
            <w:tcW w:w="5135" w:type="dxa"/>
            <w:gridSpan w:val="4"/>
          </w:tcPr>
          <w:p>
            <w:pPr>
              <w:spacing w:line="300" w:lineRule="exact"/>
              <w:jc w:val="center"/>
              <w:rPr>
                <w:rFonts w:ascii="宋体" w:hAnsi="宋体" w:cs="宋体"/>
              </w:rPr>
            </w:pPr>
            <w:r>
              <w:rPr>
                <w:rFonts w:hint="eastAsia" w:ascii="宋体" w:hAnsi="宋体" w:cs="宋体"/>
              </w:rPr>
              <w:t>□支票□汇票□本票□银行转账□其他：</w:t>
            </w:r>
            <w:r>
              <w:rPr>
                <w:rFonts w:hint="eastAsia" w:ascii="宋体" w:hAnsi="宋体" w:cs="宋体"/>
                <w:b/>
                <w:bCs/>
                <w:u w:val="single"/>
              </w:rPr>
              <w:fldChar w:fldCharType="begin">
                <w:ffData>
                  <w:name w:val="Text7"/>
                  <w:enabled/>
                  <w:calcOnExit w:val="0"/>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rPr>
              <w:t>     </w:t>
            </w:r>
            <w:r>
              <w:rPr>
                <w:rFonts w:hint="eastAsia" w:ascii="宋体" w:hAnsi="宋体" w:cs="宋体"/>
                <w:b/>
                <w:bCs/>
                <w:u w:val="single"/>
              </w:rPr>
              <w:fldChar w:fldCharType="end"/>
            </w:r>
            <w:r>
              <w:rPr>
                <w:rFonts w:hint="eastAsia" w:ascii="宋体" w:hAnsi="宋体" w:cs="宋体"/>
              </w:rPr>
              <w:t>（请注明）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00" w:lineRule="exact"/>
              <w:jc w:val="center"/>
              <w:rPr>
                <w:rFonts w:ascii="宋体" w:hAnsi="宋体" w:cs="宋体"/>
              </w:rPr>
            </w:pPr>
            <w:r>
              <w:rPr>
                <w:rFonts w:hint="eastAsia" w:ascii="宋体" w:hAnsi="宋体" w:cs="宋体"/>
              </w:rPr>
              <w:t>5</w:t>
            </w:r>
          </w:p>
        </w:tc>
        <w:tc>
          <w:tcPr>
            <w:tcW w:w="2342" w:type="dxa"/>
            <w:vAlign w:val="center"/>
          </w:tcPr>
          <w:p>
            <w:pPr>
              <w:spacing w:line="300" w:lineRule="exact"/>
              <w:jc w:val="center"/>
              <w:rPr>
                <w:rFonts w:ascii="宋体" w:hAnsi="宋体" w:cs="宋体"/>
              </w:rPr>
            </w:pPr>
            <w:r>
              <w:rPr>
                <w:rFonts w:hint="eastAsia" w:ascii="宋体" w:hAnsi="宋体" w:cs="宋体"/>
              </w:rPr>
              <w:t>承诺书</w:t>
            </w:r>
          </w:p>
        </w:tc>
        <w:tc>
          <w:tcPr>
            <w:tcW w:w="5812" w:type="dxa"/>
            <w:gridSpan w:val="5"/>
          </w:tcPr>
          <w:p>
            <w:pPr>
              <w:spacing w:line="300" w:lineRule="exact"/>
              <w:jc w:val="left"/>
              <w:rPr>
                <w:rFonts w:ascii="宋体" w:hAnsi="宋体" w:cs="宋体"/>
                <w:sz w:val="20"/>
              </w:rPr>
            </w:pPr>
            <w:r>
              <w:rPr>
                <w:rFonts w:hint="eastAsia" w:ascii="宋体" w:hAnsi="宋体" w:cs="宋体"/>
                <w:sz w:val="20"/>
              </w:rPr>
              <w:t>致：</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i/>
                <w:sz w:val="20"/>
              </w:rPr>
              <w:t>（采购代理机构 ）</w:t>
            </w:r>
          </w:p>
          <w:p>
            <w:pPr>
              <w:autoSpaceDE w:val="0"/>
              <w:autoSpaceDN w:val="0"/>
              <w:spacing w:line="300" w:lineRule="exact"/>
              <w:ind w:right="64" w:firstLine="400" w:firstLineChars="200"/>
              <w:rPr>
                <w:rFonts w:ascii="宋体" w:hAnsi="宋体" w:cs="宋体"/>
                <w:sz w:val="20"/>
              </w:rPr>
            </w:pPr>
            <w:r>
              <w:rPr>
                <w:rFonts w:hint="eastAsia" w:ascii="宋体" w:hAnsi="宋体" w:cs="宋体"/>
                <w:sz w:val="20"/>
              </w:rPr>
              <w:t>我单位在贵公司组织的</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项目（项目编号：</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pPr>
              <w:autoSpaceDE w:val="0"/>
              <w:autoSpaceDN w:val="0"/>
              <w:spacing w:line="300" w:lineRule="exact"/>
              <w:ind w:right="64" w:firstLine="400" w:firstLineChars="200"/>
              <w:rPr>
                <w:rFonts w:ascii="宋体" w:hAnsi="宋体" w:cs="宋体"/>
                <w:sz w:val="20"/>
              </w:rPr>
            </w:pPr>
            <w:r>
              <w:rPr>
                <w:rFonts w:hint="eastAsia" w:ascii="宋体" w:hAnsi="宋体" w:cs="宋体"/>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pPr>
              <w:spacing w:line="300" w:lineRule="exact"/>
              <w:ind w:firstLine="400" w:firstLineChars="200"/>
              <w:rPr>
                <w:rFonts w:ascii="宋体" w:hAnsi="宋体" w:cs="宋体"/>
              </w:rPr>
            </w:pPr>
            <w:r>
              <w:rPr>
                <w:rFonts w:hint="eastAsia" w:ascii="宋体" w:hAnsi="宋体" w:cs="宋体"/>
                <w:sz w:val="20"/>
              </w:rPr>
              <w:t>特此承诺！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6</w:t>
            </w:r>
          </w:p>
        </w:tc>
        <w:tc>
          <w:tcPr>
            <w:tcW w:w="2342" w:type="dxa"/>
            <w:vMerge w:val="restart"/>
            <w:vAlign w:val="center"/>
          </w:tcPr>
          <w:p>
            <w:pPr>
              <w:spacing w:line="300" w:lineRule="exact"/>
              <w:jc w:val="center"/>
              <w:rPr>
                <w:rFonts w:ascii="宋体" w:hAnsi="宋体" w:cs="宋体"/>
              </w:rPr>
            </w:pPr>
            <w:r>
              <w:rPr>
                <w:rFonts w:hint="eastAsia" w:ascii="宋体" w:hAnsi="宋体" w:cs="宋体"/>
              </w:rPr>
              <w:t>采购代理服务费</w:t>
            </w:r>
          </w:p>
          <w:p>
            <w:pPr>
              <w:spacing w:line="300" w:lineRule="exact"/>
              <w:jc w:val="center"/>
              <w:rPr>
                <w:rFonts w:ascii="宋体" w:hAnsi="宋体" w:cs="宋体"/>
              </w:rPr>
            </w:pPr>
            <w:r>
              <w:rPr>
                <w:rFonts w:hint="eastAsia" w:ascii="宋体" w:hAnsi="宋体" w:cs="宋体"/>
              </w:rPr>
              <w:t>发票信息</w:t>
            </w:r>
          </w:p>
        </w:tc>
        <w:tc>
          <w:tcPr>
            <w:tcW w:w="1528" w:type="dxa"/>
            <w:gridSpan w:val="2"/>
          </w:tcPr>
          <w:p>
            <w:pPr>
              <w:spacing w:line="300" w:lineRule="exact"/>
              <w:jc w:val="center"/>
              <w:rPr>
                <w:rFonts w:ascii="宋体" w:hAnsi="宋体" w:cs="宋体"/>
              </w:rPr>
            </w:pPr>
            <w:r>
              <w:rPr>
                <w:rFonts w:hint="eastAsia" w:ascii="宋体" w:hAnsi="宋体" w:cs="宋体"/>
              </w:rPr>
              <w:t>发票类型</w:t>
            </w:r>
          </w:p>
        </w:tc>
        <w:tc>
          <w:tcPr>
            <w:tcW w:w="4284" w:type="dxa"/>
            <w:gridSpan w:val="3"/>
          </w:tcPr>
          <w:p>
            <w:pPr>
              <w:spacing w:line="300" w:lineRule="exact"/>
              <w:jc w:val="center"/>
              <w:rPr>
                <w:rFonts w:ascii="宋体" w:hAnsi="宋体" w:cs="宋体"/>
              </w:rPr>
            </w:pPr>
            <w:r>
              <w:rPr>
                <w:rFonts w:hint="eastAsia" w:ascii="宋体" w:hAnsi="宋体" w:cs="宋体"/>
              </w:rPr>
              <w:t>□增值税普通发票   □增值税专用发票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纳税人识别号</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单位地址</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电话号码</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vAlign w:val="center"/>
          </w:tcPr>
          <w:p>
            <w:pPr>
              <w:spacing w:line="300" w:lineRule="exact"/>
              <w:jc w:val="center"/>
              <w:rPr>
                <w:rFonts w:ascii="宋体" w:hAnsi="宋体" w:cs="宋体"/>
              </w:rPr>
            </w:pPr>
            <w:r>
              <w:rPr>
                <w:rFonts w:hint="eastAsia" w:ascii="宋体" w:hAnsi="宋体" w:cs="宋体"/>
              </w:rPr>
              <w:t>发票领取</w:t>
            </w:r>
          </w:p>
        </w:tc>
        <w:tc>
          <w:tcPr>
            <w:tcW w:w="4284" w:type="dxa"/>
            <w:gridSpan w:val="3"/>
          </w:tcPr>
          <w:p>
            <w:pPr>
              <w:spacing w:line="300" w:lineRule="exact"/>
              <w:rPr>
                <w:rFonts w:ascii="宋体" w:hAnsi="宋体" w:cs="宋体"/>
              </w:rPr>
            </w:pPr>
            <w:r>
              <w:rPr>
                <w:rFonts w:hint="eastAsia" w:ascii="宋体" w:hAnsi="宋体" w:cs="宋体"/>
              </w:rPr>
              <w:t>□现场领取</w:t>
            </w:r>
          </w:p>
          <w:p>
            <w:pPr>
              <w:spacing w:line="300" w:lineRule="exact"/>
              <w:rPr>
                <w:rFonts w:ascii="宋体" w:hAnsi="宋体" w:cs="宋体"/>
              </w:rPr>
            </w:pPr>
            <w:r>
              <w:rPr>
                <w:rFonts w:hint="eastAsia" w:ascii="宋体" w:hAnsi="宋体" w:cs="宋体"/>
              </w:rPr>
              <w:t>□快递寄送，联 系 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spacing w:line="300" w:lineRule="exact"/>
              <w:rPr>
                <w:rFonts w:ascii="宋体" w:hAnsi="宋体" w:cs="宋体"/>
              </w:rPr>
            </w:pPr>
            <w:r>
              <w:rPr>
                <w:rFonts w:hint="eastAsia" w:ascii="宋体" w:hAnsi="宋体" w:cs="宋体"/>
              </w:rPr>
              <w:t xml:space="preserve">            联系地址：</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spacing w:line="300" w:lineRule="exact"/>
              <w:rPr>
                <w:rFonts w:ascii="宋体" w:hAnsi="宋体" w:cs="宋体"/>
              </w:rPr>
            </w:pPr>
            <w:r>
              <w:rPr>
                <w:rFonts w:hint="eastAsia" w:ascii="宋体" w:hAnsi="宋体" w:cs="宋体"/>
              </w:rPr>
              <w:t xml:space="preserve">            手    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7</w:t>
            </w:r>
          </w:p>
        </w:tc>
        <w:tc>
          <w:tcPr>
            <w:tcW w:w="2342" w:type="dxa"/>
            <w:vMerge w:val="restart"/>
            <w:vAlign w:val="center"/>
          </w:tcPr>
          <w:p>
            <w:pPr>
              <w:spacing w:line="300" w:lineRule="exact"/>
              <w:jc w:val="center"/>
              <w:rPr>
                <w:rFonts w:ascii="宋体" w:hAnsi="宋体" w:cs="宋体"/>
              </w:rPr>
            </w:pPr>
            <w:r>
              <w:rPr>
                <w:rFonts w:hint="eastAsia" w:ascii="宋体" w:hAnsi="宋体" w:cs="宋体"/>
              </w:rPr>
              <w:t>谈判保证金</w:t>
            </w:r>
          </w:p>
          <w:p>
            <w:pPr>
              <w:spacing w:line="300" w:lineRule="exact"/>
              <w:jc w:val="center"/>
              <w:rPr>
                <w:rFonts w:ascii="宋体" w:hAnsi="宋体" w:cs="宋体"/>
              </w:rPr>
            </w:pPr>
            <w:r>
              <w:rPr>
                <w:rFonts w:hint="eastAsia" w:ascii="宋体" w:hAnsi="宋体" w:cs="宋体"/>
              </w:rPr>
              <w:t>汇出账户</w:t>
            </w:r>
          </w:p>
          <w:p>
            <w:pPr>
              <w:spacing w:line="300" w:lineRule="exact"/>
              <w:jc w:val="center"/>
              <w:rPr>
                <w:rFonts w:ascii="宋体" w:hAnsi="宋体" w:cs="宋体"/>
              </w:rPr>
            </w:pPr>
            <w:r>
              <w:rPr>
                <w:rFonts w:hint="eastAsia" w:ascii="宋体" w:hAnsi="宋体" w:cs="宋体"/>
              </w:rPr>
              <w:t>（须为基本账户）</w:t>
            </w: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00" w:lineRule="exact"/>
              <w:jc w:val="center"/>
              <w:rPr>
                <w:rFonts w:ascii="宋体" w:hAnsi="宋体" w:cs="宋体"/>
              </w:rPr>
            </w:pPr>
            <w:r>
              <w:rPr>
                <w:rFonts w:hint="eastAsia" w:ascii="宋体" w:hAnsi="宋体" w:cs="宋体"/>
              </w:rPr>
              <w:t>8</w:t>
            </w:r>
          </w:p>
        </w:tc>
        <w:tc>
          <w:tcPr>
            <w:tcW w:w="2342" w:type="dxa"/>
            <w:vMerge w:val="restart"/>
            <w:vAlign w:val="center"/>
          </w:tcPr>
          <w:p>
            <w:pPr>
              <w:spacing w:line="300" w:lineRule="exact"/>
              <w:jc w:val="center"/>
              <w:rPr>
                <w:rFonts w:ascii="宋体" w:hAnsi="宋体" w:cs="宋体"/>
              </w:rPr>
            </w:pPr>
            <w:r>
              <w:rPr>
                <w:rFonts w:hint="eastAsia" w:ascii="宋体" w:hAnsi="宋体" w:cs="宋体"/>
              </w:rPr>
              <w:t>谈判保证金</w:t>
            </w:r>
          </w:p>
          <w:p>
            <w:pPr>
              <w:spacing w:line="300" w:lineRule="exact"/>
              <w:jc w:val="center"/>
              <w:rPr>
                <w:rFonts w:ascii="宋体" w:hAnsi="宋体" w:cs="宋体"/>
              </w:rPr>
            </w:pPr>
            <w:r>
              <w:rPr>
                <w:rFonts w:hint="eastAsia" w:ascii="宋体" w:hAnsi="宋体" w:cs="宋体"/>
              </w:rPr>
              <w:t>退款账户</w:t>
            </w:r>
          </w:p>
          <w:p>
            <w:pPr>
              <w:spacing w:line="300" w:lineRule="exact"/>
              <w:jc w:val="center"/>
              <w:rPr>
                <w:rFonts w:ascii="宋体" w:hAnsi="宋体" w:cs="宋体"/>
              </w:rPr>
            </w:pPr>
            <w:r>
              <w:rPr>
                <w:rFonts w:hint="eastAsia" w:ascii="宋体" w:hAnsi="宋体" w:cs="宋体"/>
              </w:rPr>
              <w:t>（须与汇出账户一致）</w:t>
            </w:r>
          </w:p>
        </w:tc>
        <w:tc>
          <w:tcPr>
            <w:tcW w:w="1528" w:type="dxa"/>
            <w:gridSpan w:val="2"/>
          </w:tcPr>
          <w:p>
            <w:pPr>
              <w:spacing w:line="300" w:lineRule="exact"/>
              <w:jc w:val="center"/>
              <w:rPr>
                <w:rFonts w:ascii="宋体" w:hAnsi="宋体" w:cs="宋体"/>
              </w:rPr>
            </w:pPr>
            <w:r>
              <w:rPr>
                <w:rFonts w:hint="eastAsia" w:ascii="宋体" w:hAnsi="宋体" w:cs="宋体"/>
              </w:rPr>
              <w:t>单位名称</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开户银行</w:t>
            </w:r>
          </w:p>
        </w:tc>
        <w:tc>
          <w:tcPr>
            <w:tcW w:w="4284" w:type="dxa"/>
            <w:gridSpan w:val="3"/>
          </w:tcPr>
          <w:p>
            <w:pPr>
              <w:spacing w:line="300" w:lineRule="exact"/>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00" w:lineRule="exact"/>
              <w:jc w:val="center"/>
              <w:rPr>
                <w:rFonts w:ascii="宋体" w:hAnsi="宋体" w:cs="宋体"/>
              </w:rPr>
            </w:pPr>
          </w:p>
        </w:tc>
        <w:tc>
          <w:tcPr>
            <w:tcW w:w="2342" w:type="dxa"/>
            <w:vMerge w:val="continue"/>
            <w:vAlign w:val="center"/>
          </w:tcPr>
          <w:p>
            <w:pPr>
              <w:spacing w:line="300" w:lineRule="exact"/>
              <w:jc w:val="center"/>
              <w:rPr>
                <w:rFonts w:ascii="宋体" w:hAnsi="宋体" w:cs="宋体"/>
              </w:rPr>
            </w:pPr>
          </w:p>
        </w:tc>
        <w:tc>
          <w:tcPr>
            <w:tcW w:w="1528" w:type="dxa"/>
            <w:gridSpan w:val="2"/>
          </w:tcPr>
          <w:p>
            <w:pPr>
              <w:spacing w:line="300" w:lineRule="exact"/>
              <w:jc w:val="center"/>
              <w:rPr>
                <w:rFonts w:ascii="宋体" w:hAnsi="宋体" w:cs="宋体"/>
              </w:rPr>
            </w:pPr>
            <w:r>
              <w:rPr>
                <w:rFonts w:hint="eastAsia" w:ascii="宋体" w:hAnsi="宋体" w:cs="宋体"/>
              </w:rPr>
              <w:t>银行账号</w:t>
            </w:r>
          </w:p>
        </w:tc>
        <w:tc>
          <w:tcPr>
            <w:tcW w:w="4284" w:type="dxa"/>
            <w:gridSpan w:val="3"/>
          </w:tcPr>
          <w:p>
            <w:pPr>
              <w:spacing w:line="300" w:lineRule="exact"/>
              <w:jc w:val="center"/>
              <w:rPr>
                <w:rFonts w:ascii="宋体" w:hAnsi="宋体" w:cs="宋体"/>
              </w:rPr>
            </w:pPr>
          </w:p>
        </w:tc>
      </w:tr>
    </w:tbl>
    <w:p>
      <w:pPr>
        <w:spacing w:line="360" w:lineRule="auto"/>
        <w:jc w:val="right"/>
        <w:rPr>
          <w:rFonts w:ascii="宋体" w:hAnsi="宋体" w:cs="宋体"/>
        </w:rPr>
      </w:pPr>
      <w:r>
        <w:rPr>
          <w:rFonts w:hint="eastAsia" w:ascii="宋体" w:hAnsi="宋体" w:cs="宋体"/>
        </w:rPr>
        <w:t>供应商名称：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（盖章）</w:t>
      </w:r>
    </w:p>
    <w:p>
      <w:pPr>
        <w:spacing w:line="360" w:lineRule="auto"/>
        <w:ind w:firstLine="2310" w:firstLineChars="1100"/>
        <w:jc w:val="right"/>
        <w:rPr>
          <w:rFonts w:ascii="宋体" w:hAnsi="宋体" w:cs="宋体"/>
          <w:b/>
          <w:bCs/>
          <w:u w:val="single"/>
        </w:rPr>
      </w:pPr>
      <w:r>
        <w:rPr>
          <w:rFonts w:hint="eastAsia" w:ascii="宋体" w:hAnsi="宋体" w:cs="宋体"/>
        </w:rPr>
        <w:t>法定代表人或其委托代理人（签字或签章）：</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ind w:firstLine="2310" w:firstLineChars="1100"/>
        <w:jc w:val="right"/>
        <w:rPr>
          <w:rFonts w:ascii="宋体" w:hAnsi="宋体" w:cs="宋体"/>
        </w:rPr>
      </w:pPr>
      <w:r>
        <w:rPr>
          <w:rFonts w:hint="eastAsia" w:ascii="宋体" w:hAnsi="宋体" w:cs="宋体"/>
        </w:rPr>
        <w:t>日期：</w:t>
      </w:r>
      <w:r>
        <w:rPr>
          <w:rFonts w:hint="eastAsia" w:ascii="宋体" w:hAnsi="宋体" w:cs="宋体"/>
          <w:b/>
          <w:bCs/>
          <w:u w:val="single"/>
        </w:rPr>
        <w:fldChar w:fldCharType="begin">
          <w:ffData>
            <w:enabled/>
            <w:calcOnExit w:val="0"/>
            <w:statusText w:type="text" w:val="不同步字段"/>
            <w:textInput>
              <w:maxLength w:val="4"/>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日</w:t>
      </w:r>
    </w:p>
    <w:p>
      <w:pPr>
        <w:spacing w:line="360" w:lineRule="auto"/>
        <w:jc w:val="center"/>
        <w:rPr>
          <w:rFonts w:ascii="宋体" w:hAnsi="宋体" w:cs="宋体"/>
        </w:rPr>
      </w:pPr>
      <w:r>
        <w:rPr>
          <w:rFonts w:hint="eastAsia" w:ascii="宋体" w:hAnsi="宋体" w:cs="宋体"/>
          <w:b/>
          <w:bCs/>
        </w:rPr>
        <w:t>注：本附件请供应商在递交响应文件时单独递交（无须密封），不要装订在响应文件中。</w:t>
      </w:r>
      <w:r>
        <w:rPr>
          <w:rFonts w:hint="eastAsia" w:ascii="宋体" w:hAnsi="宋体" w:cs="宋体"/>
        </w:rPr>
        <w:br w:type="page"/>
      </w:r>
      <w:bookmarkStart w:id="197" w:name="_Hlk27331041"/>
    </w:p>
    <w:p>
      <w:pPr>
        <w:pStyle w:val="4"/>
        <w:jc w:val="center"/>
        <w:rPr>
          <w:rFonts w:ascii="宋体" w:hAnsi="宋体" w:cs="Arial"/>
          <w:b w:val="0"/>
          <w:bCs w:val="0"/>
          <w:sz w:val="24"/>
        </w:rPr>
      </w:pPr>
      <w:bookmarkStart w:id="198" w:name="_Toc49944486"/>
      <w:bookmarkStart w:id="199" w:name="_Toc61594805"/>
      <w:r>
        <w:rPr>
          <w:rStyle w:val="120"/>
          <w:rFonts w:hint="eastAsia" w:eastAsia="宋体"/>
          <w:b/>
          <w:bCs/>
          <w:sz w:val="28"/>
          <w:szCs w:val="28"/>
        </w:rPr>
        <w:t>供应商</w:t>
      </w:r>
      <w:bookmarkEnd w:id="197"/>
      <w:r>
        <w:rPr>
          <w:rStyle w:val="120"/>
          <w:rFonts w:hint="eastAsia" w:eastAsia="宋体"/>
          <w:b/>
          <w:bCs/>
          <w:sz w:val="28"/>
          <w:szCs w:val="28"/>
        </w:rPr>
        <w:t>基本信息表</w:t>
      </w:r>
      <w:bookmarkEnd w:id="198"/>
      <w:bookmarkEnd w:id="199"/>
    </w:p>
    <w:tbl>
      <w:tblPr>
        <w:tblStyle w:val="73"/>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963"/>
        <w:gridCol w:w="2284"/>
        <w:gridCol w:w="1078"/>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供应商名称</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统一社会信用代码</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类型</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注册资金</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注册地址</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90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联系人</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 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90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传  真</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 箱</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法定代表人</w:t>
            </w:r>
          </w:p>
          <w:p>
            <w:pPr>
              <w:topLinePunct/>
              <w:spacing w:line="360" w:lineRule="auto"/>
              <w:jc w:val="center"/>
              <w:rPr>
                <w:rFonts w:ascii="宋体" w:hAnsi="宋体" w:cs="宋体"/>
              </w:rPr>
            </w:pPr>
            <w:r>
              <w:rPr>
                <w:rFonts w:hint="eastAsia" w:ascii="宋体" w:hAnsi="宋体" w:cs="宋体"/>
              </w:rPr>
              <w:t>（单位负责人）</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姓名</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供应商须知要求供应商需具有的各类资质证书</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基本账户开户银行</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基本账户银行账号</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供应商关联企业情况（包括但不限于与供应商法定代表人（单位负责人）为同一人或者存在控股、管理关系的不同单位）</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备注</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bl>
    <w:p>
      <w:pPr>
        <w:spacing w:line="360" w:lineRule="auto"/>
        <w:rPr>
          <w:rFonts w:ascii="宋体" w:hAnsi="宋体" w:cs="宋体"/>
          <w:b/>
          <w:bCs/>
        </w:rPr>
      </w:pPr>
      <w:r>
        <w:rPr>
          <w:rFonts w:hint="eastAsia" w:ascii="宋体" w:hAnsi="宋体" w:cs="宋体"/>
          <w:b/>
          <w:bCs/>
        </w:rPr>
        <w:t>注：本附件除在响应文件中装订外，还应单独打印盖章提交一份，无需密封。</w:t>
      </w:r>
      <w:bookmarkStart w:id="200" w:name="_Toc24040306"/>
      <w:bookmarkStart w:id="201" w:name="_Toc16524907"/>
      <w:bookmarkStart w:id="202" w:name="_Toc38371872"/>
      <w:bookmarkStart w:id="203" w:name="_Toc23000"/>
      <w:bookmarkStart w:id="204" w:name="_Toc35978219"/>
      <w:bookmarkStart w:id="205" w:name="_Toc42712182"/>
      <w:bookmarkStart w:id="206" w:name="_Toc35978471"/>
      <w:bookmarkStart w:id="207" w:name="_Toc30990"/>
      <w:bookmarkStart w:id="208" w:name="_Toc47370485"/>
      <w:r>
        <w:rPr>
          <w:rFonts w:ascii="宋体" w:hAnsi="宋体" w:cs="宋体"/>
        </w:rPr>
        <w:t xml:space="preserve"> </w:t>
      </w:r>
    </w:p>
    <w:p>
      <w:pPr>
        <w:pStyle w:val="4"/>
        <w:jc w:val="center"/>
        <w:rPr>
          <w:b w:val="0"/>
          <w:bCs w:val="0"/>
          <w:sz w:val="24"/>
        </w:rPr>
      </w:pPr>
      <w:bookmarkStart w:id="209" w:name="_Toc61594808"/>
      <w:r>
        <w:rPr>
          <w:rFonts w:hint="eastAsia" w:ascii="宋体" w:hAnsi="宋体" w:cs="宋体"/>
          <w:sz w:val="24"/>
        </w:rPr>
        <w:t>关于交纳采购代理服务费的承诺函</w:t>
      </w:r>
      <w:bookmarkEnd w:id="200"/>
      <w:bookmarkEnd w:id="201"/>
      <w:bookmarkEnd w:id="202"/>
      <w:bookmarkEnd w:id="203"/>
      <w:bookmarkEnd w:id="204"/>
      <w:bookmarkEnd w:id="205"/>
      <w:bookmarkEnd w:id="206"/>
      <w:bookmarkEnd w:id="207"/>
      <w:bookmarkEnd w:id="208"/>
      <w:bookmarkEnd w:id="209"/>
    </w:p>
    <w:p>
      <w:pPr>
        <w:spacing w:line="360" w:lineRule="auto"/>
        <w:ind w:firstLine="480" w:firstLineChars="200"/>
        <w:rPr>
          <w:rFonts w:ascii="宋体" w:hAnsi="宋体" w:cs="宋体"/>
          <w:sz w:val="24"/>
        </w:rPr>
      </w:pPr>
    </w:p>
    <w:p>
      <w:pPr>
        <w:spacing w:line="360" w:lineRule="auto"/>
        <w:rPr>
          <w:rFonts w:ascii="宋体" w:hAnsi="宋体" w:cs="宋体"/>
          <w:b/>
          <w:sz w:val="24"/>
        </w:rPr>
      </w:pPr>
      <w:r>
        <w:rPr>
          <w:rFonts w:hint="eastAsia" w:ascii="宋体" w:hAnsi="宋体" w:cs="宋体"/>
          <w:b/>
          <w:sz w:val="24"/>
        </w:rPr>
        <w:t>致：中国机电工程招标有限公司</w:t>
      </w:r>
    </w:p>
    <w:p>
      <w:pPr>
        <w:pStyle w:val="18"/>
        <w:spacing w:line="360" w:lineRule="auto"/>
        <w:ind w:firstLine="480" w:firstLineChars="200"/>
        <w:rPr>
          <w:rFonts w:hAnsi="宋体"/>
        </w:rPr>
      </w:pPr>
    </w:p>
    <w:p>
      <w:pPr>
        <w:spacing w:line="360" w:lineRule="auto"/>
        <w:ind w:firstLine="480" w:firstLineChars="200"/>
        <w:rPr>
          <w:rFonts w:ascii="宋体" w:hAnsi="宋体" w:cs="宋体"/>
          <w:sz w:val="24"/>
        </w:rPr>
      </w:pPr>
      <w:r>
        <w:rPr>
          <w:rFonts w:hint="eastAsia" w:ascii="宋体" w:hAnsi="宋体" w:cs="宋体"/>
          <w:sz w:val="24"/>
        </w:rPr>
        <w:t>我方在贵公司组织的（</w:t>
      </w:r>
      <w:r>
        <w:rPr>
          <w:rFonts w:hint="eastAsia" w:ascii="宋体" w:hAnsi="宋体" w:cs="宋体"/>
          <w:sz w:val="24"/>
          <w:u w:val="single"/>
        </w:rPr>
        <w:t>项目编号：</w:t>
      </w:r>
      <w:r>
        <w:rPr>
          <w:rFonts w:hint="eastAsia" w:ascii="宋体" w:hAnsi="宋体" w:cs="宋体"/>
          <w:sz w:val="24"/>
        </w:rPr>
        <w:t>）中参加响应。我方在此承诺，一旦我方成交，我方保证在收到贵公司的服务费通知单后按照</w:t>
      </w:r>
      <w:r>
        <w:rPr>
          <w:rFonts w:hint="eastAsia" w:ascii="宋体" w:hAnsi="宋体" w:cs="宋体"/>
          <w:sz w:val="24"/>
          <w:u w:val="single"/>
        </w:rPr>
        <w:t>谈判文件中的要求</w:t>
      </w:r>
      <w:r>
        <w:rPr>
          <w:rFonts w:hint="eastAsia" w:ascii="宋体" w:hAnsi="宋体" w:cs="宋体"/>
          <w:sz w:val="24"/>
        </w:rPr>
        <w:t>，以支票、电汇或现金等付款方式一次性向贵公司交纳采购代理服务费。</w:t>
      </w:r>
    </w:p>
    <w:p>
      <w:pPr>
        <w:spacing w:line="360" w:lineRule="auto"/>
        <w:ind w:firstLine="482" w:firstLineChars="200"/>
        <w:rPr>
          <w:rFonts w:ascii="宋体" w:hAnsi="宋体" w:cs="宋体"/>
          <w:b/>
          <w:bCs/>
          <w:sz w:val="24"/>
        </w:rPr>
      </w:pPr>
      <w:r>
        <w:rPr>
          <w:rFonts w:hint="eastAsia" w:ascii="宋体" w:hAnsi="宋体" w:cs="宋体"/>
          <w:b/>
          <w:bCs/>
          <w:sz w:val="24"/>
        </w:rPr>
        <w:t>若在收到贵公司服务费通知单后30日内我公司仍未缴纳服务费，则视为我公司同意在谈判保证金中扣除相同金额以用于交纳服务费。</w:t>
      </w:r>
    </w:p>
    <w:p>
      <w:pPr>
        <w:spacing w:line="360" w:lineRule="auto"/>
        <w:ind w:firstLine="482" w:firstLineChars="200"/>
        <w:rPr>
          <w:rFonts w:ascii="宋体" w:hAnsi="宋体" w:cs="宋体"/>
          <w:b/>
          <w:bCs/>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特此承诺！</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供应商名称：（盖章）</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法定代表人或授权委托代理人：（签字盖章）</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                    日 期：</w:t>
      </w:r>
    </w:p>
    <w:p>
      <w:pPr>
        <w:adjustRightInd w:val="0"/>
        <w:snapToGrid w:val="0"/>
        <w:spacing w:line="360" w:lineRule="auto"/>
        <w:ind w:firstLine="480" w:firstLineChars="200"/>
        <w:rPr>
          <w:rFonts w:ascii="宋体" w:hAnsi="宋体" w:cs="宋体"/>
          <w:sz w:val="24"/>
        </w:rPr>
      </w:pPr>
    </w:p>
    <w:p>
      <w:pPr>
        <w:adjustRightInd w:val="0"/>
        <w:snapToGrid w:val="0"/>
        <w:spacing w:line="360" w:lineRule="auto"/>
        <w:ind w:firstLine="480" w:firstLineChars="200"/>
        <w:rPr>
          <w:rFonts w:ascii="宋体" w:hAnsi="宋体" w:cs="宋体"/>
          <w:sz w:val="24"/>
        </w:rPr>
      </w:pPr>
    </w:p>
    <w:p>
      <w:pPr>
        <w:widowControl/>
        <w:jc w:val="left"/>
        <w:rPr>
          <w:rFonts w:asciiTheme="minorEastAsia" w:hAnsiTheme="minorEastAsia" w:eastAsiaTheme="minorEastAsia"/>
        </w:rPr>
      </w:pPr>
      <w:r>
        <w:rPr>
          <w:rFonts w:hint="eastAsia" w:ascii="宋体" w:hAnsi="宋体" w:cs="宋体"/>
          <w:b/>
          <w:sz w:val="24"/>
        </w:rPr>
        <w:t>注：本附件请供应商在递交响应文件时单独递交，不要装订在响应文件中。</w:t>
      </w:r>
    </w:p>
    <w:p>
      <w:pPr>
        <w:widowControl/>
        <w:jc w:val="left"/>
        <w:rPr>
          <w:rFonts w:asciiTheme="minorEastAsia" w:hAnsiTheme="minorEastAsia" w:eastAsiaTheme="minorEastAsia"/>
        </w:rPr>
      </w:pPr>
    </w:p>
    <w:p>
      <w:pPr>
        <w:snapToGrid w:val="0"/>
        <w:spacing w:after="156" w:afterLines="50"/>
      </w:pPr>
      <w:r>
        <w:br w:type="page"/>
      </w:r>
    </w:p>
    <w:p>
      <w:pPr>
        <w:spacing w:line="360" w:lineRule="auto"/>
        <w:jc w:val="center"/>
        <w:outlineLvl w:val="1"/>
        <w:rPr>
          <w:b/>
          <w:sz w:val="30"/>
          <w:szCs w:val="30"/>
        </w:rPr>
      </w:pPr>
      <w:bookmarkStart w:id="210" w:name="_Toc327276295"/>
      <w:bookmarkStart w:id="211" w:name="_Toc332094984"/>
      <w:bookmarkStart w:id="212" w:name="_Toc410631171"/>
      <w:bookmarkStart w:id="213" w:name="_Toc416103813"/>
      <w:bookmarkStart w:id="214" w:name="_Toc23024"/>
      <w:bookmarkStart w:id="215" w:name="_Toc298745650"/>
      <w:bookmarkStart w:id="216" w:name="_Toc350418253"/>
      <w:bookmarkStart w:id="217" w:name="_Toc298745568"/>
      <w:bookmarkStart w:id="218" w:name="_Toc2190"/>
      <w:bookmarkStart w:id="219" w:name="_Toc414445763"/>
      <w:bookmarkStart w:id="220" w:name="_Toc61594809"/>
      <w:bookmarkStart w:id="221" w:name="_Toc298434671"/>
      <w:bookmarkStart w:id="222" w:name="_Toc298434528"/>
      <w:bookmarkStart w:id="223" w:name="_Toc298458725"/>
      <w:r>
        <w:rPr>
          <w:b/>
          <w:sz w:val="30"/>
          <w:szCs w:val="30"/>
        </w:rPr>
        <w:t>评</w:t>
      </w:r>
      <w:r>
        <w:rPr>
          <w:rFonts w:hint="eastAsia"/>
          <w:b/>
          <w:sz w:val="30"/>
          <w:szCs w:val="30"/>
        </w:rPr>
        <w:t>审</w:t>
      </w:r>
      <w:r>
        <w:rPr>
          <w:b/>
          <w:sz w:val="30"/>
          <w:szCs w:val="30"/>
        </w:rPr>
        <w:t>索引</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bl>
      <w:tblPr>
        <w:tblStyle w:val="7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序号</w:t>
            </w:r>
          </w:p>
        </w:tc>
        <w:tc>
          <w:tcPr>
            <w:tcW w:w="1722" w:type="dxa"/>
            <w:vAlign w:val="center"/>
          </w:tcPr>
          <w:p>
            <w:pPr>
              <w:snapToGrid w:val="0"/>
              <w:jc w:val="center"/>
              <w:rPr>
                <w:rFonts w:ascii="宋体"/>
                <w:szCs w:val="21"/>
              </w:rPr>
            </w:pPr>
            <w:r>
              <w:rPr>
                <w:rFonts w:hint="eastAsia" w:ascii="宋体"/>
                <w:szCs w:val="21"/>
              </w:rPr>
              <w:t>评审办法条款号</w:t>
            </w:r>
          </w:p>
        </w:tc>
        <w:tc>
          <w:tcPr>
            <w:tcW w:w="4536" w:type="dxa"/>
            <w:vAlign w:val="center"/>
          </w:tcPr>
          <w:p>
            <w:pPr>
              <w:snapToGrid w:val="0"/>
              <w:jc w:val="center"/>
              <w:rPr>
                <w:rFonts w:ascii="宋体"/>
                <w:szCs w:val="21"/>
              </w:rPr>
            </w:pPr>
            <w:r>
              <w:rPr>
                <w:rFonts w:hint="eastAsia" w:ascii="宋体"/>
                <w:szCs w:val="21"/>
              </w:rPr>
              <w:t>评标办法要求</w:t>
            </w:r>
          </w:p>
        </w:tc>
        <w:tc>
          <w:tcPr>
            <w:tcW w:w="1843" w:type="dxa"/>
            <w:vAlign w:val="center"/>
          </w:tcPr>
          <w:p>
            <w:pPr>
              <w:snapToGrid w:val="0"/>
              <w:jc w:val="center"/>
              <w:rPr>
                <w:rFonts w:ascii="宋体"/>
                <w:szCs w:val="21"/>
              </w:rPr>
            </w:pPr>
            <w:r>
              <w:rPr>
                <w:rFonts w:hint="eastAsia" w:ascii="宋体"/>
                <w:szCs w:val="21"/>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一</w:t>
            </w:r>
          </w:p>
        </w:tc>
        <w:tc>
          <w:tcPr>
            <w:tcW w:w="1722" w:type="dxa"/>
            <w:vAlign w:val="center"/>
          </w:tcPr>
          <w:p>
            <w:pPr>
              <w:snapToGrid w:val="0"/>
              <w:jc w:val="center"/>
              <w:rPr>
                <w:rFonts w:ascii="宋体"/>
                <w:szCs w:val="21"/>
              </w:rPr>
            </w:pPr>
            <w:r>
              <w:rPr>
                <w:rFonts w:hint="eastAsia" w:ascii="宋体"/>
                <w:szCs w:val="21"/>
              </w:rPr>
              <w:t>资格审查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二</w:t>
            </w:r>
          </w:p>
        </w:tc>
        <w:tc>
          <w:tcPr>
            <w:tcW w:w="1722" w:type="dxa"/>
            <w:vAlign w:val="center"/>
          </w:tcPr>
          <w:p>
            <w:pPr>
              <w:snapToGrid w:val="0"/>
              <w:jc w:val="center"/>
              <w:rPr>
                <w:rFonts w:ascii="宋体"/>
                <w:szCs w:val="21"/>
              </w:rPr>
            </w:pPr>
            <w:r>
              <w:rPr>
                <w:rFonts w:hint="eastAsia" w:ascii="宋体"/>
                <w:szCs w:val="21"/>
              </w:rPr>
              <w:t>符合性审查</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1</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2</w:t>
            </w:r>
          </w:p>
        </w:tc>
        <w:tc>
          <w:tcPr>
            <w:tcW w:w="1722" w:type="dxa"/>
            <w:vAlign w:val="center"/>
          </w:tcPr>
          <w:p>
            <w:pPr>
              <w:snapToGrid w:val="0"/>
              <w:jc w:val="center"/>
              <w:rPr>
                <w:rFonts w:ascii="宋体"/>
                <w:szCs w:val="21"/>
              </w:rPr>
            </w:pP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jc w:val="center"/>
              <w:rPr>
                <w:rFonts w:ascii="宋体"/>
                <w:szCs w:val="21"/>
              </w:rPr>
            </w:pPr>
            <w:r>
              <w:rPr>
                <w:rFonts w:hint="eastAsia" w:ascii="宋体"/>
                <w:szCs w:val="21"/>
              </w:rPr>
              <w:t>三</w:t>
            </w:r>
          </w:p>
        </w:tc>
        <w:tc>
          <w:tcPr>
            <w:tcW w:w="1722" w:type="dxa"/>
            <w:vAlign w:val="center"/>
          </w:tcPr>
          <w:p>
            <w:pPr>
              <w:snapToGrid w:val="0"/>
              <w:jc w:val="center"/>
              <w:rPr>
                <w:rFonts w:ascii="宋体"/>
                <w:szCs w:val="21"/>
              </w:rPr>
            </w:pPr>
            <w:r>
              <w:rPr>
                <w:rFonts w:ascii="宋体"/>
                <w:szCs w:val="21"/>
              </w:rPr>
              <w:t>…</w:t>
            </w:r>
          </w:p>
        </w:tc>
        <w:tc>
          <w:tcPr>
            <w:tcW w:w="4536" w:type="dxa"/>
            <w:vAlign w:val="center"/>
          </w:tcPr>
          <w:p>
            <w:pPr>
              <w:snapToGrid w:val="0"/>
              <w:jc w:val="center"/>
              <w:rPr>
                <w:rFonts w:ascii="宋体"/>
                <w:szCs w:val="21"/>
              </w:rPr>
            </w:pPr>
          </w:p>
        </w:tc>
        <w:tc>
          <w:tcPr>
            <w:tcW w:w="1843" w:type="dxa"/>
            <w:vAlign w:val="center"/>
          </w:tcPr>
          <w:p>
            <w:pPr>
              <w:snapToGrid w:val="0"/>
              <w:ind w:firstLine="480"/>
              <w:jc w:val="center"/>
              <w:rPr>
                <w:rFonts w:ascii="宋体"/>
                <w:szCs w:val="21"/>
              </w:rPr>
            </w:pPr>
          </w:p>
        </w:tc>
      </w:tr>
    </w:tbl>
    <w:p>
      <w:pPr>
        <w:spacing w:line="360" w:lineRule="auto"/>
        <w:ind w:firstLine="480"/>
        <w:jc w:val="left"/>
        <w:rPr>
          <w:rFonts w:ascii="宋体"/>
          <w:szCs w:val="21"/>
        </w:rPr>
      </w:pPr>
    </w:p>
    <w:p>
      <w:pPr>
        <w:rPr>
          <w:rFonts w:ascii="宋体"/>
          <w:szCs w:val="21"/>
        </w:rPr>
      </w:pPr>
      <w:r>
        <w:rPr>
          <w:rFonts w:hint="eastAsia" w:ascii="宋体"/>
          <w:szCs w:val="21"/>
        </w:rPr>
        <w:t>注：该评标索引表格放在响应文件目录后，正文的第一页。</w:t>
      </w:r>
    </w:p>
    <w:p>
      <w:pPr>
        <w:rPr>
          <w:rFonts w:ascii="宋体"/>
          <w:szCs w:val="21"/>
        </w:rPr>
      </w:pPr>
    </w:p>
    <w:p>
      <w:pPr>
        <w:widowControl/>
        <w:jc w:val="left"/>
        <w:rPr>
          <w:rFonts w:ascii="宋体"/>
          <w:szCs w:val="21"/>
        </w:rPr>
      </w:pPr>
      <w:r>
        <w:rPr>
          <w:rFonts w:ascii="宋体"/>
          <w:szCs w:val="21"/>
        </w:rPr>
        <w:br w:type="page"/>
      </w:r>
    </w:p>
    <w:p>
      <w:pPr>
        <w:spacing w:line="360" w:lineRule="auto"/>
        <w:outlineLvl w:val="1"/>
        <w:rPr>
          <w:b/>
          <w:sz w:val="24"/>
        </w:rPr>
      </w:pPr>
      <w:bookmarkStart w:id="224" w:name="_A1_投标书"/>
      <w:bookmarkEnd w:id="224"/>
      <w:bookmarkStart w:id="225" w:name="_Toc61594810"/>
      <w:bookmarkStart w:id="226" w:name="_Toc176663528"/>
      <w:bookmarkStart w:id="227" w:name="_Toc179091096"/>
      <w:bookmarkStart w:id="228" w:name="_Toc128455956"/>
      <w:bookmarkStart w:id="229" w:name="_Toc162669084"/>
      <w:bookmarkStart w:id="230" w:name="_Toc192127127"/>
      <w:bookmarkStart w:id="231" w:name="_Toc181038076"/>
      <w:bookmarkStart w:id="232" w:name="_Toc192127128"/>
      <w:r>
        <w:rPr>
          <w:rFonts w:hint="eastAsia"/>
          <w:b/>
          <w:sz w:val="24"/>
        </w:rPr>
        <w:t>附件1</w:t>
      </w:r>
      <w:r>
        <w:rPr>
          <w:b/>
          <w:sz w:val="24"/>
        </w:rPr>
        <w:t>报价函</w:t>
      </w:r>
      <w:r>
        <w:rPr>
          <w:b/>
          <w:i/>
          <w:sz w:val="24"/>
        </w:rPr>
        <w:t>及</w:t>
      </w:r>
      <w:r>
        <w:rPr>
          <w:b/>
          <w:sz w:val="24"/>
        </w:rPr>
        <w:t>报价函附录</w:t>
      </w:r>
      <w:bookmarkEnd w:id="225"/>
    </w:p>
    <w:bookmarkEnd w:id="226"/>
    <w:bookmarkEnd w:id="227"/>
    <w:bookmarkEnd w:id="228"/>
    <w:bookmarkEnd w:id="229"/>
    <w:bookmarkEnd w:id="230"/>
    <w:bookmarkEnd w:id="231"/>
    <w:p>
      <w:pPr>
        <w:autoSpaceDE w:val="0"/>
        <w:autoSpaceDN w:val="0"/>
        <w:adjustRightInd w:val="0"/>
        <w:jc w:val="left"/>
        <w:rPr>
          <w:rFonts w:ascii="宋体" w:hAnsi="宋体" w:cs="黑体"/>
          <w:kern w:val="0"/>
          <w:sz w:val="24"/>
        </w:rPr>
      </w:pPr>
    </w:p>
    <w:p>
      <w:pPr>
        <w:autoSpaceDE w:val="0"/>
        <w:autoSpaceDN w:val="0"/>
        <w:adjustRightInd w:val="0"/>
        <w:jc w:val="center"/>
        <w:rPr>
          <w:rFonts w:ascii="宋体" w:hAnsi="宋体" w:cs="黑体"/>
          <w:kern w:val="0"/>
          <w:sz w:val="24"/>
        </w:rPr>
      </w:pPr>
      <w:r>
        <w:rPr>
          <w:rFonts w:hint="eastAsia" w:ascii="宋体" w:hAnsi="宋体" w:cs="黑体"/>
          <w:kern w:val="0"/>
          <w:sz w:val="24"/>
        </w:rPr>
        <w:t>报价函</w:t>
      </w:r>
    </w:p>
    <w:p>
      <w:pPr>
        <w:autoSpaceDE w:val="0"/>
        <w:autoSpaceDN w:val="0"/>
        <w:adjustRightInd w:val="0"/>
        <w:jc w:val="center"/>
        <w:rPr>
          <w:rFonts w:ascii="宋体" w:hAnsi="宋体" w:cs="黑体"/>
          <w:kern w:val="0"/>
          <w:sz w:val="24"/>
        </w:rPr>
      </w:pPr>
    </w:p>
    <w:p>
      <w:pPr>
        <w:autoSpaceDE w:val="0"/>
        <w:autoSpaceDN w:val="0"/>
        <w:adjustRightInd w:val="0"/>
        <w:jc w:val="center"/>
        <w:rPr>
          <w:rFonts w:ascii="宋体" w:hAnsi="宋体" w:cs="黑体"/>
          <w:kern w:val="0"/>
          <w:sz w:val="24"/>
        </w:rPr>
      </w:pPr>
    </w:p>
    <w:p>
      <w:pPr>
        <w:autoSpaceDE w:val="0"/>
        <w:autoSpaceDN w:val="0"/>
        <w:adjustRightInd w:val="0"/>
        <w:snapToGrid w:val="0"/>
        <w:spacing w:line="360" w:lineRule="auto"/>
        <w:jc w:val="left"/>
        <w:rPr>
          <w:rFonts w:ascii="宋体" w:hAnsi="宋体" w:cs="仿宋_GB2312"/>
          <w:kern w:val="0"/>
          <w:sz w:val="24"/>
          <w:u w:val="single"/>
        </w:rPr>
      </w:pPr>
      <w:r>
        <w:rPr>
          <w:rFonts w:hint="eastAsia" w:ascii="宋体" w:hAnsi="宋体" w:cs="仿宋_GB2312"/>
          <w:kern w:val="0"/>
          <w:sz w:val="24"/>
          <w:u w:val="single"/>
        </w:rPr>
        <w:t>（采购人名称）：</w:t>
      </w:r>
    </w:p>
    <w:p>
      <w:pPr>
        <w:autoSpaceDE w:val="0"/>
        <w:autoSpaceDN w:val="0"/>
        <w:adjustRightInd w:val="0"/>
        <w:snapToGrid w:val="0"/>
        <w:spacing w:line="360" w:lineRule="auto"/>
        <w:ind w:firstLine="480" w:firstLineChars="200"/>
        <w:jc w:val="left"/>
        <w:rPr>
          <w:rFonts w:ascii="宋体" w:hAnsi="宋体" w:cs="仿宋_GB2312"/>
          <w:kern w:val="0"/>
          <w:sz w:val="24"/>
        </w:rPr>
      </w:pPr>
      <w:r>
        <w:rPr>
          <w:rFonts w:hint="eastAsia" w:ascii="宋体" w:hAnsi="宋体" w:cs="TimesNewRomanPSMT"/>
          <w:kern w:val="0"/>
          <w:sz w:val="24"/>
        </w:rPr>
        <w:t>1.</w:t>
      </w:r>
      <w:r>
        <w:rPr>
          <w:rFonts w:hint="eastAsia" w:ascii="宋体" w:hAnsi="宋体" w:cs="仿宋_GB2312"/>
          <w:kern w:val="0"/>
          <w:sz w:val="24"/>
        </w:rPr>
        <w:t>我方已仔细研究了</w:t>
      </w:r>
      <w:r>
        <w:rPr>
          <w:rFonts w:hint="eastAsia" w:ascii="宋体" w:hAnsi="宋体" w:cs="仿宋_GB2312"/>
          <w:kern w:val="0"/>
          <w:sz w:val="24"/>
          <w:u w:val="single"/>
        </w:rPr>
        <w:t xml:space="preserve">  （项目名称）   </w:t>
      </w:r>
      <w:r>
        <w:rPr>
          <w:rFonts w:hint="eastAsia" w:ascii="宋体" w:hAnsi="宋体" w:cs="仿宋_GB2312"/>
          <w:kern w:val="0"/>
          <w:sz w:val="24"/>
        </w:rPr>
        <w:t>谈判文件（包括修改、澄清文件）的全部内容，且对谈判文件无任何异议，并愿意以“报价函附录”所填写的响应总价、交货期（/服务期）及交货地点（/服务地点）</w:t>
      </w:r>
      <w:r>
        <w:rPr>
          <w:rFonts w:hint="eastAsia" w:ascii="宋体" w:hAnsi="宋体" w:cs="TimesNewRomanPSMT"/>
          <w:kern w:val="0"/>
          <w:sz w:val="24"/>
        </w:rPr>
        <w:t>，向你方</w:t>
      </w:r>
      <w:r>
        <w:rPr>
          <w:rFonts w:hint="eastAsia" w:ascii="宋体" w:hAnsi="宋体"/>
          <w:sz w:val="24"/>
        </w:rPr>
        <w:t>提供谈判文件要求的货物和（/或）服务</w:t>
      </w:r>
      <w:r>
        <w:rPr>
          <w:rFonts w:hint="eastAsia" w:ascii="宋体" w:hAnsi="宋体" w:cs="仿宋_GB2312"/>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2.我方承诺在响应文件有效期内不修改或撤销响应文件。否则，你方可不退还我方的谈判保证金。</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3.随同本报价函提交谈判保证金一份，金额见“</w:t>
      </w:r>
      <w:r>
        <w:rPr>
          <w:rFonts w:hint="eastAsia" w:ascii="宋体" w:hAnsi="宋体" w:cs="仿宋_GB2312"/>
          <w:kern w:val="0"/>
          <w:sz w:val="24"/>
        </w:rPr>
        <w:t>报价函附录”</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4.本响应文件有效期为自递交响应文件截止之日起</w:t>
      </w:r>
      <w:r>
        <w:rPr>
          <w:rFonts w:hint="eastAsia" w:ascii="宋体" w:hAnsi="宋体" w:cs="TimesNewRomanPSMT"/>
          <w:kern w:val="0"/>
          <w:sz w:val="24"/>
          <w:u w:val="single"/>
        </w:rPr>
        <w:t xml:space="preserve"> </w:t>
      </w:r>
      <w:r>
        <w:rPr>
          <w:rFonts w:ascii="宋体" w:hAnsi="宋体" w:cs="TimesNewRomanPSMT"/>
          <w:kern w:val="0"/>
          <w:sz w:val="24"/>
          <w:u w:val="single"/>
        </w:rPr>
        <w:t xml:space="preserve">     </w:t>
      </w:r>
      <w:r>
        <w:rPr>
          <w:rFonts w:hint="eastAsia" w:ascii="宋体" w:hAnsi="宋体" w:cs="TimesNewRomanPSMT"/>
          <w:kern w:val="0"/>
          <w:sz w:val="24"/>
          <w:u w:val="single"/>
        </w:rPr>
        <w:t>个日历日</w:t>
      </w:r>
      <w:r>
        <w:rPr>
          <w:rFonts w:hint="eastAsia" w:ascii="宋体" w:hAnsi="宋体" w:cs="TimesNewRomanPSMT"/>
          <w:kern w:val="0"/>
          <w:sz w:val="24"/>
        </w:rPr>
        <w:t>。</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6．如我方成交：</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ascii="宋体" w:hAnsi="宋体" w:cs="TimesNewRomanPSMT"/>
          <w:kern w:val="0"/>
          <w:sz w:val="24"/>
        </w:rPr>
        <w:t>1</w:t>
      </w:r>
      <w:r>
        <w:rPr>
          <w:rFonts w:hint="eastAsia" w:ascii="宋体" w:hAnsi="宋体" w:cs="仿宋_GB2312"/>
          <w:kern w:val="0"/>
          <w:sz w:val="24"/>
        </w:rPr>
        <w:t>）我方承诺在收到成交通知书后，在成交通知书规定的期限内与你方签订合同。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2</w:t>
      </w:r>
      <w:r>
        <w:rPr>
          <w:rFonts w:hint="eastAsia" w:ascii="宋体" w:hAnsi="宋体" w:cs="仿宋_GB2312"/>
          <w:kern w:val="0"/>
          <w:sz w:val="24"/>
        </w:rPr>
        <w:t>）我方承诺按照谈判文件规定向你方递交履约保证金。作为履行合同的担保。</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w:t>
      </w:r>
      <w:r>
        <w:rPr>
          <w:rFonts w:hint="eastAsia" w:ascii="宋体" w:hAnsi="宋体" w:cs="TimesNewRomanPSMT"/>
          <w:kern w:val="0"/>
          <w:sz w:val="24"/>
        </w:rPr>
        <w:t>3</w:t>
      </w:r>
      <w:r>
        <w:rPr>
          <w:rFonts w:hint="eastAsia" w:ascii="宋体" w:hAnsi="宋体" w:cs="仿宋_GB2312"/>
          <w:kern w:val="0"/>
          <w:sz w:val="24"/>
        </w:rPr>
        <w:t>）我方承诺按合同约定的期限和地点，提供符合招谈判文件要求的全部的货物和（/或）服务。</w:t>
      </w:r>
    </w:p>
    <w:p>
      <w:pPr>
        <w:autoSpaceDE w:val="0"/>
        <w:autoSpaceDN w:val="0"/>
        <w:adjustRightInd w:val="0"/>
        <w:snapToGrid w:val="0"/>
        <w:spacing w:line="360" w:lineRule="auto"/>
        <w:ind w:left="359" w:leftChars="171"/>
        <w:jc w:val="left"/>
        <w:rPr>
          <w:rFonts w:ascii="宋体" w:hAnsi="宋体" w:cs="仿宋_GB2312"/>
          <w:kern w:val="0"/>
          <w:sz w:val="24"/>
        </w:rPr>
      </w:pPr>
      <w:r>
        <w:rPr>
          <w:rFonts w:hint="eastAsia" w:ascii="宋体" w:hAnsi="宋体" w:cs="仿宋_GB2312"/>
          <w:kern w:val="0"/>
          <w:sz w:val="24"/>
        </w:rPr>
        <w:t>（4）我方保证在收到成交通知书后五个工作日内按要求支付代理服务费。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7.如谈判后的最后报价函与本报价函内容有差异，以最后的报价函内容为准。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TimesNewRomanPSMT"/>
          <w:kern w:val="0"/>
          <w:sz w:val="24"/>
        </w:rPr>
      </w:pPr>
      <w:r>
        <w:rPr>
          <w:rFonts w:hint="eastAsia" w:ascii="宋体" w:hAnsi="宋体" w:cs="TimesNewRomanPSMT"/>
          <w:kern w:val="0"/>
          <w:sz w:val="24"/>
        </w:rPr>
        <w:t>8．</w:t>
      </w:r>
      <w:r>
        <w:rPr>
          <w:rFonts w:hint="eastAsia" w:ascii="宋体" w:hAnsi="宋体" w:cs="TimesNewRomanPSMT"/>
          <w:kern w:val="0"/>
          <w:sz w:val="24"/>
          <w:u w:val="single"/>
        </w:rPr>
        <w:t>（其他补充说明）</w:t>
      </w:r>
      <w:r>
        <w:rPr>
          <w:rFonts w:hint="eastAsia" w:ascii="宋体" w:hAnsi="宋体" w:cs="TimesNewRomanPSMT"/>
          <w:kern w:val="0"/>
          <w:sz w:val="24"/>
        </w:rPr>
        <w:t>。</w:t>
      </w:r>
    </w:p>
    <w:p>
      <w:pPr>
        <w:autoSpaceDE w:val="0"/>
        <w:autoSpaceDN w:val="0"/>
        <w:adjustRightInd w:val="0"/>
        <w:snapToGrid w:val="0"/>
        <w:spacing w:line="360" w:lineRule="auto"/>
        <w:jc w:val="left"/>
        <w:rPr>
          <w:rFonts w:ascii="宋体" w:hAnsi="宋体" w:cs="仿宋_GB2312"/>
          <w:kern w:val="0"/>
          <w:sz w:val="24"/>
        </w:rPr>
      </w:pPr>
    </w:p>
    <w:p>
      <w:pPr>
        <w:autoSpaceDE w:val="0"/>
        <w:autoSpaceDN w:val="0"/>
        <w:adjustRightInd w:val="0"/>
        <w:snapToGrid w:val="0"/>
        <w:spacing w:line="360" w:lineRule="auto"/>
        <w:ind w:left="3780" w:leftChars="1800"/>
        <w:jc w:val="left"/>
        <w:rPr>
          <w:rFonts w:ascii="宋体" w:hAnsi="宋体" w:cs="仿宋_GB2312"/>
          <w:kern w:val="0"/>
          <w:sz w:val="24"/>
        </w:rPr>
      </w:pPr>
      <w:r>
        <w:rPr>
          <w:rFonts w:ascii="宋体" w:hAnsi="宋体" w:cs="仿宋_GB2312"/>
          <w:kern w:val="0"/>
          <w:sz w:val="24"/>
        </w:rPr>
        <w:t>供应商：</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法定代表人或其委托代理人：（签字或盖人名章）</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napToGrid w:val="0"/>
        <w:spacing w:line="360" w:lineRule="auto"/>
        <w:ind w:left="3780" w:leftChars="1800"/>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napToGrid w:val="0"/>
        <w:spacing w:line="360" w:lineRule="auto"/>
        <w:ind w:left="5939" w:leftChars="2828"/>
        <w:jc w:val="left"/>
        <w:rPr>
          <w:rFonts w:ascii="宋体" w:hAnsi="宋体" w:cs="仿宋_GB2312"/>
          <w:kern w:val="0"/>
          <w:sz w:val="24"/>
        </w:rPr>
      </w:pPr>
      <w:r>
        <w:rPr>
          <w:rFonts w:hint="eastAsia" w:ascii="宋体" w:hAnsi="宋体" w:cs="仿宋_GB2312"/>
          <w:kern w:val="0"/>
          <w:sz w:val="24"/>
        </w:rPr>
        <w:t>年 月 日</w:t>
      </w:r>
    </w:p>
    <w:bookmarkEnd w:id="232"/>
    <w:p>
      <w:pPr>
        <w:spacing w:line="360" w:lineRule="auto"/>
        <w:jc w:val="center"/>
        <w:rPr>
          <w:rFonts w:ascii="宋体" w:hAnsi="宋体"/>
          <w:b/>
          <w:bCs/>
          <w:sz w:val="24"/>
        </w:rPr>
      </w:pPr>
      <w:bookmarkStart w:id="233" w:name="_Toc192127131"/>
      <w:bookmarkStart w:id="234" w:name="_Toc195922057"/>
      <w:bookmarkStart w:id="235" w:name="_Toc416103827"/>
      <w:r>
        <w:rPr>
          <w:rFonts w:hint="eastAsia" w:ascii="宋体" w:hAnsi="宋体"/>
          <w:b/>
          <w:bCs/>
          <w:sz w:val="24"/>
        </w:rPr>
        <w:t>报价函附录</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41" w:leftChars="67" w:right="103" w:rightChars="49"/>
              <w:jc w:val="center"/>
              <w:rPr>
                <w:rFonts w:ascii="仿宋_GB2312" w:hAnsi="宋体" w:eastAsia="仿宋_GB2312"/>
                <w:b/>
                <w:sz w:val="24"/>
              </w:rPr>
            </w:pPr>
            <w:r>
              <w:rPr>
                <w:rFonts w:hint="eastAsia" w:ascii="仿宋_GB2312" w:hAnsi="宋体" w:eastAsia="仿宋_GB2312"/>
                <w:b/>
                <w:sz w:val="24"/>
              </w:rPr>
              <w:t>项目编号及谈判项目名称</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项目编号：</w:t>
            </w:r>
          </w:p>
          <w:p>
            <w:pPr>
              <w:ind w:left="189" w:leftChars="90" w:firstLine="1"/>
              <w:rPr>
                <w:rFonts w:ascii="仿宋_GB2312" w:hAnsi="宋体" w:eastAsia="仿宋_GB2312"/>
                <w:sz w:val="24"/>
              </w:rPr>
            </w:pPr>
            <w:r>
              <w:rPr>
                <w:rFonts w:hint="eastAsia" w:ascii="仿宋_GB2312" w:hAnsi="宋体" w:eastAsia="仿宋_GB2312"/>
                <w:sz w:val="24"/>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响应文件总价</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rPr>
                <w:rFonts w:ascii="仿宋_GB2312" w:hAnsi="宋体" w:eastAsia="仿宋_GB2312"/>
                <w:sz w:val="24"/>
              </w:rPr>
            </w:pPr>
            <w:r>
              <w:rPr>
                <w:rFonts w:hint="eastAsia" w:ascii="仿宋_GB2312" w:hAnsi="宋体" w:eastAsia="仿宋_GB2312"/>
                <w:sz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谈判保证金</w:t>
            </w:r>
          </w:p>
        </w:tc>
        <w:tc>
          <w:tcPr>
            <w:tcW w:w="6329" w:type="dxa"/>
            <w:vAlign w:val="center"/>
          </w:tcPr>
          <w:p>
            <w:pPr>
              <w:ind w:left="189" w:leftChars="90" w:firstLine="1"/>
              <w:rPr>
                <w:rFonts w:ascii="仿宋_GB2312" w:hAnsi="宋体" w:eastAsia="仿宋_GB2312"/>
                <w:sz w:val="24"/>
              </w:rPr>
            </w:pPr>
            <w:r>
              <w:rPr>
                <w:rFonts w:hint="eastAsia" w:ascii="仿宋_GB2312" w:hAnsi="宋体" w:eastAsia="仿宋_GB2312"/>
                <w:sz w:val="24"/>
              </w:rPr>
              <w:t xml:space="preserve">人民币 </w:t>
            </w:r>
            <w:r>
              <w:rPr>
                <w:rFonts w:ascii="仿宋_GB2312" w:hAnsi="宋体" w:eastAsia="仿宋_GB2312"/>
                <w:sz w:val="24"/>
              </w:rPr>
              <w:t xml:space="preserve">  </w:t>
            </w:r>
            <w:r>
              <w:rPr>
                <w:rFonts w:hint="eastAsia" w:ascii="仿宋_GB2312" w:hAnsi="宋体"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交货期</w:t>
            </w:r>
          </w:p>
        </w:tc>
        <w:tc>
          <w:tcPr>
            <w:tcW w:w="6329" w:type="dxa"/>
            <w:vAlign w:val="center"/>
          </w:tcPr>
          <w:p>
            <w:pPr>
              <w:ind w:left="189" w:leftChars="90"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ind w:left="-13" w:leftChars="-6"/>
              <w:jc w:val="center"/>
              <w:rPr>
                <w:rFonts w:ascii="仿宋_GB2312" w:hAnsi="宋体" w:eastAsia="仿宋_GB2312"/>
                <w:b/>
                <w:sz w:val="24"/>
              </w:rPr>
            </w:pPr>
            <w:r>
              <w:rPr>
                <w:rFonts w:hint="eastAsia" w:ascii="仿宋_GB2312" w:hAnsi="宋体" w:eastAsia="仿宋_GB2312"/>
                <w:b/>
                <w:sz w:val="24"/>
              </w:rPr>
              <w:t>交货地点</w:t>
            </w:r>
          </w:p>
        </w:tc>
        <w:tc>
          <w:tcPr>
            <w:tcW w:w="6329" w:type="dxa"/>
            <w:vAlign w:val="center"/>
          </w:tcPr>
          <w:p>
            <w:pPr>
              <w:ind w:left="899" w:leftChars="428" w:firstLine="1"/>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仿宋_GB2312" w:hAnsi="宋体" w:eastAsia="仿宋_GB2312"/>
                <w:b/>
                <w:sz w:val="24"/>
              </w:rPr>
            </w:pPr>
            <w:r>
              <w:rPr>
                <w:rFonts w:hint="eastAsia" w:ascii="仿宋_GB2312" w:hAnsi="宋体" w:eastAsia="仿宋_GB2312"/>
                <w:b/>
                <w:sz w:val="24"/>
              </w:rPr>
              <w:t>其他声明（如有）</w:t>
            </w:r>
          </w:p>
        </w:tc>
        <w:tc>
          <w:tcPr>
            <w:tcW w:w="6329" w:type="dxa"/>
            <w:vAlign w:val="center"/>
          </w:tcPr>
          <w:p>
            <w:pPr>
              <w:ind w:left="899" w:leftChars="428" w:firstLine="1"/>
              <w:rPr>
                <w:rFonts w:ascii="仿宋_GB2312" w:hAnsi="宋体" w:eastAsia="仿宋_GB2312"/>
                <w:sz w:val="24"/>
              </w:rPr>
            </w:pPr>
          </w:p>
        </w:tc>
      </w:tr>
    </w:tbl>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供应商名称（盖章）：</w:t>
      </w: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供应商授权代表</w:t>
      </w:r>
      <w:r>
        <w:rPr>
          <w:rFonts w:ascii="仿宋_GB2312" w:hAnsi="宋体" w:eastAsia="仿宋_GB2312"/>
          <w:sz w:val="24"/>
        </w:rPr>
        <w:t>(</w:t>
      </w:r>
      <w:r>
        <w:rPr>
          <w:rFonts w:hint="eastAsia" w:hAnsi="宋体" w:cs="仿宋_GB2312"/>
          <w:kern w:val="0"/>
          <w:sz w:val="24"/>
        </w:rPr>
        <w:t>签字或盖人名章</w:t>
      </w:r>
      <w:r>
        <w:rPr>
          <w:rFonts w:ascii="仿宋_GB2312" w:hAnsi="宋体" w:eastAsia="仿宋_GB2312"/>
          <w:sz w:val="24"/>
        </w:rPr>
        <w:t>)</w:t>
      </w:r>
      <w:r>
        <w:rPr>
          <w:rFonts w:hint="eastAsia" w:ascii="仿宋_GB2312" w:hAnsi="宋体" w:eastAsia="仿宋_GB2312"/>
          <w:sz w:val="24"/>
        </w:rPr>
        <w:t>：</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p>
    <w:p>
      <w:pPr>
        <w:pStyle w:val="39"/>
        <w:tabs>
          <w:tab w:val="left" w:pos="5580"/>
        </w:tabs>
        <w:spacing w:before="120"/>
        <w:ind w:firstLine="720" w:firstLineChars="300"/>
        <w:rPr>
          <w:rFonts w:ascii="仿宋_GB2312" w:hAnsi="宋体" w:eastAsia="仿宋_GB2312"/>
          <w:sz w:val="24"/>
          <w:u w:val="single"/>
        </w:rPr>
      </w:pPr>
    </w:p>
    <w:p>
      <w:pPr>
        <w:pStyle w:val="39"/>
        <w:tabs>
          <w:tab w:val="left" w:pos="5580"/>
        </w:tabs>
        <w:spacing w:before="120"/>
        <w:ind w:firstLine="720" w:firstLineChars="300"/>
        <w:rPr>
          <w:rFonts w:ascii="仿宋_GB2312" w:hAnsi="宋体" w:eastAsia="仿宋_GB2312"/>
          <w:sz w:val="24"/>
        </w:rPr>
      </w:pPr>
    </w:p>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注:此表中响应文件总价应与附件5中的总价相一致。</w:t>
      </w:r>
    </w:p>
    <w:p>
      <w:pPr>
        <w:pStyle w:val="39"/>
        <w:tabs>
          <w:tab w:val="left" w:pos="5580"/>
        </w:tabs>
        <w:spacing w:before="120"/>
        <w:ind w:firstLine="720" w:firstLineChars="300"/>
        <w:rPr>
          <w:rFonts w:ascii="仿宋_GB2312" w:hAnsi="宋体" w:eastAsia="仿宋_GB2312"/>
          <w:sz w:val="24"/>
        </w:rPr>
      </w:pPr>
      <w:r>
        <w:rPr>
          <w:rFonts w:hint="eastAsia" w:ascii="仿宋_GB2312" w:hAnsi="宋体" w:eastAsia="仿宋_GB2312"/>
          <w:sz w:val="24"/>
        </w:rPr>
        <w:t>注：本附件除在响应文件中装订外，还应单独打印盖章提交一份，需密封。</w:t>
      </w:r>
    </w:p>
    <w:p>
      <w:pPr>
        <w:pStyle w:val="39"/>
        <w:tabs>
          <w:tab w:val="left" w:pos="5580"/>
        </w:tabs>
        <w:spacing w:before="120"/>
        <w:ind w:firstLine="720" w:firstLineChars="300"/>
        <w:rPr>
          <w:rFonts w:ascii="仿宋_GB2312" w:hAnsi="宋体" w:eastAsia="仿宋_GB2312"/>
          <w:sz w:val="24"/>
        </w:rPr>
      </w:pPr>
      <w:r>
        <w:rPr>
          <w:rFonts w:hAnsi="宋体"/>
          <w:sz w:val="24"/>
        </w:rPr>
        <w:br w:type="page"/>
      </w:r>
    </w:p>
    <w:p>
      <w:pPr>
        <w:spacing w:line="360" w:lineRule="auto"/>
        <w:outlineLvl w:val="1"/>
        <w:rPr>
          <w:b/>
          <w:sz w:val="24"/>
        </w:rPr>
      </w:pPr>
      <w:bookmarkStart w:id="236" w:name="_Toc61594811"/>
      <w:r>
        <w:rPr>
          <w:rFonts w:hint="eastAsia"/>
          <w:b/>
          <w:sz w:val="24"/>
        </w:rPr>
        <w:t>附件2法定代表人身份证明</w:t>
      </w:r>
      <w:bookmarkEnd w:id="236"/>
    </w:p>
    <w:p>
      <w:pPr>
        <w:spacing w:before="156" w:beforeLines="50" w:line="288" w:lineRule="auto"/>
        <w:ind w:hanging="104"/>
        <w:jc w:val="center"/>
        <w:rPr>
          <w:rFonts w:ascii="宋体" w:hAnsi="宋体"/>
          <w:szCs w:val="21"/>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法定代表人身份证明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 xml:space="preserve">姓名： </w:t>
      </w:r>
      <w:r>
        <w:rPr>
          <w:rFonts w:ascii="宋体" w:hAnsi="宋体" w:cs="仿宋_GB2312"/>
          <w:kern w:val="0"/>
          <w:sz w:val="24"/>
        </w:rPr>
        <w:t xml:space="preserve">  </w:t>
      </w:r>
      <w:r>
        <w:rPr>
          <w:rFonts w:hint="eastAsia" w:ascii="宋体" w:hAnsi="宋体" w:cs="仿宋_GB2312"/>
          <w:kern w:val="0"/>
          <w:sz w:val="24"/>
        </w:rPr>
        <w:t xml:space="preserve">性别： </w:t>
      </w:r>
      <w:r>
        <w:rPr>
          <w:rFonts w:ascii="宋体" w:hAnsi="宋体" w:cs="仿宋_GB2312"/>
          <w:kern w:val="0"/>
          <w:sz w:val="24"/>
        </w:rPr>
        <w:t xml:space="preserve">    </w:t>
      </w:r>
      <w:r>
        <w:rPr>
          <w:rFonts w:hint="eastAsia" w:ascii="宋体" w:hAnsi="宋体" w:cs="仿宋_GB2312"/>
          <w:kern w:val="0"/>
          <w:sz w:val="24"/>
        </w:rPr>
        <w:t xml:space="preserve">年龄： </w:t>
      </w:r>
      <w:r>
        <w:rPr>
          <w:rFonts w:ascii="宋体" w:hAnsi="宋体" w:cs="仿宋_GB2312"/>
          <w:kern w:val="0"/>
          <w:sz w:val="24"/>
        </w:rPr>
        <w:t xml:space="preserve">   </w:t>
      </w:r>
      <w:r>
        <w:rPr>
          <w:rFonts w:hint="eastAsia" w:ascii="宋体" w:hAnsi="宋体" w:cs="仿宋_GB2312"/>
          <w:kern w:val="0"/>
          <w:sz w:val="24"/>
        </w:rPr>
        <w:t xml:space="preserve"> 职务： </w:t>
      </w:r>
      <w:r>
        <w:rPr>
          <w:rFonts w:ascii="宋体" w:hAnsi="宋体" w:cs="仿宋_GB2312"/>
          <w:kern w:val="0"/>
          <w:sz w:val="24"/>
        </w:rPr>
        <w:t xml:space="preserve">   </w:t>
      </w:r>
      <w:r>
        <w:rPr>
          <w:rFonts w:hint="eastAsia" w:ascii="宋体" w:hAnsi="宋体" w:cs="仿宋_GB2312"/>
          <w:kern w:val="0"/>
          <w:sz w:val="24"/>
        </w:rPr>
        <w:t>系</w:t>
      </w:r>
      <w:r>
        <w:rPr>
          <w:rFonts w:hint="eastAsia" w:ascii="宋体" w:hAnsi="宋体" w:cs="仿宋_GB2312"/>
          <w:kern w:val="0"/>
          <w:sz w:val="24"/>
          <w:u w:val="single"/>
        </w:rPr>
        <w:t>（供应商名称）</w:t>
      </w:r>
      <w:r>
        <w:rPr>
          <w:rFonts w:hint="eastAsia" w:ascii="宋体" w:hAnsi="宋体" w:cs="仿宋_GB2312"/>
          <w:kern w:val="0"/>
          <w:sz w:val="24"/>
        </w:rPr>
        <w:t>的法定代表人。</w:t>
      </w: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特此证明。</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5399" w:leftChars="2571"/>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5399" w:leftChars="2571"/>
        <w:jc w:val="left"/>
        <w:rPr>
          <w:rFonts w:ascii="宋体" w:hAnsi="宋体" w:cs="仿宋_GB2312"/>
          <w:kern w:val="0"/>
          <w:sz w:val="24"/>
        </w:rPr>
      </w:pPr>
    </w:p>
    <w:p>
      <w:pPr>
        <w:autoSpaceDE w:val="0"/>
        <w:autoSpaceDN w:val="0"/>
        <w:adjustRightInd w:val="0"/>
        <w:spacing w:line="360" w:lineRule="auto"/>
        <w:ind w:left="6659" w:leftChars="3171"/>
        <w:jc w:val="left"/>
        <w:rPr>
          <w:rFonts w:ascii="宋体" w:hAnsi="宋体" w:cs="仿宋_GB2312"/>
          <w:kern w:val="0"/>
          <w:sz w:val="24"/>
        </w:rPr>
      </w:pPr>
      <w:r>
        <w:rPr>
          <w:rFonts w:hint="eastAsia" w:ascii="宋体" w:hAnsi="宋体" w:cs="仿宋_GB2312"/>
          <w:kern w:val="0"/>
          <w:sz w:val="24"/>
        </w:rPr>
        <w:t xml:space="preserve">年 </w:t>
      </w:r>
      <w:r>
        <w:rPr>
          <w:rFonts w:ascii="宋体" w:hAnsi="宋体" w:cs="仿宋_GB2312"/>
          <w:kern w:val="0"/>
          <w:sz w:val="24"/>
        </w:rPr>
        <w:t xml:space="preserve"> </w:t>
      </w:r>
      <w:r>
        <w:rPr>
          <w:rFonts w:hint="eastAsia" w:ascii="宋体" w:hAnsi="宋体" w:cs="仿宋_GB2312"/>
          <w:kern w:val="0"/>
          <w:sz w:val="24"/>
        </w:rPr>
        <w:t xml:space="preserve">月 </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spacing w:line="360" w:lineRule="auto"/>
        <w:outlineLvl w:val="1"/>
        <w:rPr>
          <w:b/>
          <w:sz w:val="24"/>
        </w:rPr>
      </w:pPr>
      <w:bookmarkStart w:id="237" w:name="_Toc61594812"/>
      <w:bookmarkStart w:id="238" w:name="_Toc195922058"/>
      <w:r>
        <w:rPr>
          <w:rFonts w:hint="eastAsia"/>
          <w:b/>
          <w:sz w:val="24"/>
        </w:rPr>
        <w:t>附件3授权委托书</w:t>
      </w:r>
      <w:bookmarkEnd w:id="237"/>
    </w:p>
    <w:p>
      <w:pPr>
        <w:autoSpaceDE w:val="0"/>
        <w:autoSpaceDN w:val="0"/>
        <w:adjustRightInd w:val="0"/>
        <w:jc w:val="center"/>
        <w:rPr>
          <w:rFonts w:ascii="宋体" w:hAnsi="宋体" w:cs="TimesNewRomanPSMT"/>
          <w:kern w:val="0"/>
          <w:sz w:val="18"/>
          <w:szCs w:val="1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授权委托书</w:t>
      </w:r>
      <w:bookmarkEnd w:id="238"/>
    </w:p>
    <w:p>
      <w:pPr>
        <w:autoSpaceDE w:val="0"/>
        <w:autoSpaceDN w:val="0"/>
        <w:adjustRightInd w:val="0"/>
        <w:jc w:val="center"/>
        <w:rPr>
          <w:rFonts w:ascii="宋体" w:hAnsi="宋体" w:cs="黑体"/>
          <w:kern w:val="0"/>
          <w:sz w:val="28"/>
          <w:szCs w:val="28"/>
        </w:rPr>
      </w:pPr>
    </w:p>
    <w:p>
      <w:pPr>
        <w:autoSpaceDE w:val="0"/>
        <w:autoSpaceDN w:val="0"/>
        <w:adjustRightInd w:val="0"/>
        <w:jc w:val="left"/>
        <w:rPr>
          <w:rFonts w:ascii="宋体" w:hAnsi="宋体" w:cs="仿宋_GB2312"/>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本人</w:t>
      </w:r>
      <w:r>
        <w:rPr>
          <w:rFonts w:hint="eastAsia" w:ascii="宋体" w:hAnsi="宋体" w:cs="仿宋_GB2312"/>
          <w:kern w:val="0"/>
          <w:sz w:val="24"/>
          <w:u w:val="single"/>
        </w:rPr>
        <w:t>（姓名）</w:t>
      </w:r>
      <w:r>
        <w:rPr>
          <w:rFonts w:hint="eastAsia" w:ascii="宋体" w:hAnsi="宋体" w:cs="仿宋_GB2312"/>
          <w:kern w:val="0"/>
          <w:sz w:val="24"/>
        </w:rPr>
        <w:t>系</w:t>
      </w:r>
      <w:r>
        <w:rPr>
          <w:rFonts w:hint="eastAsia" w:ascii="宋体" w:hAnsi="宋体" w:cs="仿宋_GB2312"/>
          <w:kern w:val="0"/>
          <w:sz w:val="24"/>
          <w:u w:val="single"/>
        </w:rPr>
        <w:t>（供应商名称）</w:t>
      </w:r>
      <w:r>
        <w:rPr>
          <w:rFonts w:hint="eastAsia" w:ascii="宋体" w:hAnsi="宋体" w:cs="仿宋_GB2312"/>
          <w:kern w:val="0"/>
          <w:sz w:val="24"/>
        </w:rPr>
        <w:t>的法定代表人，现委托</w:t>
      </w:r>
      <w:r>
        <w:rPr>
          <w:rFonts w:hint="eastAsia" w:ascii="宋体" w:hAnsi="宋体" w:cs="仿宋_GB2312"/>
          <w:kern w:val="0"/>
          <w:sz w:val="24"/>
          <w:u w:val="single"/>
        </w:rPr>
        <w:t>（姓名）</w:t>
      </w:r>
      <w:r>
        <w:rPr>
          <w:rFonts w:hint="eastAsia" w:ascii="宋体" w:hAnsi="宋体" w:cs="仿宋_GB2312"/>
          <w:kern w:val="0"/>
          <w:sz w:val="24"/>
        </w:rPr>
        <w:t>为我方代理人。代理人根据授权，以我方名义签署、澄清、说明、补正、递交、撤回、修改</w:t>
      </w:r>
      <w:r>
        <w:rPr>
          <w:rFonts w:hint="eastAsia" w:ascii="宋体" w:hAnsi="宋体" w:cs="仿宋_GB2312"/>
          <w:kern w:val="0"/>
          <w:sz w:val="24"/>
          <w:u w:val="single"/>
        </w:rPr>
        <w:t>（项目名称）</w:t>
      </w:r>
      <w:r>
        <w:rPr>
          <w:rFonts w:hint="eastAsia" w:ascii="宋体" w:hAnsi="宋体" w:cs="仿宋_GB2312"/>
          <w:kern w:val="0"/>
          <w:sz w:val="24"/>
        </w:rPr>
        <w:t>响应文件、签订合同和处理有关事宜，其法律后果由我方承担。</w:t>
      </w:r>
    </w:p>
    <w:p>
      <w:pPr>
        <w:autoSpaceDE w:val="0"/>
        <w:autoSpaceDN w:val="0"/>
        <w:adjustRightInd w:val="0"/>
        <w:spacing w:line="360" w:lineRule="auto"/>
        <w:jc w:val="left"/>
        <w:rPr>
          <w:rFonts w:ascii="宋体" w:hAnsi="宋体" w:cs="仿宋_GB2312"/>
          <w:kern w:val="0"/>
          <w:sz w:val="24"/>
          <w:u w:val="single"/>
        </w:rPr>
      </w:pPr>
      <w:r>
        <w:rPr>
          <w:rFonts w:hint="eastAsia" w:ascii="宋体" w:hAnsi="宋体" w:cs="仿宋_GB2312"/>
          <w:kern w:val="0"/>
          <w:sz w:val="24"/>
          <w:u w:val="single"/>
        </w:rPr>
        <w:t xml:space="preserve">委托期限： </w:t>
      </w:r>
      <w:r>
        <w:rPr>
          <w:rFonts w:ascii="宋体" w:hAnsi="宋体" w:cs="仿宋_GB2312"/>
          <w:kern w:val="0"/>
          <w:sz w:val="24"/>
          <w:u w:val="single"/>
        </w:rPr>
        <w:t xml:space="preserve">               </w:t>
      </w:r>
      <w:r>
        <w:rPr>
          <w:rFonts w:hint="eastAsia" w:ascii="宋体" w:hAnsi="宋体" w:cs="仿宋_GB2312"/>
          <w:kern w:val="0"/>
          <w:sz w:val="24"/>
          <w:u w:val="single"/>
        </w:rPr>
        <w:t>。</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代理人无转委托权。</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r>
        <w:rPr>
          <w:rFonts w:hint="eastAsia" w:ascii="宋体" w:hAnsi="宋体" w:cs="仿宋_GB2312"/>
          <w:kern w:val="0"/>
          <w:sz w:val="24"/>
        </w:rPr>
        <w:t>附：法定代表人身份证明及被授权人身份证明（复印件或扫描件）</w:t>
      </w: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jc w:val="left"/>
        <w:rPr>
          <w:rFonts w:ascii="宋体" w:hAnsi="宋体" w:cs="仿宋_GB2312"/>
          <w:kern w:val="0"/>
          <w:sz w:val="24"/>
        </w:rPr>
      </w:pP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供应商：           （盖单位章）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法定代表人：            （签字或</w:t>
      </w:r>
      <w:r>
        <w:rPr>
          <w:rFonts w:hint="eastAsia" w:hAnsi="宋体" w:cs="仿宋_GB2312"/>
          <w:kern w:val="0"/>
          <w:sz w:val="24"/>
        </w:rPr>
        <w:t>盖人名</w:t>
      </w:r>
      <w:r>
        <w:rPr>
          <w:rFonts w:hint="eastAsia" w:ascii="宋体" w:hAnsi="宋体" w:cs="仿宋_GB2312"/>
          <w:kern w:val="0"/>
          <w:sz w:val="24"/>
        </w:rPr>
        <w:t>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委托代理人：             （签字或</w:t>
      </w:r>
      <w:r>
        <w:rPr>
          <w:rFonts w:hint="eastAsia" w:hAnsi="宋体" w:cs="仿宋_GB2312"/>
          <w:kern w:val="0"/>
          <w:sz w:val="24"/>
        </w:rPr>
        <w:t>盖人名</w:t>
      </w:r>
      <w:r>
        <w:rPr>
          <w:rFonts w:hint="eastAsia" w:ascii="宋体" w:hAnsi="宋体" w:cs="仿宋_GB2312"/>
          <w:kern w:val="0"/>
          <w:sz w:val="24"/>
        </w:rPr>
        <w:t>章）</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身份证号码：</w:t>
      </w:r>
    </w:p>
    <w:p>
      <w:pPr>
        <w:autoSpaceDE w:val="0"/>
        <w:autoSpaceDN w:val="0"/>
        <w:adjustRightInd w:val="0"/>
        <w:spacing w:line="360" w:lineRule="auto"/>
        <w:ind w:left="3958" w:leftChars="1885"/>
        <w:jc w:val="left"/>
        <w:rPr>
          <w:rFonts w:ascii="宋体" w:hAnsi="宋体" w:cs="仿宋_GB2312"/>
          <w:kern w:val="0"/>
          <w:sz w:val="24"/>
        </w:rPr>
      </w:pPr>
      <w:r>
        <w:rPr>
          <w:rFonts w:hint="eastAsia" w:ascii="宋体" w:hAnsi="宋体" w:cs="仿宋_GB2312"/>
          <w:kern w:val="0"/>
          <w:sz w:val="24"/>
        </w:rPr>
        <w:t xml:space="preserve">年 </w:t>
      </w:r>
      <w:r>
        <w:rPr>
          <w:rFonts w:ascii="宋体" w:hAnsi="宋体" w:cs="仿宋_GB2312"/>
          <w:kern w:val="0"/>
          <w:sz w:val="24"/>
        </w:rPr>
        <w:t xml:space="preserve"> </w:t>
      </w:r>
      <w:r>
        <w:rPr>
          <w:rFonts w:hint="eastAsia" w:ascii="宋体" w:hAnsi="宋体" w:cs="仿宋_GB2312"/>
          <w:kern w:val="0"/>
          <w:sz w:val="24"/>
        </w:rPr>
        <w:t xml:space="preserve">月 </w:t>
      </w:r>
      <w:r>
        <w:rPr>
          <w:rFonts w:ascii="宋体" w:hAnsi="宋体" w:cs="仿宋_GB2312"/>
          <w:kern w:val="0"/>
          <w:sz w:val="24"/>
        </w:rPr>
        <w:t xml:space="preserve"> </w:t>
      </w:r>
      <w:r>
        <w:rPr>
          <w:rFonts w:hint="eastAsia" w:ascii="宋体" w:hAnsi="宋体" w:cs="仿宋_GB2312"/>
          <w:kern w:val="0"/>
          <w:sz w:val="24"/>
        </w:rPr>
        <w:t>日</w:t>
      </w:r>
    </w:p>
    <w:p>
      <w:pPr>
        <w:widowControl/>
        <w:jc w:val="left"/>
        <w:rPr>
          <w:rFonts w:ascii="宋体" w:hAnsi="宋体" w:cs="仿宋_GB2312"/>
          <w:kern w:val="0"/>
          <w:sz w:val="24"/>
        </w:rPr>
      </w:pPr>
      <w:r>
        <w:rPr>
          <w:rFonts w:ascii="宋体" w:hAnsi="宋体" w:cs="仿宋_GB2312"/>
          <w:kern w:val="0"/>
          <w:sz w:val="24"/>
        </w:rPr>
        <w:br w:type="page"/>
      </w:r>
    </w:p>
    <w:p>
      <w:pPr>
        <w:spacing w:line="360" w:lineRule="auto"/>
        <w:outlineLvl w:val="1"/>
        <w:rPr>
          <w:b/>
          <w:sz w:val="24"/>
        </w:rPr>
      </w:pPr>
      <w:bookmarkStart w:id="239" w:name="_Toc61594813"/>
      <w:r>
        <w:rPr>
          <w:rFonts w:hint="eastAsia"/>
          <w:b/>
          <w:sz w:val="24"/>
        </w:rPr>
        <w:t>附件4谈判保证金</w:t>
      </w:r>
      <w:bookmarkEnd w:id="233"/>
      <w:bookmarkEnd w:id="234"/>
      <w:bookmarkEnd w:id="239"/>
    </w:p>
    <w:p>
      <w:pPr>
        <w:spacing w:before="120" w:after="120" w:line="360" w:lineRule="auto"/>
        <w:ind w:firstLine="420" w:firstLineChars="200"/>
        <w:rPr>
          <w:rFonts w:ascii="宋体"/>
          <w:szCs w:val="21"/>
        </w:rPr>
      </w:pPr>
      <w:r>
        <w:rPr>
          <w:rFonts w:hint="eastAsia" w:ascii="宋体"/>
          <w:szCs w:val="21"/>
        </w:rPr>
        <w:t>（支票、汇票或本票的复印件，或采用汇款、网银等方式提交的保证金的汇款底单复印件）</w:t>
      </w:r>
    </w:p>
    <w:p>
      <w:pPr>
        <w:jc w:val="center"/>
        <w:rPr>
          <w:b/>
          <w:sz w:val="24"/>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p>
    <w:p>
      <w:pPr>
        <w:ind w:firstLine="422"/>
        <w:rPr>
          <w:rFonts w:ascii="宋体"/>
          <w:b/>
          <w:szCs w:val="21"/>
        </w:rPr>
      </w:pPr>
      <w:r>
        <w:rPr>
          <w:rFonts w:hint="eastAsia" w:ascii="宋体"/>
          <w:b/>
          <w:szCs w:val="21"/>
        </w:rPr>
        <w:t>说明：</w:t>
      </w:r>
    </w:p>
    <w:p>
      <w:pPr>
        <w:spacing w:before="120" w:after="120" w:line="360" w:lineRule="auto"/>
        <w:ind w:firstLine="420" w:firstLineChars="200"/>
        <w:rPr>
          <w:rFonts w:ascii="宋体"/>
          <w:szCs w:val="21"/>
        </w:rPr>
      </w:pPr>
      <w:r>
        <w:rPr>
          <w:rFonts w:hint="eastAsia" w:ascii="宋体"/>
          <w:szCs w:val="21"/>
        </w:rPr>
        <w:t>供应商提交的谈判保证金应采用谈判文件中规定的形式，并在此提供相应凭证的复印件</w:t>
      </w:r>
      <w:r>
        <w:rPr>
          <w:rFonts w:ascii="宋体"/>
          <w:szCs w:val="21"/>
        </w:rPr>
        <w:t>。</w:t>
      </w: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p>
    <w:p>
      <w:pPr>
        <w:spacing w:before="120" w:after="120" w:line="360" w:lineRule="auto"/>
        <w:ind w:firstLine="420" w:firstLineChars="200"/>
        <w:rPr>
          <w:rFonts w:ascii="宋体"/>
          <w:szCs w:val="21"/>
        </w:rPr>
      </w:pPr>
      <w:r>
        <w:rPr>
          <w:rFonts w:ascii="宋体"/>
          <w:szCs w:val="21"/>
        </w:rPr>
        <w:t xml:space="preserve">供应商名称（公章）： </w:t>
      </w:r>
    </w:p>
    <w:p>
      <w:pPr>
        <w:spacing w:before="120" w:after="120" w:line="360" w:lineRule="auto"/>
        <w:ind w:firstLine="420" w:firstLineChars="200"/>
        <w:rPr>
          <w:rFonts w:ascii="宋体"/>
          <w:szCs w:val="21"/>
        </w:rPr>
      </w:pPr>
      <w:r>
        <w:rPr>
          <w:rFonts w:ascii="宋体"/>
          <w:szCs w:val="21"/>
        </w:rPr>
        <w:t>法定代表人或其授权代表（</w:t>
      </w:r>
      <w:r>
        <w:rPr>
          <w:rFonts w:hint="eastAsia" w:ascii="宋体"/>
          <w:szCs w:val="21"/>
        </w:rPr>
        <w:t>签字或加盖人名章</w:t>
      </w:r>
      <w:r>
        <w:rPr>
          <w:rFonts w:ascii="宋体"/>
          <w:szCs w:val="21"/>
        </w:rPr>
        <w:t>）：</w:t>
      </w:r>
    </w:p>
    <w:p>
      <w:pPr>
        <w:spacing w:before="120" w:after="120" w:line="360" w:lineRule="auto"/>
        <w:ind w:firstLine="420" w:firstLineChars="200"/>
        <w:rPr>
          <w:rFonts w:ascii="宋体"/>
          <w:szCs w:val="21"/>
        </w:rPr>
      </w:pPr>
      <w:r>
        <w:rPr>
          <w:rFonts w:ascii="宋体"/>
          <w:szCs w:val="21"/>
        </w:rPr>
        <w:t>日    期：     年   月    日</w:t>
      </w:r>
    </w:p>
    <w:p>
      <w:pPr>
        <w:spacing w:line="480" w:lineRule="exact"/>
        <w:ind w:firstLine="482" w:firstLineChars="200"/>
        <w:rPr>
          <w:rFonts w:ascii="仿宋_GB2312" w:hAnsi="仿宋_GB2312" w:eastAsia="仿宋_GB2312" w:cs="宋体"/>
          <w:b/>
          <w:kern w:val="0"/>
          <w:sz w:val="24"/>
          <w:szCs w:val="28"/>
        </w:rPr>
      </w:pPr>
    </w:p>
    <w:p>
      <w:pPr>
        <w:spacing w:line="480" w:lineRule="exact"/>
        <w:rPr>
          <w:rFonts w:ascii="仿宋_GB2312" w:hAnsi="仿宋_GB2312" w:eastAsia="仿宋_GB2312" w:cs="宋体"/>
          <w:b/>
          <w:kern w:val="0"/>
          <w:sz w:val="24"/>
          <w:szCs w:val="28"/>
        </w:rPr>
        <w:sectPr>
          <w:footerReference r:id="rId4" w:type="default"/>
          <w:pgSz w:w="11906" w:h="16838"/>
          <w:pgMar w:top="1418" w:right="1134" w:bottom="1134" w:left="1418" w:header="851" w:footer="992" w:gutter="0"/>
          <w:pgNumType w:start="1"/>
          <w:cols w:space="720" w:num="1"/>
          <w:docGrid w:type="lines" w:linePitch="312" w:charSpace="0"/>
        </w:sectPr>
      </w:pPr>
    </w:p>
    <w:p>
      <w:pPr>
        <w:spacing w:line="360" w:lineRule="auto"/>
        <w:outlineLvl w:val="1"/>
        <w:rPr>
          <w:b/>
          <w:sz w:val="24"/>
        </w:rPr>
      </w:pPr>
      <w:bookmarkStart w:id="240" w:name="_Toc61594815"/>
      <w:bookmarkStart w:id="241" w:name="_Toc143577473"/>
      <w:bookmarkStart w:id="242" w:name="_Toc468781351"/>
      <w:r>
        <w:rPr>
          <w:rFonts w:hint="eastAsia"/>
          <w:b/>
          <w:sz w:val="24"/>
        </w:rPr>
        <w:t>附件5分项报价表</w:t>
      </w:r>
      <w:bookmarkEnd w:id="240"/>
    </w:p>
    <w:p>
      <w:pPr>
        <w:pStyle w:val="418"/>
        <w:ind w:firstLine="0"/>
        <w:jc w:val="center"/>
        <w:rPr>
          <w:rFonts w:ascii="宋体" w:hAnsi="宋体" w:cs="宋体"/>
          <w:sz w:val="30"/>
          <w:szCs w:val="30"/>
        </w:rPr>
      </w:pPr>
    </w:p>
    <w:p>
      <w:pPr>
        <w:pStyle w:val="418"/>
        <w:ind w:firstLine="0"/>
        <w:jc w:val="center"/>
        <w:rPr>
          <w:rFonts w:ascii="宋体" w:hAnsi="宋体" w:cs="宋体"/>
          <w:sz w:val="30"/>
          <w:szCs w:val="30"/>
        </w:rPr>
      </w:pPr>
      <w:r>
        <w:rPr>
          <w:rFonts w:ascii="宋体" w:hAnsi="宋体" w:cs="宋体"/>
          <w:sz w:val="30"/>
          <w:szCs w:val="30"/>
        </w:rPr>
        <w:t>分项报价表</w:t>
      </w:r>
    </w:p>
    <w:tbl>
      <w:tblPr>
        <w:tblStyle w:val="73"/>
        <w:tblW w:w="96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4338"/>
        <w:gridCol w:w="1276"/>
        <w:gridCol w:w="1417"/>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beforeLines="50" w:after="120" w:afterLines="50"/>
              <w:jc w:val="center"/>
              <w:rPr>
                <w:rFonts w:ascii="Arial" w:hAnsi="Arial" w:eastAsia="黑体" w:cs="Arial"/>
              </w:rPr>
            </w:pPr>
            <w:r>
              <w:rPr>
                <w:rFonts w:ascii="Arial" w:hAnsi="Arial" w:eastAsia="黑体" w:cs="Arial"/>
              </w:rPr>
              <w:t>序号</w:t>
            </w:r>
          </w:p>
        </w:tc>
        <w:tc>
          <w:tcPr>
            <w:tcW w:w="4338" w:type="dxa"/>
            <w:vAlign w:val="center"/>
          </w:tcPr>
          <w:p>
            <w:pPr>
              <w:spacing w:before="120" w:beforeLines="50" w:after="120" w:afterLines="50"/>
              <w:jc w:val="center"/>
              <w:rPr>
                <w:rFonts w:ascii="Arial" w:hAnsi="Arial" w:eastAsia="黑体" w:cs="Arial"/>
              </w:rPr>
            </w:pPr>
            <w:r>
              <w:rPr>
                <w:rFonts w:ascii="Arial" w:hAnsi="Arial" w:eastAsia="黑体" w:cs="Arial"/>
              </w:rPr>
              <w:t>名称</w:t>
            </w:r>
          </w:p>
        </w:tc>
        <w:tc>
          <w:tcPr>
            <w:tcW w:w="1276" w:type="dxa"/>
          </w:tcPr>
          <w:p>
            <w:pPr>
              <w:spacing w:before="120" w:beforeLines="50" w:after="120" w:afterLines="50"/>
              <w:jc w:val="center"/>
              <w:rPr>
                <w:rFonts w:ascii="Arial" w:hAnsi="Arial" w:eastAsia="黑体" w:cs="Arial"/>
              </w:rPr>
            </w:pPr>
            <w:r>
              <w:rPr>
                <w:rFonts w:hint="eastAsia" w:ascii="Arial" w:hAnsi="Arial" w:eastAsia="黑体" w:cs="Arial"/>
              </w:rPr>
              <w:t>单价</w:t>
            </w:r>
          </w:p>
        </w:tc>
        <w:tc>
          <w:tcPr>
            <w:tcW w:w="1417" w:type="dxa"/>
            <w:vAlign w:val="center"/>
          </w:tcPr>
          <w:p>
            <w:pPr>
              <w:spacing w:before="120" w:beforeLines="50" w:after="120" w:afterLines="50"/>
              <w:jc w:val="center"/>
              <w:rPr>
                <w:rFonts w:ascii="Arial" w:hAnsi="Arial" w:eastAsia="黑体" w:cs="Arial"/>
              </w:rPr>
            </w:pPr>
            <w:r>
              <w:rPr>
                <w:rFonts w:ascii="Arial" w:hAnsi="Arial" w:eastAsia="黑体" w:cs="Arial"/>
              </w:rPr>
              <w:t>总价</w:t>
            </w:r>
          </w:p>
        </w:tc>
        <w:tc>
          <w:tcPr>
            <w:tcW w:w="1560" w:type="dxa"/>
            <w:vAlign w:val="center"/>
          </w:tcPr>
          <w:p>
            <w:pPr>
              <w:spacing w:before="120" w:beforeLines="50" w:after="120" w:afterLines="50"/>
              <w:ind w:firstLine="420"/>
              <w:jc w:val="center"/>
              <w:rPr>
                <w:rFonts w:ascii="Arial" w:hAnsi="Arial" w:eastAsia="黑体" w:cs="Arial"/>
              </w:rPr>
            </w:pPr>
            <w:r>
              <w:rPr>
                <w:rFonts w:ascii="Arial" w:hAnsi="Arial" w:eastAsia="黑体" w:cs="Aria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1</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2</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3</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4</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5</w:t>
            </w:r>
          </w:p>
        </w:tc>
        <w:tc>
          <w:tcPr>
            <w:tcW w:w="4338" w:type="dxa"/>
            <w:vAlign w:val="center"/>
          </w:tcPr>
          <w:p>
            <w:pPr>
              <w:snapToGrid w:val="0"/>
              <w:spacing w:before="120" w:beforeLines="50" w:after="120" w:afterLines="50"/>
              <w:jc w:val="center"/>
              <w:rPr>
                <w:rFonts w:ascii="黑体" w:hAnsi="黑体" w:eastAsia="黑体"/>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6</w:t>
            </w:r>
          </w:p>
        </w:tc>
        <w:tc>
          <w:tcPr>
            <w:tcW w:w="4338" w:type="dxa"/>
            <w:vAlign w:val="center"/>
          </w:tcPr>
          <w:p>
            <w:pPr>
              <w:snapToGrid w:val="0"/>
              <w:spacing w:before="120" w:beforeLines="50" w:after="120" w:afterLines="50"/>
              <w:jc w:val="center"/>
              <w:rPr>
                <w:rFonts w:ascii="Arial" w:hAnsi="Arial" w:eastAsia="黑体" w:cs="Arial"/>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before="120" w:after="120"/>
              <w:jc w:val="center"/>
              <w:rPr>
                <w:rFonts w:ascii="Arial" w:hAnsi="Arial" w:eastAsia="楷体_GB2312" w:cs="Arial"/>
              </w:rPr>
            </w:pPr>
            <w:r>
              <w:rPr>
                <w:rFonts w:hint="eastAsia" w:ascii="Arial" w:hAnsi="Arial" w:eastAsia="楷体_GB2312" w:cs="Arial"/>
              </w:rPr>
              <w:t>7</w:t>
            </w:r>
          </w:p>
        </w:tc>
        <w:tc>
          <w:tcPr>
            <w:tcW w:w="4338" w:type="dxa"/>
            <w:vAlign w:val="center"/>
          </w:tcPr>
          <w:p>
            <w:pPr>
              <w:snapToGrid w:val="0"/>
              <w:spacing w:before="120" w:beforeLines="50" w:after="120" w:afterLines="50"/>
              <w:jc w:val="center"/>
              <w:rPr>
                <w:rFonts w:ascii="Arial" w:hAnsi="Arial" w:eastAsia="黑体" w:cs="Arial"/>
              </w:rPr>
            </w:pPr>
          </w:p>
        </w:tc>
        <w:tc>
          <w:tcPr>
            <w:tcW w:w="1276" w:type="dxa"/>
          </w:tcPr>
          <w:p>
            <w:pPr>
              <w:snapToGrid w:val="0"/>
              <w:jc w:val="center"/>
              <w:rPr>
                <w:rFonts w:ascii="Arial" w:hAnsi="Arial" w:eastAsia="楷体_GB2312" w:cs="Arial"/>
              </w:rPr>
            </w:pPr>
          </w:p>
        </w:tc>
        <w:tc>
          <w:tcPr>
            <w:tcW w:w="1417" w:type="dxa"/>
            <w:vAlign w:val="center"/>
          </w:tcPr>
          <w:p>
            <w:pPr>
              <w:snapToGrid w:val="0"/>
              <w:jc w:val="center"/>
              <w:rPr>
                <w:rFonts w:ascii="Arial" w:hAnsi="Arial" w:eastAsia="楷体_GB2312" w:cs="Arial"/>
              </w:rPr>
            </w:pPr>
          </w:p>
        </w:tc>
        <w:tc>
          <w:tcPr>
            <w:tcW w:w="1560" w:type="dxa"/>
          </w:tcPr>
          <w:p>
            <w:pPr>
              <w:snapToGrid w:val="0"/>
              <w:jc w:val="center"/>
              <w:rPr>
                <w:rFonts w:ascii="Arial" w:hAnsi="Arial" w:eastAsia="楷体_GB2312" w:cs="Arial"/>
              </w:rPr>
            </w:pPr>
          </w:p>
        </w:tc>
      </w:tr>
    </w:tbl>
    <w:p>
      <w:pPr>
        <w:snapToGrid w:val="0"/>
        <w:jc w:val="left"/>
        <w:rPr>
          <w:rFonts w:ascii="宋体" w:hAnsi="宋体" w:cs="宋体"/>
          <w:szCs w:val="21"/>
        </w:rPr>
      </w:pPr>
    </w:p>
    <w:p>
      <w:pPr>
        <w:snapToGrid w:val="0"/>
        <w:jc w:val="left"/>
        <w:rPr>
          <w:rFonts w:ascii="宋体" w:hAnsi="宋体" w:cs="宋体"/>
          <w:szCs w:val="21"/>
        </w:rPr>
      </w:pPr>
      <w:r>
        <w:rPr>
          <w:rFonts w:hint="eastAsia" w:ascii="宋体" w:hAnsi="宋体" w:cs="宋体"/>
          <w:szCs w:val="21"/>
        </w:rPr>
        <w:t>注：1. 供应商需严格按照谈判文件的采购需求编写分项报价。</w:t>
      </w:r>
    </w:p>
    <w:p>
      <w:pPr>
        <w:snapToGrid w:val="0"/>
        <w:ind w:firstLine="420" w:firstLineChars="200"/>
        <w:jc w:val="left"/>
        <w:rPr>
          <w:rFonts w:ascii="宋体" w:hAnsi="宋体" w:cs="宋体"/>
          <w:szCs w:val="21"/>
        </w:rPr>
      </w:pPr>
      <w:r>
        <w:rPr>
          <w:rFonts w:hint="eastAsia" w:ascii="宋体" w:hAnsi="宋体" w:cs="宋体"/>
          <w:szCs w:val="21"/>
        </w:rPr>
        <w:t>2. 供应商可根据实际情况自行扩展表格细项。</w:t>
      </w:r>
    </w:p>
    <w:p>
      <w:pPr>
        <w:snapToGrid w:val="0"/>
        <w:jc w:val="left"/>
        <w:rPr>
          <w:rFonts w:ascii="宋体" w:hAnsi="宋体" w:cs="宋体"/>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ascii="宋体" w:hAnsi="宋体"/>
          <w:szCs w:val="21"/>
        </w:rPr>
        <w:t>法定代表人或其授权代表</w:t>
      </w:r>
      <w:r>
        <w:rPr>
          <w:rFonts w:hint="eastAsia" w:ascii="宋体" w:hAnsi="宋体" w:cs="宋体"/>
          <w:szCs w:val="21"/>
        </w:rPr>
        <w:t>：</w:t>
      </w:r>
      <w:r>
        <w:rPr>
          <w:rFonts w:hint="eastAsia" w:ascii="宋体" w:hAnsi="宋体" w:cs="宋体"/>
          <w:szCs w:val="21"/>
          <w:u w:val="single"/>
        </w:rPr>
        <w:t xml:space="preserve">     签字或加盖人名章             </w:t>
      </w:r>
    </w:p>
    <w:p>
      <w:pPr>
        <w:pStyle w:val="419"/>
        <w:adjustRightInd/>
        <w:snapToGrid/>
        <w:spacing w:after="0"/>
        <w:rPr>
          <w:rFonts w:ascii="宋体" w:hAnsi="宋体" w:cs="宋体"/>
          <w:sz w:val="21"/>
          <w:szCs w:val="21"/>
          <w:u w:val="single"/>
        </w:rPr>
      </w:pPr>
      <w:r>
        <w:rPr>
          <w:rFonts w:hint="eastAsia" w:ascii="宋体" w:hAnsi="宋体" w:cs="宋体"/>
          <w:sz w:val="21"/>
          <w:szCs w:val="21"/>
        </w:rPr>
        <w:t>日期 ：</w:t>
      </w:r>
    </w:p>
    <w:p>
      <w:pPr>
        <w:widowControl/>
        <w:jc w:val="left"/>
        <w:rPr>
          <w:sz w:val="24"/>
        </w:rPr>
      </w:pPr>
      <w:r>
        <w:rPr>
          <w:sz w:val="24"/>
        </w:rPr>
        <w:br w:type="page"/>
      </w:r>
    </w:p>
    <w:p>
      <w:pPr>
        <w:spacing w:line="360" w:lineRule="auto"/>
        <w:outlineLvl w:val="1"/>
        <w:rPr>
          <w:b/>
          <w:sz w:val="24"/>
        </w:rPr>
      </w:pPr>
      <w:bookmarkStart w:id="243" w:name="_Toc61594816"/>
      <w:r>
        <w:rPr>
          <w:rFonts w:hint="eastAsia"/>
          <w:b/>
          <w:sz w:val="24"/>
        </w:rPr>
        <w:t>附件6</w:t>
      </w:r>
      <w:r>
        <w:rPr>
          <w:b/>
          <w:sz w:val="24"/>
        </w:rPr>
        <w:t>商务、合同条款偏差表</w:t>
      </w:r>
      <w:bookmarkEnd w:id="243"/>
    </w:p>
    <w:p>
      <w:pPr>
        <w:spacing w:after="240"/>
        <w:ind w:hanging="119"/>
      </w:pPr>
    </w:p>
    <w:p>
      <w:pPr>
        <w:spacing w:after="240"/>
        <w:ind w:hanging="119"/>
        <w:jc w:val="center"/>
        <w:rPr>
          <w:u w:val="single"/>
        </w:rPr>
      </w:pPr>
      <w:r>
        <w:rPr>
          <w:b/>
          <w:sz w:val="24"/>
        </w:rPr>
        <w:t>商务、合同条款偏差表</w:t>
      </w:r>
    </w:p>
    <w:tbl>
      <w:tblPr>
        <w:tblStyle w:val="73"/>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jc w:val="center"/>
        </w:trPr>
        <w:tc>
          <w:tcPr>
            <w:tcW w:w="2093" w:type="dxa"/>
          </w:tcPr>
          <w:p>
            <w:pPr>
              <w:spacing w:line="440" w:lineRule="atLeast"/>
              <w:jc w:val="center"/>
            </w:pPr>
            <w:r>
              <w:t>谈判文件条目号</w:t>
            </w:r>
          </w:p>
        </w:tc>
        <w:tc>
          <w:tcPr>
            <w:tcW w:w="3623" w:type="dxa"/>
          </w:tcPr>
          <w:p>
            <w:pPr>
              <w:spacing w:line="440" w:lineRule="atLeast"/>
              <w:jc w:val="center"/>
            </w:pPr>
            <w:r>
              <w:t>谈判文件的商务、合同条款</w:t>
            </w:r>
          </w:p>
        </w:tc>
        <w:tc>
          <w:tcPr>
            <w:tcW w:w="1134" w:type="dxa"/>
          </w:tcPr>
          <w:p>
            <w:pPr>
              <w:spacing w:line="440" w:lineRule="atLeast"/>
              <w:jc w:val="center"/>
            </w:pPr>
            <w:r>
              <w:rPr>
                <w:rFonts w:hint="eastAsia"/>
              </w:rPr>
              <w:t>完全</w:t>
            </w:r>
            <w:r>
              <w:t>响应</w:t>
            </w:r>
          </w:p>
        </w:tc>
        <w:tc>
          <w:tcPr>
            <w:tcW w:w="851" w:type="dxa"/>
          </w:tcPr>
          <w:p>
            <w:pPr>
              <w:spacing w:line="440" w:lineRule="atLeast"/>
              <w:jc w:val="center"/>
            </w:pPr>
            <w:r>
              <w:rPr>
                <w:rFonts w:hint="eastAsia"/>
              </w:rPr>
              <w:t>有偏离</w:t>
            </w:r>
          </w:p>
        </w:tc>
        <w:tc>
          <w:tcPr>
            <w:tcW w:w="1310" w:type="dxa"/>
          </w:tcPr>
          <w:p>
            <w:pPr>
              <w:spacing w:line="440" w:lineRule="atLeas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tcPr>
          <w:p>
            <w:pPr>
              <w:spacing w:line="440" w:lineRule="atLeast"/>
            </w:pPr>
          </w:p>
        </w:tc>
        <w:tc>
          <w:tcPr>
            <w:tcW w:w="3623" w:type="dxa"/>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pPr>
          </w:p>
        </w:tc>
        <w:tc>
          <w:tcPr>
            <w:tcW w:w="3623" w:type="dxa"/>
            <w:vAlign w:val="center"/>
          </w:tcPr>
          <w:p>
            <w:pPr>
              <w:spacing w:line="440" w:lineRule="atLeast"/>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p>
        </w:tc>
        <w:tc>
          <w:tcPr>
            <w:tcW w:w="3623" w:type="dxa"/>
            <w:vAlign w:val="center"/>
          </w:tcPr>
          <w:p>
            <w:pPr>
              <w:spacing w:line="440" w:lineRule="atLeast"/>
              <w:rPr>
                <w:szCs w:val="21"/>
              </w:rPr>
            </w:pP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093" w:type="dxa"/>
            <w:vAlign w:val="center"/>
          </w:tcPr>
          <w:p>
            <w:pPr>
              <w:spacing w:line="440" w:lineRule="atLeast"/>
              <w:rPr>
                <w:szCs w:val="21"/>
              </w:rPr>
            </w:pPr>
            <w:r>
              <w:rPr>
                <w:rFonts w:hint="eastAsia"/>
                <w:szCs w:val="21"/>
              </w:rPr>
              <w:t>……</w:t>
            </w:r>
          </w:p>
        </w:tc>
        <w:tc>
          <w:tcPr>
            <w:tcW w:w="3623" w:type="dxa"/>
            <w:vAlign w:val="center"/>
          </w:tcPr>
          <w:p>
            <w:pPr>
              <w:spacing w:line="440" w:lineRule="atLeast"/>
              <w:rPr>
                <w:szCs w:val="21"/>
              </w:rPr>
            </w:pPr>
            <w:r>
              <w:rPr>
                <w:rFonts w:hint="eastAsia"/>
                <w:szCs w:val="21"/>
              </w:rPr>
              <w:t>……</w:t>
            </w:r>
          </w:p>
        </w:tc>
        <w:tc>
          <w:tcPr>
            <w:tcW w:w="1134" w:type="dxa"/>
          </w:tcPr>
          <w:p>
            <w:pPr>
              <w:spacing w:line="440" w:lineRule="atLeast"/>
            </w:pPr>
          </w:p>
        </w:tc>
        <w:tc>
          <w:tcPr>
            <w:tcW w:w="851" w:type="dxa"/>
          </w:tcPr>
          <w:p>
            <w:pPr>
              <w:spacing w:line="440" w:lineRule="atLeast"/>
            </w:pPr>
          </w:p>
        </w:tc>
        <w:tc>
          <w:tcPr>
            <w:tcW w:w="1310" w:type="dxa"/>
          </w:tcPr>
          <w:p>
            <w:pPr>
              <w:spacing w:line="440" w:lineRule="atLeast"/>
            </w:pPr>
          </w:p>
        </w:tc>
      </w:tr>
    </w:tbl>
    <w:p>
      <w:pPr>
        <w:spacing w:before="120" w:beforeLines="50" w:line="440" w:lineRule="exact"/>
        <w:ind w:left="-103" w:leftChars="-49" w:firstLine="15"/>
      </w:pPr>
      <w:r>
        <w:rPr>
          <w:rFonts w:hint="eastAsia"/>
        </w:rPr>
        <w:t>供应商：（公章）</w:t>
      </w:r>
    </w:p>
    <w:p>
      <w:pPr>
        <w:spacing w:before="120" w:beforeLines="50" w:line="440" w:lineRule="exact"/>
        <w:ind w:left="-103" w:leftChars="-49"/>
      </w:pPr>
      <w:r>
        <w:t>法定代表人或其授权代表：（</w:t>
      </w:r>
      <w:r>
        <w:rPr>
          <w:rFonts w:hint="eastAsia"/>
        </w:rPr>
        <w:t>签字或加盖人名章</w:t>
      </w:r>
      <w:r>
        <w:t>）</w:t>
      </w:r>
    </w:p>
    <w:p>
      <w:pPr>
        <w:spacing w:before="120" w:beforeLines="50" w:line="440" w:lineRule="exact"/>
        <w:ind w:left="-103" w:leftChars="-49"/>
      </w:pPr>
      <w:r>
        <w:t>日期：</w:t>
      </w:r>
    </w:p>
    <w:p/>
    <w:p>
      <w:pPr>
        <w:snapToGrid w:val="0"/>
        <w:spacing w:after="120" w:afterLines="50"/>
        <w:rPr>
          <w:rFonts w:ascii="宋体" w:hAnsi="宋体"/>
        </w:rPr>
      </w:pPr>
      <w:r>
        <w:rPr>
          <w:rFonts w:ascii="宋体" w:hAnsi="宋体"/>
        </w:rPr>
        <w:t>注：</w:t>
      </w:r>
      <w:r>
        <w:rPr>
          <w:rFonts w:hint="eastAsia" w:ascii="宋体" w:hAnsi="宋体"/>
        </w:rPr>
        <w:t>1、</w:t>
      </w:r>
      <w:r>
        <w:rPr>
          <w:rFonts w:hint="eastAsia" w:ascii="宋体" w:hAnsi="宋体"/>
        </w:rPr>
        <w:tab/>
      </w:r>
      <w:r>
        <w:rPr>
          <w:rFonts w:hint="eastAsia" w:ascii="宋体" w:hAnsi="宋体"/>
        </w:rPr>
        <w:t>供应商根据本谈判文件的供应商须知及合同条款填写本表；</w:t>
      </w:r>
    </w:p>
    <w:p>
      <w:pPr>
        <w:snapToGrid w:val="0"/>
        <w:spacing w:after="120" w:afterLines="50"/>
        <w:ind w:left="850" w:leftChars="203" w:hanging="424" w:hangingChars="202"/>
        <w:rPr>
          <w:rFonts w:ascii="宋体" w:hAnsi="宋体"/>
        </w:rPr>
      </w:pPr>
      <w:r>
        <w:rPr>
          <w:rFonts w:hint="eastAsia" w:ascii="宋体" w:hAnsi="宋体"/>
        </w:rPr>
        <w:t>2、</w:t>
      </w:r>
      <w:r>
        <w:rPr>
          <w:rFonts w:hint="eastAsia" w:ascii="宋体" w:hAnsi="宋体"/>
        </w:rPr>
        <w:tab/>
      </w:r>
      <w:r>
        <w:rPr>
          <w:rFonts w:hint="eastAsia" w:ascii="宋体" w:hAnsi="宋体"/>
        </w:rPr>
        <w:t>对完全响应的条目在下表相应列中标注“</w:t>
      </w:r>
      <w:r>
        <w:rPr>
          <w:rFonts w:hint="eastAsia"/>
        </w:rPr>
        <w:t>O</w:t>
      </w:r>
      <w:r>
        <w:rPr>
          <w:rFonts w:hint="eastAsia" w:ascii="宋体" w:hAnsi="宋体"/>
        </w:rPr>
        <w:t>”。对有偏离的条目在本表相应列中标注“正偏离”或“负偏离”。仅可在“完全响应”及“有偏离”中选一标注，同时，当且仅当选取“有偏离”栏中加以标注后，才能在“偏离简述”栏中加以说明。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850" w:leftChars="203" w:hanging="424" w:hangingChars="202"/>
        <w:rPr>
          <w:rFonts w:ascii="宋体" w:hAnsi="宋体"/>
        </w:rPr>
      </w:pPr>
      <w:r>
        <w:rPr>
          <w:rFonts w:hint="eastAsia" w:ascii="宋体" w:hAnsi="宋体"/>
        </w:rPr>
        <w:t>3、</w:t>
      </w:r>
      <w:r>
        <w:rPr>
          <w:rFonts w:hint="eastAsia" w:ascii="宋体" w:hAnsi="宋体"/>
        </w:rPr>
        <w:tab/>
      </w:r>
      <w:r>
        <w:rPr>
          <w:rFonts w:hint="eastAsia" w:ascii="宋体" w:hAnsi="宋体"/>
        </w:rPr>
        <w:t>正偏离是指应答的条件高于谈判文件要求，负偏离是指应答的条件低于谈判文件要求。</w:t>
      </w:r>
    </w:p>
    <w:p>
      <w:pPr>
        <w:snapToGrid w:val="0"/>
        <w:spacing w:after="120" w:afterLines="50"/>
        <w:ind w:left="850" w:leftChars="203" w:hanging="424" w:hangingChars="202"/>
        <w:rPr>
          <w:rFonts w:ascii="宋体" w:hAnsi="宋体"/>
        </w:rPr>
      </w:pPr>
      <w:r>
        <w:rPr>
          <w:rFonts w:hint="eastAsia" w:ascii="宋体" w:hAnsi="宋体"/>
        </w:rPr>
        <w:t>4、</w:t>
      </w:r>
      <w:r>
        <w:rPr>
          <w:rFonts w:hint="eastAsia" w:ascii="宋体" w:hAnsi="宋体"/>
        </w:rPr>
        <w:tab/>
      </w:r>
      <w:r>
        <w:rPr>
          <w:rFonts w:hint="eastAsia" w:ascii="宋体" w:hAnsi="宋体"/>
        </w:rPr>
        <w:t>供应商须完整填写响应表。如果未完整填写本表的各项内容则视作供应商已经对谈判文件相关要求和内容完全理解并同意，其报价为在此基础上的完全价格。</w:t>
      </w:r>
    </w:p>
    <w:p>
      <w:pPr>
        <w:snapToGrid w:val="0"/>
        <w:spacing w:after="120" w:afterLines="50"/>
        <w:ind w:left="850" w:leftChars="203" w:hanging="424" w:hangingChars="202"/>
        <w:rPr>
          <w:rFonts w:ascii="宋体" w:hAnsi="宋体"/>
        </w:rPr>
      </w:pPr>
      <w:r>
        <w:rPr>
          <w:rFonts w:hint="eastAsia" w:ascii="宋体" w:hAnsi="宋体"/>
        </w:rPr>
        <w:t>5、</w:t>
      </w:r>
      <w:r>
        <w:rPr>
          <w:rFonts w:hint="eastAsia" w:ascii="宋体" w:hAnsi="宋体"/>
        </w:rPr>
        <w:tab/>
      </w:r>
      <w:r>
        <w:rPr>
          <w:rFonts w:hint="eastAsia" w:ascii="宋体" w:hAnsi="宋体"/>
        </w:rPr>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pPr>
        <w:widowControl/>
        <w:jc w:val="left"/>
        <w:rPr>
          <w:rFonts w:ascii="宋体" w:hAnsi="宋体"/>
        </w:rPr>
      </w:pPr>
      <w:r>
        <w:rPr>
          <w:rFonts w:ascii="宋体" w:hAnsi="宋体"/>
        </w:rPr>
        <w:br w:type="page"/>
      </w:r>
    </w:p>
    <w:p>
      <w:pPr>
        <w:spacing w:line="360" w:lineRule="auto"/>
        <w:outlineLvl w:val="1"/>
        <w:rPr>
          <w:b/>
          <w:sz w:val="24"/>
        </w:rPr>
      </w:pPr>
      <w:bookmarkStart w:id="244" w:name="_Toc61594817"/>
      <w:bookmarkStart w:id="245" w:name="_Toc49944500"/>
      <w:r>
        <w:rPr>
          <w:rFonts w:hint="eastAsia"/>
          <w:b/>
          <w:sz w:val="24"/>
        </w:rPr>
        <w:t>附件7</w:t>
      </w:r>
      <w:r>
        <w:rPr>
          <w:b/>
          <w:sz w:val="24"/>
        </w:rPr>
        <w:t>供应商基本情况表</w:t>
      </w:r>
      <w:bookmarkEnd w:id="244"/>
      <w:bookmarkEnd w:id="245"/>
    </w:p>
    <w:p/>
    <w:p>
      <w:pPr>
        <w:spacing w:line="360" w:lineRule="auto"/>
        <w:jc w:val="center"/>
        <w:rPr>
          <w:b/>
          <w:sz w:val="24"/>
        </w:rPr>
      </w:pPr>
      <w:r>
        <w:rPr>
          <w:b/>
          <w:sz w:val="24"/>
        </w:rPr>
        <w:t>供应商基本情况表</w:t>
      </w:r>
    </w:p>
    <w:p>
      <w:pPr>
        <w:spacing w:line="440" w:lineRule="exact"/>
        <w:ind w:firstLine="420" w:firstLineChars="200"/>
      </w:pPr>
    </w:p>
    <w:tbl>
      <w:tblPr>
        <w:tblStyle w:val="7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43" w:type="dxa"/>
            <w:vAlign w:val="center"/>
          </w:tcPr>
          <w:p>
            <w:pPr>
              <w:rPr>
                <w:rFonts w:ascii="仿宋_GB2312" w:eastAsia="仿宋_GB2312"/>
                <w:sz w:val="24"/>
              </w:rPr>
            </w:pPr>
            <w:r>
              <w:rPr>
                <w:rFonts w:hint="eastAsia" w:ascii="仿宋_GB2312" w:eastAsia="仿宋_GB2312"/>
                <w:sz w:val="24"/>
              </w:rPr>
              <w:t>企业名称</w:t>
            </w:r>
          </w:p>
        </w:tc>
        <w:tc>
          <w:tcPr>
            <w:tcW w:w="3181" w:type="dxa"/>
            <w:gridSpan w:val="3"/>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成立日期</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724" w:type="dxa"/>
            <w:gridSpan w:val="4"/>
            <w:vAlign w:val="center"/>
          </w:tcPr>
          <w:p>
            <w:pPr>
              <w:rPr>
                <w:rFonts w:ascii="仿宋_GB2312" w:eastAsia="仿宋_GB2312"/>
                <w:sz w:val="24"/>
              </w:rPr>
            </w:pPr>
            <w:r>
              <w:rPr>
                <w:rFonts w:hint="eastAsia" w:ascii="仿宋_GB2312" w:eastAsia="仿宋_GB2312"/>
                <w:sz w:val="24"/>
              </w:rPr>
              <w:t>统一社会信用代码</w:t>
            </w:r>
          </w:p>
        </w:tc>
        <w:tc>
          <w:tcPr>
            <w:tcW w:w="3798" w:type="dxa"/>
            <w:gridSpan w:val="3"/>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注册资本</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企业类型</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批准登记机关</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法定代表人</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营业期限</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资质类型</w:t>
            </w:r>
          </w:p>
        </w:tc>
        <w:tc>
          <w:tcPr>
            <w:tcW w:w="3027" w:type="dxa"/>
            <w:gridSpan w:val="2"/>
            <w:vAlign w:val="center"/>
          </w:tcPr>
          <w:p>
            <w:pPr>
              <w:rPr>
                <w:rFonts w:ascii="仿宋_GB2312" w:eastAsia="仿宋_GB2312"/>
                <w:sz w:val="24"/>
              </w:rPr>
            </w:pPr>
          </w:p>
        </w:tc>
        <w:tc>
          <w:tcPr>
            <w:tcW w:w="1435" w:type="dxa"/>
            <w:gridSpan w:val="2"/>
            <w:vAlign w:val="center"/>
          </w:tcPr>
          <w:p>
            <w:pPr>
              <w:rPr>
                <w:rFonts w:ascii="仿宋_GB2312" w:eastAsia="仿宋_GB2312"/>
                <w:sz w:val="24"/>
              </w:rPr>
            </w:pPr>
            <w:r>
              <w:rPr>
                <w:rFonts w:hint="eastAsia" w:ascii="仿宋_GB2312" w:eastAsia="仿宋_GB2312"/>
                <w:sz w:val="24"/>
              </w:rPr>
              <w:t>资质等级</w:t>
            </w:r>
          </w:p>
        </w:tc>
        <w:tc>
          <w:tcPr>
            <w:tcW w:w="2363" w:type="dxa"/>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主营业务</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地  址</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开户银行</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开户行号</w:t>
            </w:r>
          </w:p>
          <w:p>
            <w:pPr>
              <w:rPr>
                <w:rFonts w:ascii="仿宋_GB2312" w:eastAsia="仿宋_GB2312"/>
                <w:sz w:val="24"/>
              </w:rPr>
            </w:pPr>
            <w:r>
              <w:rPr>
                <w:rFonts w:hint="eastAsia" w:ascii="仿宋_GB2312" w:eastAsia="仿宋_GB2312"/>
                <w:sz w:val="24"/>
              </w:rPr>
              <w:t>（如有）</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银行账号</w:t>
            </w:r>
          </w:p>
        </w:tc>
        <w:tc>
          <w:tcPr>
            <w:tcW w:w="6825" w:type="dxa"/>
            <w:gridSpan w:val="5"/>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电  话</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传  真</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邮  箱</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邮  编</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697" w:type="dxa"/>
            <w:gridSpan w:val="2"/>
            <w:vAlign w:val="center"/>
          </w:tcPr>
          <w:p>
            <w:pPr>
              <w:rPr>
                <w:rFonts w:ascii="仿宋_GB2312" w:eastAsia="仿宋_GB2312"/>
                <w:sz w:val="24"/>
              </w:rPr>
            </w:pPr>
            <w:r>
              <w:rPr>
                <w:rFonts w:hint="eastAsia" w:ascii="仿宋_GB2312" w:eastAsia="仿宋_GB2312"/>
                <w:sz w:val="24"/>
              </w:rPr>
              <w:t>联系人</w:t>
            </w:r>
          </w:p>
        </w:tc>
        <w:tc>
          <w:tcPr>
            <w:tcW w:w="2887" w:type="dxa"/>
            <w:vAlign w:val="center"/>
          </w:tcPr>
          <w:p>
            <w:pPr>
              <w:rPr>
                <w:rFonts w:ascii="仿宋_GB2312" w:eastAsia="仿宋_GB2312"/>
                <w:sz w:val="24"/>
              </w:rPr>
            </w:pPr>
          </w:p>
        </w:tc>
        <w:tc>
          <w:tcPr>
            <w:tcW w:w="1378" w:type="dxa"/>
            <w:gridSpan w:val="2"/>
            <w:vAlign w:val="center"/>
          </w:tcPr>
          <w:p>
            <w:pPr>
              <w:rPr>
                <w:rFonts w:ascii="仿宋_GB2312" w:eastAsia="仿宋_GB2312"/>
                <w:sz w:val="24"/>
              </w:rPr>
            </w:pPr>
            <w:r>
              <w:rPr>
                <w:rFonts w:hint="eastAsia" w:ascii="仿宋_GB2312" w:eastAsia="仿宋_GB2312"/>
                <w:sz w:val="24"/>
              </w:rPr>
              <w:t>联系方式</w:t>
            </w:r>
          </w:p>
        </w:tc>
        <w:tc>
          <w:tcPr>
            <w:tcW w:w="2560" w:type="dxa"/>
            <w:gridSpan w:val="2"/>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7"/>
            <w:vAlign w:val="bottom"/>
          </w:tcPr>
          <w:p>
            <w:pPr>
              <w:wordWrap w:val="0"/>
              <w:jc w:val="right"/>
              <w:rPr>
                <w:rFonts w:ascii="仿宋_GB2312" w:eastAsia="仿宋_GB2312"/>
                <w:sz w:val="24"/>
                <w:u w:val="single"/>
              </w:rPr>
            </w:pPr>
            <w:r>
              <w:rPr>
                <w:rFonts w:hint="eastAsia" w:ascii="仿宋_GB2312" w:eastAsia="仿宋_GB2312"/>
                <w:sz w:val="24"/>
              </w:rPr>
              <w:t>供应商盖章：</w:t>
            </w:r>
          </w:p>
        </w:tc>
      </w:tr>
    </w:tbl>
    <w:p>
      <w:pPr>
        <w:spacing w:line="440" w:lineRule="exact"/>
        <w:ind w:firstLine="420" w:firstLineChars="200"/>
      </w:pPr>
    </w:p>
    <w:p>
      <w:pPr>
        <w:spacing w:line="440" w:lineRule="exact"/>
        <w:ind w:firstLine="420" w:firstLineChars="20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p/>
    <w:p/>
    <w:p>
      <w:pPr>
        <w:spacing w:before="120" w:beforeLines="50" w:line="440" w:lineRule="exact"/>
        <w:ind w:left="-103" w:leftChars="-49" w:firstLine="539" w:firstLineChars="257"/>
      </w:pPr>
      <w:r>
        <w:rPr>
          <w:rFonts w:hint="eastAsia"/>
        </w:rPr>
        <w:t>供应商：（公章）</w:t>
      </w:r>
    </w:p>
    <w:p>
      <w:pPr>
        <w:spacing w:before="120" w:beforeLines="50" w:line="440" w:lineRule="exact"/>
        <w:ind w:left="460" w:leftChars="219"/>
      </w:pPr>
      <w:r>
        <w:t>法定代表人或其授权代表：（</w:t>
      </w:r>
      <w:r>
        <w:rPr>
          <w:rFonts w:hint="eastAsia"/>
        </w:rPr>
        <w:t>签字或加盖人名章</w:t>
      </w:r>
      <w:r>
        <w:t>）</w:t>
      </w:r>
    </w:p>
    <w:p>
      <w:pPr>
        <w:spacing w:before="120" w:beforeLines="50" w:line="440" w:lineRule="exact"/>
        <w:ind w:left="460" w:leftChars="219"/>
        <w:rPr>
          <w:b/>
          <w:sz w:val="24"/>
        </w:rPr>
      </w:pPr>
      <w:r>
        <w:t>日期：</w:t>
      </w:r>
      <w:bookmarkStart w:id="246" w:name="_Toc410631178"/>
      <w:bookmarkStart w:id="247" w:name="_Toc416103819"/>
      <w:bookmarkStart w:id="248" w:name="_Toc414445769"/>
      <w:r>
        <w:rPr>
          <w:b/>
          <w:sz w:val="24"/>
        </w:rPr>
        <w:br w:type="page"/>
      </w:r>
    </w:p>
    <w:bookmarkEnd w:id="246"/>
    <w:bookmarkEnd w:id="247"/>
    <w:bookmarkEnd w:id="248"/>
    <w:p>
      <w:pPr>
        <w:spacing w:line="360" w:lineRule="auto"/>
        <w:outlineLvl w:val="1"/>
        <w:rPr>
          <w:b/>
          <w:sz w:val="24"/>
        </w:rPr>
      </w:pPr>
      <w:bookmarkStart w:id="249" w:name="_Toc61594818"/>
      <w:r>
        <w:rPr>
          <w:rFonts w:hint="eastAsia"/>
          <w:b/>
          <w:sz w:val="24"/>
        </w:rPr>
        <w:t>附件8资格证明文件</w:t>
      </w:r>
      <w:bookmarkEnd w:id="249"/>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供应商的企业法人</w:t>
      </w:r>
      <w:r>
        <w:rPr>
          <w:rFonts w:ascii="宋体" w:hAnsi="宋体"/>
          <w:sz w:val="24"/>
        </w:rPr>
        <w:t>营业执照</w:t>
      </w:r>
      <w:r>
        <w:rPr>
          <w:rFonts w:hint="eastAsia" w:ascii="宋体" w:hAnsi="宋体"/>
          <w:sz w:val="24"/>
        </w:rPr>
        <w:t>副本复印件（格式要求见附件8-</w:t>
      </w:r>
      <w:r>
        <w:rPr>
          <w:rFonts w:ascii="宋体" w:hAnsi="宋体"/>
          <w:sz w:val="24"/>
        </w:rPr>
        <w:t>1</w:t>
      </w:r>
      <w:r>
        <w:rPr>
          <w:rFonts w:hint="eastAsia" w:ascii="宋体" w:hAnsi="宋体"/>
          <w:sz w:val="24"/>
        </w:rPr>
        <w:t>）；</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供应商上一年度（2</w:t>
      </w:r>
      <w:r>
        <w:rPr>
          <w:rFonts w:ascii="宋体" w:hAnsi="宋体"/>
          <w:sz w:val="24"/>
        </w:rPr>
        <w:t>020</w:t>
      </w:r>
      <w:r>
        <w:rPr>
          <w:rFonts w:hint="eastAsia" w:ascii="宋体" w:hAnsi="宋体"/>
          <w:sz w:val="24"/>
        </w:rPr>
        <w:t>年度）</w:t>
      </w:r>
      <w:r>
        <w:rPr>
          <w:rFonts w:ascii="宋体" w:hAnsi="宋体"/>
          <w:sz w:val="24"/>
        </w:rPr>
        <w:t>经审计的财务报表</w:t>
      </w:r>
      <w:r>
        <w:rPr>
          <w:rFonts w:hint="eastAsia" w:ascii="宋体" w:hAnsi="宋体"/>
          <w:sz w:val="24"/>
        </w:rPr>
        <w:t>复印件（至少包括审计报告正文（含审计单位盖章页）、资产负债表、现金流量表、利润表）或本年度基本开户银行出具的资信证明原件或复印件。供应商为新成立的，提供成立至今的月或季度财务报告或报表复印件。（格式要求见附件8-2）；</w:t>
      </w:r>
    </w:p>
    <w:p>
      <w:pPr>
        <w:pStyle w:val="420"/>
        <w:numPr>
          <w:ilvl w:val="1"/>
          <w:numId w:val="21"/>
        </w:numPr>
        <w:ind w:firstLineChars="0"/>
        <w:rPr>
          <w:rFonts w:ascii="宋体" w:hAnsi="宋体"/>
          <w:sz w:val="24"/>
        </w:rPr>
      </w:pPr>
      <w:r>
        <w:rPr>
          <w:rFonts w:hint="eastAsia" w:ascii="宋体" w:hAnsi="宋体"/>
          <w:sz w:val="24"/>
        </w:rPr>
        <w:t>具有履行合同所必需的设备和专业技术能力的证明材料或承诺（格式见附件</w:t>
      </w:r>
      <w:r>
        <w:rPr>
          <w:rFonts w:ascii="宋体" w:hAnsi="宋体"/>
          <w:sz w:val="24"/>
        </w:rPr>
        <w:t>3</w:t>
      </w:r>
      <w:r>
        <w:rPr>
          <w:rFonts w:hint="eastAsia" w:ascii="宋体" w:hAnsi="宋体"/>
          <w:sz w:val="24"/>
        </w:rPr>
        <w:t>）；</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Theme="minorEastAsia" w:hAnsiTheme="minorEastAsia" w:eastAsiaTheme="minorEastAsia"/>
          <w:sz w:val="24"/>
        </w:rPr>
        <w:t>依法缴纳税收和社会保障资金的证明材料复印件</w:t>
      </w:r>
      <w:r>
        <w:rPr>
          <w:rFonts w:ascii="宋体" w:hAnsi="宋体"/>
          <w:sz w:val="24"/>
        </w:rPr>
        <w:t>（格式见</w:t>
      </w:r>
      <w:r>
        <w:rPr>
          <w:rFonts w:hint="eastAsia" w:ascii="宋体" w:hAnsi="宋体"/>
          <w:sz w:val="24"/>
        </w:rPr>
        <w:t>附件8-</w:t>
      </w:r>
      <w:r>
        <w:rPr>
          <w:rFonts w:ascii="宋体" w:hAnsi="宋体"/>
          <w:sz w:val="24"/>
        </w:rPr>
        <w:t>4</w:t>
      </w:r>
      <w:r>
        <w:rPr>
          <w:rFonts w:hint="eastAsia" w:ascii="宋体" w:hAnsi="宋体"/>
          <w:sz w:val="24"/>
        </w:rPr>
        <w:t>、8-</w:t>
      </w:r>
      <w:r>
        <w:rPr>
          <w:rFonts w:ascii="宋体" w:hAnsi="宋体"/>
          <w:sz w:val="24"/>
        </w:rPr>
        <w:t>5</w:t>
      </w:r>
      <w:r>
        <w:rPr>
          <w:rFonts w:hint="eastAsia" w:ascii="宋体" w:hAnsi="宋体"/>
          <w:sz w:val="24"/>
        </w:rPr>
        <w:t>）</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参加政府采购活动前三年内，在经营活动中没有重大违法记录的书面声明原件</w:t>
      </w:r>
      <w:r>
        <w:rPr>
          <w:rFonts w:ascii="宋体" w:hAnsi="宋体"/>
          <w:sz w:val="24"/>
        </w:rPr>
        <w:t>（格式见</w:t>
      </w:r>
      <w:r>
        <w:rPr>
          <w:rFonts w:hint="eastAsia" w:ascii="宋体" w:hAnsi="宋体"/>
          <w:sz w:val="24"/>
        </w:rPr>
        <w:t>附件8-6）</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法律、行政法规规定的其他条件。（格式见附件8-7)</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信用中国网站和中国政府采购网查询记录</w:t>
      </w:r>
      <w:r>
        <w:rPr>
          <w:rFonts w:hint="eastAsia" w:asciiTheme="minorEastAsia" w:hAnsiTheme="minorEastAsia" w:eastAsiaTheme="minorEastAsia"/>
          <w:sz w:val="24"/>
        </w:rPr>
        <w:t>（格式见附件8-8)</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法人代表、控股股东、控股企业及管理、被管理单位情况声明且各供应商之间不存在单位负责人为同一人或者存在控股、管理关系情形</w:t>
      </w:r>
      <w:r>
        <w:rPr>
          <w:rFonts w:hint="eastAsia" w:asciiTheme="minorEastAsia" w:hAnsiTheme="minorEastAsia" w:eastAsiaTheme="minorEastAsia"/>
          <w:sz w:val="24"/>
        </w:rPr>
        <w:t>（格式见附件8-</w:t>
      </w:r>
      <w:r>
        <w:rPr>
          <w:rFonts w:asciiTheme="minorEastAsia" w:hAnsiTheme="minorEastAsia" w:eastAsiaTheme="minorEastAsia"/>
          <w:sz w:val="24"/>
        </w:rPr>
        <w:t>9</w:t>
      </w:r>
      <w:r>
        <w:rPr>
          <w:rFonts w:hint="eastAsia" w:asciiTheme="minorEastAsia" w:hAnsiTheme="minorEastAsia" w:eastAsiaTheme="minorEastAsia"/>
          <w:sz w:val="24"/>
        </w:rPr>
        <w:t>)</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联合体协议书原件（如联合体时提供）（格式见附件8-</w:t>
      </w:r>
      <w:r>
        <w:rPr>
          <w:rFonts w:ascii="宋体" w:hAnsi="宋体"/>
          <w:sz w:val="24"/>
        </w:rPr>
        <w:t>10</w:t>
      </w:r>
      <w:r>
        <w:rPr>
          <w:rFonts w:hint="eastAsia" w:ascii="宋体" w:hAnsi="宋体"/>
          <w:sz w:val="24"/>
        </w:rPr>
        <w:t>)</w:t>
      </w:r>
    </w:p>
    <w:p>
      <w:pPr>
        <w:numPr>
          <w:ilvl w:val="1"/>
          <w:numId w:val="21"/>
        </w:numPr>
        <w:tabs>
          <w:tab w:val="left" w:pos="993"/>
          <w:tab w:val="left" w:pos="1030"/>
          <w:tab w:val="left" w:pos="8364"/>
        </w:tabs>
        <w:snapToGrid w:val="0"/>
        <w:spacing w:after="120" w:afterLines="50"/>
        <w:ind w:left="993" w:right="-57" w:rightChars="-27" w:hanging="573"/>
        <w:jc w:val="left"/>
        <w:rPr>
          <w:rFonts w:ascii="宋体" w:hAnsi="宋体"/>
          <w:sz w:val="24"/>
        </w:rPr>
      </w:pPr>
      <w:r>
        <w:rPr>
          <w:rFonts w:hint="eastAsia" w:ascii="宋体" w:hAnsi="宋体"/>
          <w:sz w:val="24"/>
        </w:rPr>
        <w:t>本项目不转包、不分包的承诺（格式见附件8-</w:t>
      </w:r>
      <w:r>
        <w:rPr>
          <w:rFonts w:ascii="宋体" w:hAnsi="宋体"/>
          <w:sz w:val="24"/>
        </w:rPr>
        <w:t>11</w:t>
      </w:r>
      <w:r>
        <w:rPr>
          <w:rFonts w:hint="eastAsia" w:ascii="宋体" w:hAnsi="宋体"/>
          <w:sz w:val="24"/>
        </w:rPr>
        <w:t>)</w:t>
      </w:r>
    </w:p>
    <w:p>
      <w:pPr>
        <w:jc w:val="center"/>
      </w:pPr>
      <w:r>
        <w:br w:type="page"/>
      </w:r>
    </w:p>
    <w:p>
      <w:pPr>
        <w:jc w:val="center"/>
        <w:rPr>
          <w:spacing w:val="20"/>
          <w:sz w:val="30"/>
          <w:szCs w:val="30"/>
        </w:rPr>
      </w:pPr>
    </w:p>
    <w:p>
      <w:pPr>
        <w:pStyle w:val="420"/>
        <w:numPr>
          <w:ilvl w:val="0"/>
          <w:numId w:val="22"/>
        </w:numPr>
        <w:ind w:firstLineChars="0"/>
        <w:jc w:val="left"/>
        <w:outlineLvl w:val="2"/>
        <w:rPr>
          <w:rFonts w:ascii="仿宋_GB2312" w:hAnsi="宋体" w:eastAsia="仿宋_GB2312"/>
          <w:b/>
          <w:sz w:val="24"/>
        </w:rPr>
      </w:pPr>
      <w:bookmarkStart w:id="250" w:name="_Toc61594819"/>
      <w:r>
        <w:rPr>
          <w:rFonts w:hint="eastAsia" w:ascii="仿宋_GB2312" w:hAnsi="宋体" w:eastAsia="仿宋_GB2312"/>
          <w:b/>
          <w:sz w:val="24"/>
        </w:rPr>
        <w:t>供应商的企业法人营业执照副本复印件（加盖公章）</w:t>
      </w:r>
      <w:bookmarkEnd w:id="250"/>
    </w:p>
    <w:p>
      <w:pPr>
        <w:jc w:val="left"/>
        <w:rPr>
          <w:rFonts w:ascii="仿宋_GB2312" w:hAnsi="宋体" w:eastAsia="仿宋_GB2312"/>
          <w:sz w:val="24"/>
        </w:rPr>
      </w:pPr>
    </w:p>
    <w:p>
      <w:pPr>
        <w:jc w:val="left"/>
        <w:rPr>
          <w:rFonts w:ascii="仿宋_GB2312" w:hAnsi="宋体" w:eastAsia="仿宋_GB2312"/>
          <w:sz w:val="24"/>
        </w:rPr>
      </w:pPr>
      <w:r>
        <w:rPr>
          <w:rFonts w:hint="eastAsia" w:ascii="仿宋_GB2312" w:hAnsi="宋体" w:eastAsia="仿宋_GB2312"/>
          <w:sz w:val="24"/>
        </w:rPr>
        <w:t>（注：根据项目实际情况，本项内容可能要求提供“事业单位法人证书”、执业许可证、自然人身份证明等证明材料）</w:t>
      </w:r>
    </w:p>
    <w:p>
      <w:pPr>
        <w:adjustRightInd w:val="0"/>
        <w:spacing w:line="360" w:lineRule="atLeast"/>
        <w:jc w:val="left"/>
        <w:textAlignment w:val="baseline"/>
        <w:rPr>
          <w:b/>
          <w:sz w:val="28"/>
        </w:rPr>
      </w:pPr>
      <w:r>
        <w:rPr>
          <w:b/>
        </w:rPr>
        <w:br w:type="page"/>
      </w:r>
    </w:p>
    <w:p>
      <w:pPr>
        <w:pStyle w:val="420"/>
        <w:numPr>
          <w:ilvl w:val="0"/>
          <w:numId w:val="22"/>
        </w:numPr>
        <w:ind w:firstLineChars="0"/>
        <w:jc w:val="left"/>
        <w:outlineLvl w:val="2"/>
        <w:rPr>
          <w:rFonts w:ascii="仿宋_GB2312" w:hAnsi="宋体" w:eastAsia="仿宋_GB2312"/>
          <w:b/>
          <w:sz w:val="24"/>
        </w:rPr>
      </w:pPr>
      <w:bookmarkStart w:id="251" w:name="_Toc61594820"/>
      <w:bookmarkStart w:id="252" w:name="_Ref527015333"/>
      <w:r>
        <w:rPr>
          <w:rFonts w:hint="eastAsia" w:ascii="仿宋_GB2312" w:hAnsi="宋体" w:eastAsia="仿宋_GB2312"/>
          <w:b/>
          <w:sz w:val="24"/>
        </w:rPr>
        <w:t>上一年度</w:t>
      </w:r>
      <w:r>
        <w:rPr>
          <w:rFonts w:ascii="仿宋_GB2312" w:hAnsi="宋体" w:eastAsia="仿宋_GB2312"/>
          <w:b/>
          <w:sz w:val="24"/>
        </w:rPr>
        <w:t>经审计的财务报表</w:t>
      </w:r>
      <w:bookmarkEnd w:id="251"/>
      <w:bookmarkEnd w:id="252"/>
    </w:p>
    <w:p>
      <w:pPr>
        <w:snapToGrid w:val="0"/>
        <w:spacing w:line="360" w:lineRule="auto"/>
        <w:jc w:val="left"/>
        <w:rPr>
          <w:rFonts w:ascii="宋体" w:hAnsi="宋体"/>
          <w:szCs w:val="21"/>
        </w:rPr>
      </w:pPr>
    </w:p>
    <w:p>
      <w:pPr>
        <w:spacing w:line="360" w:lineRule="auto"/>
        <w:rPr>
          <w:rFonts w:ascii="宋体" w:hAnsi="宋体"/>
          <w:szCs w:val="21"/>
        </w:rPr>
      </w:pPr>
      <w:r>
        <w:rPr>
          <w:rFonts w:hint="eastAsia" w:ascii="宋体" w:hAnsi="宋体"/>
          <w:szCs w:val="21"/>
        </w:rPr>
        <w:t>提供上一年度（2020年度）经审计的财务报表复印件（至少包括审计报告正文（含审计单位盖章页）、资产负债表、现金流量表、利润表）。供应商为新成立的，提供成立至今的月或季度财务报告或报表复印件。</w:t>
      </w:r>
    </w:p>
    <w:p>
      <w:pPr>
        <w:spacing w:line="360" w:lineRule="auto"/>
        <w:rPr>
          <w:szCs w:val="21"/>
        </w:rPr>
      </w:pPr>
      <w:r>
        <w:rPr>
          <w:rFonts w:hint="eastAsia" w:ascii="宋体" w:hAnsi="宋体"/>
          <w:iCs/>
          <w:szCs w:val="21"/>
        </w:rPr>
        <w:t>“如供应商无法提供20</w:t>
      </w:r>
      <w:r>
        <w:rPr>
          <w:rFonts w:ascii="宋体" w:hAnsi="宋体"/>
          <w:iCs/>
          <w:szCs w:val="21"/>
        </w:rPr>
        <w:t>20</w:t>
      </w:r>
      <w:r>
        <w:rPr>
          <w:rFonts w:hint="eastAsia" w:ascii="宋体" w:hAnsi="宋体"/>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pPr>
        <w:widowControl/>
        <w:jc w:val="left"/>
        <w:rPr>
          <w:b/>
          <w:spacing w:val="20"/>
          <w:sz w:val="24"/>
        </w:rPr>
      </w:pPr>
      <w:r>
        <w:rPr>
          <w:b/>
          <w:spacing w:val="20"/>
          <w:sz w:val="24"/>
        </w:rPr>
        <w:br w:type="page"/>
      </w:r>
    </w:p>
    <w:p>
      <w:pPr>
        <w:pStyle w:val="420"/>
        <w:numPr>
          <w:ilvl w:val="0"/>
          <w:numId w:val="23"/>
        </w:numPr>
        <w:ind w:firstLineChars="0"/>
        <w:jc w:val="left"/>
        <w:outlineLvl w:val="2"/>
        <w:rPr>
          <w:rFonts w:ascii="仿宋_GB2312" w:hAnsi="宋体" w:eastAsia="仿宋_GB2312"/>
          <w:b/>
          <w:sz w:val="24"/>
        </w:rPr>
      </w:pPr>
      <w:bookmarkStart w:id="253" w:name="_Toc61594821"/>
      <w:r>
        <w:rPr>
          <w:rFonts w:hint="eastAsia" w:ascii="仿宋_GB2312" w:hAnsi="宋体" w:eastAsia="仿宋_GB2312"/>
          <w:b/>
          <w:sz w:val="24"/>
        </w:rPr>
        <w:t>本年度基本开户银行出具的资信证明</w:t>
      </w:r>
      <w:bookmarkEnd w:id="253"/>
    </w:p>
    <w:p>
      <w:pPr>
        <w:jc w:val="center"/>
        <w:rPr>
          <w:rFonts w:ascii="仿宋_GB2312" w:hAnsi="宋体" w:eastAsia="仿宋_GB2312"/>
          <w:b/>
          <w:sz w:val="24"/>
        </w:rPr>
      </w:pPr>
    </w:p>
    <w:p>
      <w:pPr>
        <w:spacing w:line="360" w:lineRule="auto"/>
        <w:rPr>
          <w:szCs w:val="21"/>
        </w:rPr>
      </w:pPr>
    </w:p>
    <w:p>
      <w:pPr>
        <w:spacing w:line="360" w:lineRule="auto"/>
        <w:rPr>
          <w:szCs w:val="21"/>
        </w:rPr>
      </w:pPr>
    </w:p>
    <w:p>
      <w:pPr>
        <w:spacing w:line="360" w:lineRule="auto"/>
        <w:rPr>
          <w:rFonts w:ascii="宋体" w:hAnsi="宋体"/>
          <w:iCs/>
          <w:szCs w:val="21"/>
        </w:rPr>
      </w:pPr>
      <w:r>
        <w:rPr>
          <w:rFonts w:hint="eastAsia" w:ascii="宋体" w:hAnsi="宋体"/>
          <w:iCs/>
          <w:szCs w:val="21"/>
        </w:rPr>
        <w:t>本年度基本开户银行出具的资信证明原件或复印件。</w:t>
      </w:r>
    </w:p>
    <w:p>
      <w:pPr>
        <w:spacing w:line="360" w:lineRule="auto"/>
        <w:rPr>
          <w:szCs w:val="21"/>
        </w:rPr>
      </w:pPr>
      <w:r>
        <w:rPr>
          <w:rFonts w:hint="eastAsia" w:ascii="宋体" w:hAnsi="宋体"/>
          <w:iCs/>
          <w:szCs w:val="21"/>
        </w:rPr>
        <w:t>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p>
      <w:pPr>
        <w:spacing w:line="360" w:lineRule="auto"/>
        <w:rPr>
          <w:szCs w:val="21"/>
        </w:rPr>
      </w:pPr>
    </w:p>
    <w:p>
      <w:pPr>
        <w:spacing w:line="360" w:lineRule="auto"/>
        <w:rPr>
          <w:szCs w:val="21"/>
        </w:rPr>
      </w:pPr>
      <w:r>
        <w:rPr>
          <w:rFonts w:hint="eastAsia"/>
          <w:szCs w:val="21"/>
        </w:rPr>
        <w:t xml:space="preserve"> </w:t>
      </w:r>
    </w:p>
    <w:p>
      <w:pPr>
        <w:widowControl/>
        <w:jc w:val="left"/>
        <w:rPr>
          <w:b/>
          <w:spacing w:val="20"/>
          <w:sz w:val="24"/>
        </w:rPr>
      </w:pPr>
      <w:r>
        <w:rPr>
          <w:b/>
          <w:spacing w:val="20"/>
          <w:sz w:val="24"/>
        </w:rPr>
        <w:br w:type="page"/>
      </w:r>
      <w:r>
        <w:rPr>
          <w:b/>
          <w:spacing w:val="20"/>
          <w:sz w:val="24"/>
        </w:rPr>
        <w:br w:type="page"/>
      </w:r>
    </w:p>
    <w:p>
      <w:pPr>
        <w:pStyle w:val="420"/>
        <w:numPr>
          <w:ilvl w:val="0"/>
          <w:numId w:val="23"/>
        </w:numPr>
        <w:ind w:firstLineChars="0"/>
        <w:jc w:val="left"/>
        <w:outlineLvl w:val="2"/>
        <w:rPr>
          <w:rFonts w:ascii="仿宋_GB2312" w:hAnsi="宋体" w:eastAsia="仿宋_GB2312"/>
          <w:b/>
          <w:sz w:val="24"/>
        </w:rPr>
      </w:pPr>
      <w:bookmarkStart w:id="254" w:name="_Toc61594824"/>
      <w:r>
        <w:rPr>
          <w:rFonts w:ascii="仿宋_GB2312" w:hAnsi="宋体" w:eastAsia="仿宋_GB2312"/>
          <w:b/>
          <w:sz w:val="24"/>
        </w:rPr>
        <w:t>具</w:t>
      </w:r>
      <w:r>
        <w:rPr>
          <w:rFonts w:hint="eastAsia" w:ascii="仿宋_GB2312" w:hAnsi="宋体" w:eastAsia="仿宋_GB2312"/>
          <w:b/>
          <w:sz w:val="24"/>
        </w:rPr>
        <w:t>有</w:t>
      </w:r>
      <w:r>
        <w:rPr>
          <w:rFonts w:ascii="仿宋_GB2312" w:hAnsi="宋体" w:eastAsia="仿宋_GB2312"/>
          <w:b/>
          <w:sz w:val="24"/>
        </w:rPr>
        <w:t>履行合同所必需的设备和专业技术能力</w:t>
      </w:r>
      <w:r>
        <w:rPr>
          <w:rFonts w:hint="eastAsia" w:ascii="仿宋_GB2312" w:hAnsi="宋体" w:eastAsia="仿宋_GB2312"/>
          <w:b/>
          <w:sz w:val="24"/>
        </w:rPr>
        <w:t>承诺书</w:t>
      </w:r>
      <w:bookmarkEnd w:id="254"/>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ind w:firstLine="480"/>
        <w:rPr>
          <w:rFonts w:cs="宋体" w:asciiTheme="minorEastAsia" w:hAnsiTheme="minorEastAsia" w:eastAsiaTheme="minorEastAsia"/>
          <w:kern w:val="0"/>
          <w:sz w:val="24"/>
        </w:rPr>
      </w:pPr>
    </w:p>
    <w:p>
      <w:pPr>
        <w:ind w:firstLine="48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我公司承诺</w:t>
      </w:r>
      <w:r>
        <w:rPr>
          <w:rFonts w:asciiTheme="minorEastAsia" w:hAnsiTheme="minorEastAsia" w:eastAsiaTheme="minorEastAsia"/>
          <w:sz w:val="24"/>
        </w:rPr>
        <w:t>具</w:t>
      </w:r>
      <w:r>
        <w:rPr>
          <w:rFonts w:hint="eastAsia" w:asciiTheme="minorEastAsia" w:hAnsiTheme="minorEastAsia" w:eastAsiaTheme="minorEastAsia"/>
          <w:sz w:val="24"/>
        </w:rPr>
        <w:t>有</w:t>
      </w:r>
      <w:r>
        <w:rPr>
          <w:rFonts w:asciiTheme="minorEastAsia" w:hAnsiTheme="minorEastAsia" w:eastAsiaTheme="minorEastAsia"/>
          <w:sz w:val="24"/>
        </w:rPr>
        <w:t>履行合同所必需的设备和专业技术能力</w:t>
      </w:r>
      <w:r>
        <w:rPr>
          <w:rFonts w:hint="eastAsia" w:cs="宋体" w:asciiTheme="minorEastAsia" w:hAnsiTheme="minorEastAsia" w:eastAsiaTheme="minorEastAsia"/>
          <w:kern w:val="0"/>
          <w:sz w:val="24"/>
        </w:rPr>
        <w:t>。</w:t>
      </w: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ind w:firstLine="480"/>
        <w:rPr>
          <w:rFonts w:asciiTheme="minorEastAsia" w:hAnsiTheme="minorEastAsia" w:eastAsiaTheme="minorEastAsia"/>
          <w:b/>
          <w:sz w:val="24"/>
        </w:rPr>
      </w:pPr>
    </w:p>
    <w:p>
      <w:pPr>
        <w:spacing w:before="120" w:beforeLines="50" w:line="440" w:lineRule="exact"/>
        <w:ind w:left="-103" w:leftChars="-49" w:firstLine="616" w:firstLineChars="257"/>
        <w:rPr>
          <w:rFonts w:asciiTheme="minorEastAsia" w:hAnsiTheme="minorEastAsia" w:eastAsiaTheme="minorEastAsia"/>
          <w:sz w:val="24"/>
        </w:rPr>
      </w:pPr>
      <w:r>
        <w:rPr>
          <w:rFonts w:hint="eastAsia" w:asciiTheme="minorEastAsia" w:hAnsiTheme="minorEastAsia" w:eastAsiaTheme="minorEastAsia"/>
          <w:sz w:val="24"/>
        </w:rPr>
        <w:t>供应商：（公章）</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法定代表人或其授权代表：（</w:t>
      </w:r>
      <w:r>
        <w:rPr>
          <w:rFonts w:hint="eastAsia" w:asciiTheme="minorEastAsia" w:hAnsiTheme="minorEastAsia" w:eastAsiaTheme="minorEastAsia"/>
          <w:sz w:val="24"/>
        </w:rPr>
        <w:t>签字或加盖人名章</w:t>
      </w:r>
      <w:r>
        <w:rPr>
          <w:rFonts w:asciiTheme="minorEastAsia" w:hAnsiTheme="minorEastAsia" w:eastAsiaTheme="minorEastAsia"/>
          <w:sz w:val="24"/>
        </w:rPr>
        <w:t>）</w:t>
      </w:r>
    </w:p>
    <w:p>
      <w:pPr>
        <w:spacing w:before="120" w:beforeLines="50" w:line="440" w:lineRule="exact"/>
        <w:ind w:left="460" w:leftChars="219"/>
        <w:rPr>
          <w:rFonts w:asciiTheme="minorEastAsia" w:hAnsiTheme="minorEastAsia" w:eastAsiaTheme="minorEastAsia"/>
          <w:sz w:val="24"/>
        </w:rPr>
      </w:pPr>
      <w:r>
        <w:rPr>
          <w:rFonts w:asciiTheme="minorEastAsia" w:hAnsiTheme="minorEastAsia" w:eastAsiaTheme="minorEastAsia"/>
          <w:sz w:val="24"/>
        </w:rPr>
        <w:t>日期：</w:t>
      </w:r>
    </w:p>
    <w:p>
      <w:pPr>
        <w:widowControl/>
        <w:jc w:val="left"/>
        <w:rPr>
          <w:b/>
          <w:spacing w:val="20"/>
          <w:sz w:val="24"/>
        </w:rPr>
      </w:pPr>
    </w:p>
    <w:p>
      <w:pPr>
        <w:widowControl/>
        <w:jc w:val="left"/>
        <w:rPr>
          <w:rFonts w:ascii="仿宋_GB2312" w:eastAsia="仿宋_GB2312"/>
          <w:sz w:val="24"/>
        </w:rPr>
      </w:pPr>
      <w:r>
        <w:rPr>
          <w:rFonts w:ascii="仿宋_GB2312" w:eastAsia="仿宋_GB2312"/>
          <w:sz w:val="24"/>
        </w:rPr>
        <w:br w:type="page"/>
      </w:r>
    </w:p>
    <w:p>
      <w:pPr>
        <w:tabs>
          <w:tab w:val="left" w:pos="5580"/>
        </w:tabs>
        <w:spacing w:before="120" w:line="360" w:lineRule="auto"/>
        <w:ind w:firstLine="480" w:firstLineChars="200"/>
        <w:rPr>
          <w:rFonts w:ascii="仿宋_GB2312" w:eastAsia="仿宋_GB2312"/>
          <w:sz w:val="24"/>
        </w:rPr>
      </w:pPr>
    </w:p>
    <w:p>
      <w:pPr>
        <w:pStyle w:val="420"/>
        <w:numPr>
          <w:ilvl w:val="0"/>
          <w:numId w:val="23"/>
        </w:numPr>
        <w:ind w:firstLineChars="0"/>
        <w:jc w:val="left"/>
        <w:outlineLvl w:val="2"/>
        <w:rPr>
          <w:rFonts w:ascii="仿宋_GB2312" w:hAnsi="宋体" w:eastAsia="仿宋_GB2312"/>
          <w:b/>
          <w:sz w:val="24"/>
        </w:rPr>
      </w:pPr>
      <w:bookmarkStart w:id="255" w:name="_Toc61594822"/>
      <w:r>
        <w:rPr>
          <w:rFonts w:hint="eastAsia" w:ascii="仿宋_GB2312" w:hAnsi="宋体" w:eastAsia="仿宋_GB2312"/>
          <w:b/>
          <w:sz w:val="24"/>
        </w:rPr>
        <w:t>依法缴纳税收的证明</w:t>
      </w:r>
      <w:bookmarkEnd w:id="255"/>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20" w:firstLineChars="200"/>
        <w:jc w:val="left"/>
        <w:rPr>
          <w:rFonts w:ascii="宋体"/>
          <w:bCs/>
          <w:szCs w:val="21"/>
        </w:rPr>
      </w:pPr>
      <w:r>
        <w:rPr>
          <w:rFonts w:hint="eastAsia" w:ascii="宋体"/>
          <w:bCs/>
          <w:szCs w:val="21"/>
        </w:rPr>
        <w:t>说明：</w:t>
      </w:r>
    </w:p>
    <w:p>
      <w:pPr>
        <w:tabs>
          <w:tab w:val="left" w:pos="993"/>
          <w:tab w:val="left" w:pos="1030"/>
          <w:tab w:val="left" w:pos="8364"/>
        </w:tabs>
        <w:snapToGrid w:val="0"/>
        <w:spacing w:after="120" w:afterLines="50"/>
        <w:ind w:left="420" w:right="-57" w:rightChars="-27" w:firstLine="420" w:firstLineChars="200"/>
        <w:jc w:val="left"/>
        <w:rPr>
          <w:rFonts w:ascii="宋体"/>
          <w:bCs/>
          <w:szCs w:val="21"/>
        </w:rPr>
      </w:pPr>
      <w:r>
        <w:rPr>
          <w:rFonts w:hint="eastAsia" w:ascii="宋体"/>
          <w:bCs/>
          <w:szCs w:val="21"/>
        </w:rPr>
        <w:t>1、供应商应提供首次递交响应文件截止之日前6个月内任意1个月缴纳增值税或企业所得税的凭证（银行出具的缴税凭证或税务机关出具的证明的复印件，并加盖本单位公章）。企业代替个人缴纳的个人所得税也视为依法缴纳税收证明材料。</w:t>
      </w:r>
    </w:p>
    <w:p>
      <w:pPr>
        <w:tabs>
          <w:tab w:val="left" w:pos="993"/>
          <w:tab w:val="left" w:pos="1030"/>
          <w:tab w:val="left" w:pos="8364"/>
        </w:tabs>
        <w:snapToGrid w:val="0"/>
        <w:spacing w:after="120" w:afterLines="50"/>
        <w:ind w:right="-57" w:rightChars="-27"/>
        <w:jc w:val="left"/>
        <w:rPr>
          <w:rFonts w:ascii="宋体"/>
          <w:bCs/>
          <w:szCs w:val="21"/>
        </w:rPr>
      </w:pPr>
      <w:r>
        <w:rPr>
          <w:rFonts w:hint="eastAsia" w:ascii="宋体"/>
          <w:bCs/>
          <w:szCs w:val="21"/>
        </w:rPr>
        <w:t xml:space="preserve">        2、依法免税的供应商，应提供相应文件证明其依法免税。</w:t>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firstLine="480" w:firstLineChars="200"/>
        <w:jc w:val="left"/>
        <w:rPr>
          <w:rFonts w:asciiTheme="minorEastAsia" w:hAnsiTheme="minorEastAsia" w:eastAsiaTheme="minorEastAsia"/>
          <w:sz w:val="24"/>
        </w:rPr>
      </w:pPr>
    </w:p>
    <w:p>
      <w:pPr>
        <w:pStyle w:val="420"/>
        <w:numPr>
          <w:ilvl w:val="0"/>
          <w:numId w:val="23"/>
        </w:numPr>
        <w:ind w:firstLineChars="0"/>
        <w:jc w:val="left"/>
        <w:outlineLvl w:val="2"/>
        <w:rPr>
          <w:rFonts w:ascii="仿宋_GB2312" w:hAnsi="宋体" w:eastAsia="仿宋_GB2312"/>
          <w:b/>
          <w:sz w:val="24"/>
        </w:rPr>
      </w:pPr>
      <w:bookmarkStart w:id="256" w:name="_Toc61594823"/>
      <w:r>
        <w:rPr>
          <w:rFonts w:hint="eastAsia" w:ascii="仿宋_GB2312" w:hAnsi="宋体" w:eastAsia="仿宋_GB2312"/>
          <w:b/>
          <w:sz w:val="24"/>
        </w:rPr>
        <w:t>社会保障资金缴纳记录</w:t>
      </w:r>
      <w:bookmarkEnd w:id="256"/>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r>
        <w:rPr>
          <w:rFonts w:hint="eastAsia" w:asciiTheme="minorEastAsia" w:hAnsiTheme="minorEastAsia" w:eastAsiaTheme="minorEastAsia"/>
          <w:sz w:val="24"/>
        </w:rPr>
        <w:cr/>
      </w: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Theme="minorEastAsia" w:hAnsiTheme="minorEastAsia" w:eastAsiaTheme="minorEastAsia"/>
          <w:sz w:val="24"/>
        </w:rPr>
      </w:pPr>
    </w:p>
    <w:p>
      <w:p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说明：</w:t>
      </w:r>
    </w:p>
    <w:p>
      <w:pPr>
        <w:numPr>
          <w:ilvl w:val="0"/>
          <w:numId w:val="24"/>
        </w:num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供应商应提供首次递交响应文件截止之日前6个月内任意1个月的社会缴纳社会保险的凭据（专用收据或社会保险缴纳清单），并加盖本单位公章。</w:t>
      </w:r>
    </w:p>
    <w:p>
      <w:pPr>
        <w:numPr>
          <w:ilvl w:val="0"/>
          <w:numId w:val="24"/>
        </w:numPr>
        <w:tabs>
          <w:tab w:val="left" w:pos="993"/>
          <w:tab w:val="left" w:pos="1030"/>
          <w:tab w:val="left" w:pos="8364"/>
        </w:tabs>
        <w:snapToGrid w:val="0"/>
        <w:spacing w:after="120" w:afterLines="50"/>
        <w:ind w:left="420" w:leftChars="200" w:right="-57" w:rightChars="-27"/>
        <w:jc w:val="left"/>
        <w:rPr>
          <w:rFonts w:ascii="宋体"/>
          <w:bCs/>
          <w:szCs w:val="21"/>
        </w:rPr>
      </w:pPr>
      <w:r>
        <w:rPr>
          <w:rFonts w:hint="eastAsia" w:ascii="宋体"/>
          <w:bCs/>
          <w:szCs w:val="21"/>
        </w:rPr>
        <w:t>不需要缴纳社会保障资金的供应商，应提供相应文件证明其不需要缴纳社会保障资金。</w:t>
      </w:r>
    </w:p>
    <w:p>
      <w:pPr>
        <w:tabs>
          <w:tab w:val="left" w:pos="5580"/>
        </w:tabs>
        <w:spacing w:before="120"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br w:type="page"/>
      </w:r>
    </w:p>
    <w:p>
      <w:pPr>
        <w:tabs>
          <w:tab w:val="left" w:pos="993"/>
          <w:tab w:val="left" w:pos="1030"/>
          <w:tab w:val="left" w:pos="8364"/>
        </w:tabs>
        <w:snapToGrid w:val="0"/>
        <w:spacing w:after="120" w:afterLines="50"/>
        <w:ind w:left="420" w:right="-57" w:rightChars="-27"/>
        <w:jc w:val="left"/>
        <w:rPr>
          <w:rFonts w:ascii="仿宋_GB2312" w:eastAsia="仿宋_GB2312"/>
          <w:sz w:val="24"/>
        </w:rPr>
      </w:pPr>
    </w:p>
    <w:p>
      <w:pPr>
        <w:ind w:right="280"/>
        <w:rPr>
          <w:rFonts w:asciiTheme="minorEastAsia" w:hAnsiTheme="minorEastAsia" w:eastAsiaTheme="minorEastAsia"/>
          <w:sz w:val="24"/>
        </w:rPr>
      </w:pPr>
    </w:p>
    <w:p>
      <w:pPr>
        <w:tabs>
          <w:tab w:val="left" w:pos="5580"/>
        </w:tabs>
        <w:spacing w:before="120" w:line="360" w:lineRule="auto"/>
        <w:rPr>
          <w:rFonts w:asciiTheme="minorEastAsia" w:hAnsiTheme="minorEastAsia" w:eastAsiaTheme="minorEastAsia"/>
          <w:sz w:val="24"/>
        </w:rPr>
      </w:pPr>
    </w:p>
    <w:p>
      <w:pPr>
        <w:tabs>
          <w:tab w:val="left" w:pos="5580"/>
        </w:tabs>
        <w:spacing w:before="120" w:line="360" w:lineRule="auto"/>
        <w:ind w:firstLine="480" w:firstLineChars="200"/>
        <w:rPr>
          <w:rFonts w:ascii="仿宋_GB2312" w:eastAsia="仿宋_GB2312"/>
          <w:sz w:val="24"/>
        </w:rPr>
      </w:pPr>
    </w:p>
    <w:p>
      <w:pPr>
        <w:tabs>
          <w:tab w:val="left" w:pos="5580"/>
        </w:tabs>
        <w:spacing w:before="120" w:line="360" w:lineRule="auto"/>
        <w:ind w:firstLine="480" w:firstLineChars="200"/>
        <w:rPr>
          <w:rFonts w:ascii="仿宋_GB2312" w:eastAsia="仿宋_GB2312"/>
          <w:sz w:val="24"/>
        </w:rPr>
      </w:pPr>
    </w:p>
    <w:p>
      <w:pPr>
        <w:tabs>
          <w:tab w:val="left" w:pos="993"/>
          <w:tab w:val="left" w:pos="1030"/>
          <w:tab w:val="left" w:pos="8364"/>
        </w:tabs>
        <w:snapToGrid w:val="0"/>
        <w:spacing w:after="120" w:afterLines="50"/>
        <w:ind w:left="420" w:right="-57" w:rightChars="-27" w:firstLine="480" w:firstLineChars="200"/>
        <w:jc w:val="left"/>
        <w:rPr>
          <w:rFonts w:ascii="仿宋_GB2312" w:eastAsia="仿宋_GB2312"/>
          <w:sz w:val="24"/>
        </w:rPr>
      </w:pPr>
    </w:p>
    <w:p>
      <w:pPr>
        <w:widowControl/>
        <w:jc w:val="left"/>
        <w:rPr>
          <w:rFonts w:ascii="仿宋_GB2312" w:hAnsi="宋体" w:eastAsia="仿宋_GB2312"/>
          <w:b/>
          <w:sz w:val="24"/>
        </w:rPr>
      </w:pPr>
      <w:r>
        <w:rPr>
          <w:rFonts w:ascii="仿宋_GB2312" w:hAnsi="宋体" w:eastAsia="仿宋_GB2312"/>
          <w:b/>
          <w:sz w:val="24"/>
        </w:rPr>
        <w:br w:type="page"/>
      </w:r>
    </w:p>
    <w:p>
      <w:pPr>
        <w:pStyle w:val="420"/>
        <w:numPr>
          <w:ilvl w:val="0"/>
          <w:numId w:val="23"/>
        </w:numPr>
        <w:ind w:firstLineChars="0"/>
        <w:jc w:val="left"/>
        <w:outlineLvl w:val="2"/>
        <w:rPr>
          <w:rFonts w:ascii="仿宋_GB2312" w:hAnsi="宋体" w:eastAsia="仿宋_GB2312"/>
          <w:b/>
          <w:sz w:val="24"/>
        </w:rPr>
      </w:pPr>
      <w:bookmarkStart w:id="257" w:name="_Toc61594825"/>
      <w:r>
        <w:rPr>
          <w:rFonts w:hint="eastAsia" w:ascii="仿宋_GB2312" w:hAnsi="宋体" w:eastAsia="仿宋_GB2312"/>
          <w:b/>
          <w:sz w:val="24"/>
        </w:rPr>
        <w:t>供应商参加政府采购活动前3年内在经营活动中没有重大违法记录的书面声明（格式）</w:t>
      </w:r>
      <w:bookmarkEnd w:id="257"/>
    </w:p>
    <w:p>
      <w:pPr>
        <w:jc w:val="center"/>
        <w:rPr>
          <w:rFonts w:asciiTheme="minorEastAsia" w:hAnsiTheme="minorEastAsia" w:eastAsiaTheme="minorEastAsia"/>
          <w:sz w:val="24"/>
        </w:rPr>
      </w:pPr>
    </w:p>
    <w:p>
      <w:pPr>
        <w:jc w:val="center"/>
        <w:rPr>
          <w:rFonts w:asciiTheme="minorEastAsia" w:hAnsiTheme="minorEastAsia" w:eastAsiaTheme="minorEastAsia"/>
          <w:b/>
          <w:sz w:val="24"/>
        </w:rPr>
      </w:pPr>
      <w:r>
        <w:rPr>
          <w:rFonts w:hint="eastAsia" w:asciiTheme="minorEastAsia" w:hAnsiTheme="minorEastAsia" w:eastAsiaTheme="minorEastAsia"/>
          <w:b/>
          <w:sz w:val="24"/>
        </w:rPr>
        <w:t>声明函</w:t>
      </w:r>
    </w:p>
    <w:p>
      <w:pPr>
        <w:jc w:val="center"/>
        <w:rPr>
          <w:rFonts w:asciiTheme="minorEastAsia" w:hAnsiTheme="minorEastAsia" w:eastAsiaTheme="minorEastAsia"/>
          <w:sz w:val="24"/>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我公司郑重承诺：在参加本项目政府采购活动前三年内，在经营活动中无重大违法记录。公司未受到行政处罚或责令停业、吊销许可证（或执照）；未处于财产被接管、冻结、破产状况。</w:t>
      </w:r>
    </w:p>
    <w:p>
      <w:pPr>
        <w:tabs>
          <w:tab w:val="left" w:pos="5580"/>
        </w:tabs>
        <w:spacing w:before="12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特此声明。</w:t>
      </w: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tabs>
          <w:tab w:val="left" w:pos="5580"/>
        </w:tabs>
        <w:spacing w:before="120" w:line="360" w:lineRule="auto"/>
        <w:ind w:firstLine="480" w:firstLineChars="200"/>
        <w:rPr>
          <w:rFonts w:asciiTheme="minorEastAsia" w:hAnsiTheme="minorEastAsia" w:eastAsiaTheme="minorEastAsia"/>
          <w:sz w:val="24"/>
        </w:rPr>
      </w:pPr>
    </w:p>
    <w:p>
      <w:pPr>
        <w:pStyle w:val="39"/>
        <w:spacing w:line="360" w:lineRule="auto"/>
        <w:rPr>
          <w:rFonts w:asciiTheme="minorEastAsia" w:hAnsiTheme="minorEastAsia" w:eastAsiaTheme="minorEastAsia"/>
          <w:sz w:val="24"/>
        </w:rPr>
      </w:pPr>
      <w:r>
        <w:rPr>
          <w:rFonts w:hint="eastAsia" w:asciiTheme="minorEastAsia" w:hAnsiTheme="minorEastAsia" w:eastAsiaTheme="minorEastAsia"/>
          <w:sz w:val="24"/>
        </w:rPr>
        <w:t>供应商授权代表（签字或加盖人名章</w:t>
      </w:r>
      <w:r>
        <w:rPr>
          <w:rFonts w:hAnsi="宋体"/>
        </w:rPr>
        <w:t>）</w:t>
      </w:r>
      <w:r>
        <w:rPr>
          <w:rFonts w:hint="eastAsia" w:asciiTheme="minorEastAsia" w:hAnsiTheme="minorEastAsia" w:eastAsiaTheme="minorEastAsia"/>
          <w:sz w:val="24"/>
        </w:rPr>
        <w:t>：____________________________</w:t>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供应商(盖章)：</w:t>
      </w:r>
      <w:r>
        <w:rPr>
          <w:rFonts w:asciiTheme="minorEastAsia" w:hAnsiTheme="minorEastAsia" w:eastAsiaTheme="minorEastAsia"/>
          <w:sz w:val="24"/>
          <w:u w:val="single"/>
        </w:rPr>
        <w:tab/>
      </w:r>
      <w:r>
        <w:rPr>
          <w:rFonts w:asciiTheme="minorEastAsia" w:hAnsiTheme="minorEastAsia" w:eastAsiaTheme="minorEastAsia"/>
          <w:sz w:val="24"/>
          <w:u w:val="single"/>
        </w:rPr>
        <w:tab/>
      </w:r>
    </w:p>
    <w:p>
      <w:pPr>
        <w:pStyle w:val="39"/>
        <w:spacing w:line="360" w:lineRule="auto"/>
        <w:rPr>
          <w:rFonts w:asciiTheme="minorEastAsia" w:hAnsiTheme="minorEastAsia" w:eastAsiaTheme="minorEastAsia"/>
          <w:sz w:val="24"/>
          <w:u w:val="single"/>
        </w:rPr>
      </w:pPr>
      <w:r>
        <w:rPr>
          <w:rFonts w:hint="eastAsia" w:asciiTheme="minorEastAsia" w:hAnsiTheme="minorEastAsia" w:eastAsiaTheme="minorEastAsia"/>
          <w:sz w:val="24"/>
          <w:u w:val="single"/>
        </w:rPr>
        <w:t xml:space="preserve">日期： </w:t>
      </w:r>
      <w:r>
        <w:rPr>
          <w:rFonts w:asciiTheme="minorEastAsia" w:hAnsiTheme="minorEastAsia" w:eastAsiaTheme="minorEastAsia"/>
          <w:sz w:val="24"/>
          <w:u w:val="single"/>
        </w:rPr>
        <w:t xml:space="preserve">         </w:t>
      </w:r>
    </w:p>
    <w:p>
      <w:pPr>
        <w:widowControl/>
        <w:jc w:val="left"/>
        <w:rPr>
          <w:rFonts w:ascii="仿宋_GB2312" w:hAnsi="宋体" w:eastAsia="仿宋_GB2312"/>
          <w:b/>
          <w:sz w:val="24"/>
        </w:rPr>
      </w:pPr>
      <w:r>
        <w:rPr>
          <w:rFonts w:ascii="仿宋_GB2312" w:hAnsi="宋体" w:eastAsia="仿宋_GB2312"/>
          <w:b/>
          <w:sz w:val="24"/>
        </w:rPr>
        <w:br w:type="page"/>
      </w:r>
    </w:p>
    <w:p>
      <w:pPr>
        <w:pStyle w:val="420"/>
        <w:numPr>
          <w:ilvl w:val="0"/>
          <w:numId w:val="23"/>
        </w:numPr>
        <w:ind w:firstLineChars="0"/>
        <w:jc w:val="left"/>
        <w:outlineLvl w:val="2"/>
        <w:rPr>
          <w:rFonts w:ascii="仿宋_GB2312" w:hAnsi="宋体" w:eastAsia="仿宋_GB2312"/>
          <w:b/>
          <w:sz w:val="24"/>
        </w:rPr>
      </w:pPr>
      <w:r>
        <w:rPr>
          <w:rFonts w:hint="eastAsia" w:ascii="仿宋_GB2312" w:hAnsi="宋体" w:eastAsia="仿宋_GB2312"/>
          <w:b/>
          <w:sz w:val="24"/>
        </w:rPr>
        <w:t>法律、行政法规规定的其他条件。</w:t>
      </w:r>
    </w:p>
    <w:p>
      <w:pPr>
        <w:ind w:firstLine="420"/>
        <w:rPr>
          <w:rFonts w:ascii="宋体" w:hAnsi="宋体"/>
          <w:szCs w:val="21"/>
        </w:rPr>
      </w:pPr>
    </w:p>
    <w:p>
      <w:pPr>
        <w:rPr>
          <w:rFonts w:ascii="宋体" w:hAnsi="宋体"/>
          <w:szCs w:val="21"/>
        </w:rPr>
      </w:pPr>
      <w:r>
        <w:rPr>
          <w:rFonts w:ascii="宋体" w:hAnsi="宋体"/>
          <w:szCs w:val="21"/>
        </w:rPr>
        <w:br w:type="page"/>
      </w:r>
    </w:p>
    <w:p>
      <w:pPr>
        <w:pStyle w:val="420"/>
        <w:numPr>
          <w:ilvl w:val="0"/>
          <w:numId w:val="23"/>
        </w:numPr>
        <w:ind w:firstLineChars="0"/>
        <w:jc w:val="left"/>
        <w:outlineLvl w:val="2"/>
        <w:rPr>
          <w:rFonts w:ascii="仿宋_GB2312" w:hAnsi="宋体" w:eastAsia="仿宋_GB2312"/>
          <w:b/>
          <w:sz w:val="24"/>
        </w:rPr>
      </w:pPr>
      <w:r>
        <w:rPr>
          <w:rFonts w:hint="eastAsia" w:ascii="仿宋_GB2312" w:hAnsi="宋体" w:eastAsia="仿宋_GB2312"/>
          <w:b/>
          <w:sz w:val="24"/>
        </w:rPr>
        <w:t>信用中国网站和中国政府采购网查询记录</w:t>
      </w:r>
    </w:p>
    <w:p>
      <w:pPr>
        <w:pStyle w:val="378"/>
        <w:ind w:firstLine="560"/>
        <w:rPr>
          <w:color w:val="auto"/>
        </w:rPr>
      </w:pPr>
    </w:p>
    <w:p>
      <w:pPr>
        <w:snapToGrid w:val="0"/>
        <w:spacing w:line="360" w:lineRule="auto"/>
        <w:ind w:firstLine="420" w:firstLineChars="200"/>
        <w:jc w:val="left"/>
        <w:rPr>
          <w:rFonts w:ascii="宋体" w:hAnsi="宋体" w:cs="宋体"/>
          <w:sz w:val="24"/>
        </w:rPr>
      </w:pPr>
      <w:r>
        <w:rPr>
          <w:rFonts w:hint="eastAsia" w:ascii="宋体" w:hAnsi="宋体"/>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pPr>
        <w:widowControl/>
        <w:jc w:val="left"/>
        <w:rPr>
          <w:rFonts w:ascii="宋体" w:hAnsi="宋体"/>
          <w:szCs w:val="21"/>
        </w:rPr>
      </w:pPr>
      <w:r>
        <w:rPr>
          <w:rFonts w:ascii="宋体" w:hAnsi="宋体"/>
          <w:szCs w:val="21"/>
        </w:rPr>
        <w:br w:type="page"/>
      </w:r>
    </w:p>
    <w:p>
      <w:pPr>
        <w:widowControl/>
        <w:jc w:val="left"/>
        <w:rPr>
          <w:rFonts w:ascii="宋体" w:hAnsi="宋体"/>
          <w:szCs w:val="21"/>
        </w:rPr>
      </w:pPr>
    </w:p>
    <w:p>
      <w:pPr>
        <w:rPr>
          <w:sz w:val="24"/>
        </w:rPr>
      </w:pPr>
    </w:p>
    <w:p>
      <w:pPr>
        <w:pStyle w:val="420"/>
        <w:numPr>
          <w:ilvl w:val="0"/>
          <w:numId w:val="23"/>
        </w:numPr>
        <w:ind w:firstLineChars="0"/>
        <w:jc w:val="left"/>
        <w:outlineLvl w:val="2"/>
        <w:rPr>
          <w:rFonts w:ascii="仿宋_GB2312" w:hAnsi="宋体" w:eastAsia="仿宋_GB2312"/>
          <w:b/>
          <w:sz w:val="24"/>
        </w:rPr>
      </w:pPr>
      <w:bookmarkStart w:id="258" w:name="_Toc61594828"/>
      <w:r>
        <w:rPr>
          <w:rFonts w:hint="eastAsia" w:ascii="仿宋_GB2312" w:hAnsi="宋体" w:eastAsia="仿宋_GB2312"/>
          <w:b/>
          <w:sz w:val="24"/>
        </w:rPr>
        <w:t>供应商控股股东名称、控股公司的名称和存在管理、被管理关系的单位名称说明</w:t>
      </w:r>
    </w:p>
    <w:p>
      <w:pPr>
        <w:ind w:firstLine="420"/>
        <w:rPr>
          <w:rFonts w:ascii="宋体" w:hAnsi="宋体"/>
          <w:szCs w:val="21"/>
        </w:rPr>
      </w:pPr>
    </w:p>
    <w:p>
      <w:pPr>
        <w:rPr>
          <w:rFonts w:cs="宋体" w:asciiTheme="minorEastAsia" w:hAnsiTheme="minorEastAsia" w:eastAsiaTheme="minorEastAsia"/>
          <w:kern w:val="0"/>
          <w:sz w:val="24"/>
          <w:u w:val="single"/>
        </w:rPr>
      </w:pPr>
    </w:p>
    <w:p>
      <w:pPr>
        <w:rPr>
          <w:rFonts w:cs="宋体" w:asciiTheme="minorEastAsia" w:hAnsiTheme="minorEastAsia" w:eastAsiaTheme="minorEastAsia"/>
          <w:kern w:val="0"/>
          <w:sz w:val="24"/>
          <w:u w:val="single"/>
        </w:rPr>
      </w:pPr>
      <w:r>
        <w:rPr>
          <w:rFonts w:hint="eastAsia" w:cs="宋体" w:asciiTheme="minorEastAsia" w:hAnsiTheme="minorEastAsia" w:eastAsiaTheme="minorEastAsia"/>
          <w:kern w:val="0"/>
          <w:sz w:val="24"/>
          <w:u w:val="single"/>
        </w:rPr>
        <w:t xml:space="preserve">(采购人名称)      </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与我方的法定代表人（单位负责人）为同一人的企业如下：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我方的控股股东如下：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我方直接控股的企业如下：</w:t>
      </w:r>
    </w:p>
    <w:p>
      <w:pPr>
        <w:ind w:firstLine="426"/>
        <w:rPr>
          <w:rFonts w:ascii="宋体" w:hAnsi="Courier New" w:cs="Courier New"/>
          <w:sz w:val="24"/>
        </w:rPr>
      </w:pPr>
    </w:p>
    <w:p>
      <w:pPr>
        <w:ind w:firstLine="426"/>
        <w:rPr>
          <w:rFonts w:ascii="宋体" w:hAnsi="Courier New" w:cs="Courier New"/>
          <w:sz w:val="24"/>
        </w:rPr>
      </w:pPr>
      <w:r>
        <w:rPr>
          <w:rFonts w:hint="eastAsia" w:ascii="宋体" w:hAnsi="Courier New" w:cs="Courier New"/>
          <w:sz w:val="24"/>
        </w:rPr>
        <w:t>与我方存在管理、被管理关系的单位名称如下：</w:t>
      </w:r>
    </w:p>
    <w:p>
      <w:pPr>
        <w:ind w:firstLine="426"/>
        <w:rPr>
          <w:rFonts w:ascii="宋体" w:hAnsi="Courier New" w:cs="Courier New"/>
          <w:sz w:val="24"/>
        </w:rPr>
      </w:pPr>
    </w:p>
    <w:p>
      <w:pPr>
        <w:ind w:firstLine="426"/>
        <w:rPr>
          <w:rFonts w:ascii="宋体" w:hAnsi="宋体"/>
          <w:szCs w:val="21"/>
        </w:rPr>
      </w:pPr>
    </w:p>
    <w:p>
      <w:pPr>
        <w:spacing w:line="360" w:lineRule="auto"/>
        <w:ind w:firstLine="426"/>
        <w:rPr>
          <w:rFonts w:ascii="宋体" w:hAnsi="宋体"/>
          <w:szCs w:val="21"/>
        </w:rPr>
      </w:pPr>
      <w:r>
        <w:rPr>
          <w:rFonts w:ascii="宋体" w:hAnsi="宋体"/>
          <w:szCs w:val="21"/>
        </w:rPr>
        <w:t xml:space="preserve">供应商名称（公章）： </w:t>
      </w:r>
    </w:p>
    <w:p>
      <w:pPr>
        <w:spacing w:line="360" w:lineRule="auto"/>
        <w:ind w:firstLine="420"/>
        <w:rPr>
          <w:rFonts w:ascii="宋体" w:hAnsi="宋体"/>
          <w:szCs w:val="21"/>
        </w:rPr>
      </w:pPr>
      <w:r>
        <w:rPr>
          <w:rFonts w:ascii="宋体" w:hAnsi="宋体"/>
          <w:szCs w:val="21"/>
        </w:rPr>
        <w:t>法定代表人或其授权代表（</w:t>
      </w:r>
      <w:r>
        <w:rPr>
          <w:rFonts w:hint="eastAsia" w:ascii="宋体" w:hAnsi="宋体"/>
          <w:szCs w:val="21"/>
        </w:rPr>
        <w:t>签字或加盖人名章</w:t>
      </w:r>
      <w:r>
        <w:rPr>
          <w:rFonts w:ascii="宋体" w:hAnsi="宋体"/>
          <w:szCs w:val="21"/>
        </w:rPr>
        <w:t>）：</w:t>
      </w:r>
    </w:p>
    <w:p>
      <w:pPr>
        <w:spacing w:line="360" w:lineRule="auto"/>
        <w:ind w:firstLine="420" w:firstLineChars="200"/>
        <w:rPr>
          <w:rFonts w:ascii="宋体" w:hAnsi="宋体"/>
          <w:szCs w:val="21"/>
        </w:rPr>
      </w:pPr>
      <w:r>
        <w:rPr>
          <w:rFonts w:ascii="宋体" w:hAnsi="宋体"/>
          <w:szCs w:val="21"/>
        </w:rPr>
        <w:t>日    期：     年   月    日</w:t>
      </w: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p>
      <w:pPr>
        <w:pStyle w:val="420"/>
        <w:ind w:left="420" w:firstLine="0" w:firstLineChars="0"/>
        <w:jc w:val="left"/>
        <w:rPr>
          <w:rFonts w:ascii="仿宋_GB2312" w:hAnsi="宋体" w:eastAsia="仿宋_GB2312"/>
          <w:b/>
          <w:sz w:val="24"/>
        </w:rPr>
      </w:pPr>
    </w:p>
    <w:bookmarkEnd w:id="258"/>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br w:type="page"/>
      </w:r>
    </w:p>
    <w:p>
      <w:pPr>
        <w:widowControl/>
        <w:jc w:val="left"/>
        <w:outlineLvl w:val="2"/>
        <w:rPr>
          <w:rFonts w:ascii="宋体" w:hAnsi="宋体"/>
          <w:b/>
          <w:bCs/>
          <w:sz w:val="24"/>
        </w:rPr>
      </w:pPr>
      <w:bookmarkStart w:id="259" w:name="_Toc61594831"/>
      <w:r>
        <w:rPr>
          <w:rFonts w:hint="eastAsia" w:ascii="宋体" w:hAnsi="宋体"/>
          <w:b/>
          <w:bCs/>
          <w:sz w:val="24"/>
        </w:rPr>
        <w:t>8-</w:t>
      </w:r>
      <w:r>
        <w:rPr>
          <w:rFonts w:ascii="宋体" w:hAnsi="宋体"/>
          <w:b/>
          <w:bCs/>
          <w:sz w:val="24"/>
        </w:rPr>
        <w:t>1</w:t>
      </w:r>
      <w:bookmarkEnd w:id="259"/>
      <w:r>
        <w:rPr>
          <w:rFonts w:ascii="宋体" w:hAnsi="宋体"/>
          <w:b/>
          <w:bCs/>
          <w:sz w:val="24"/>
        </w:rPr>
        <w:t xml:space="preserve">0 </w:t>
      </w:r>
      <w:r>
        <w:rPr>
          <w:rFonts w:hint="eastAsia" w:ascii="宋体" w:hAnsi="宋体"/>
          <w:b/>
          <w:bCs/>
          <w:sz w:val="24"/>
        </w:rPr>
        <w:t>联合体协议书（本项目不适用）</w:t>
      </w:r>
    </w:p>
    <w:p>
      <w:pPr>
        <w:autoSpaceDE w:val="0"/>
        <w:autoSpaceDN w:val="0"/>
        <w:adjustRightInd w:val="0"/>
        <w:jc w:val="center"/>
        <w:rPr>
          <w:rFonts w:ascii="宋体" w:hAnsi="宋体" w:cs="黑体"/>
          <w:kern w:val="0"/>
          <w:sz w:val="28"/>
          <w:szCs w:val="28"/>
        </w:rPr>
      </w:pPr>
    </w:p>
    <w:p>
      <w:pPr>
        <w:autoSpaceDE w:val="0"/>
        <w:autoSpaceDN w:val="0"/>
        <w:adjustRightInd w:val="0"/>
        <w:jc w:val="center"/>
        <w:rPr>
          <w:rFonts w:ascii="宋体" w:hAnsi="宋体" w:cs="黑体"/>
          <w:kern w:val="0"/>
          <w:sz w:val="28"/>
          <w:szCs w:val="28"/>
        </w:rPr>
      </w:pPr>
      <w:r>
        <w:rPr>
          <w:rFonts w:hint="eastAsia" w:ascii="宋体" w:hAnsi="宋体" w:cs="黑体"/>
          <w:kern w:val="0"/>
          <w:sz w:val="28"/>
          <w:szCs w:val="28"/>
        </w:rPr>
        <w:t>联合体协议书</w:t>
      </w:r>
    </w:p>
    <w:p>
      <w:pPr>
        <w:autoSpaceDE w:val="0"/>
        <w:autoSpaceDN w:val="0"/>
        <w:adjustRightInd w:val="0"/>
        <w:jc w:val="center"/>
        <w:rPr>
          <w:rFonts w:ascii="宋体" w:hAnsi="宋体" w:cs="黑体"/>
          <w:i/>
          <w:iCs/>
          <w:kern w:val="0"/>
          <w:szCs w:val="21"/>
        </w:rPr>
      </w:pPr>
      <w:r>
        <w:rPr>
          <w:rFonts w:hint="eastAsia" w:ascii="宋体" w:hAnsi="宋体" w:cs="黑体"/>
          <w:i/>
          <w:iCs/>
          <w:kern w:val="0"/>
          <w:szCs w:val="21"/>
        </w:rPr>
        <w:t>（注：本协议书供参考使用，具体文本内容与采购人商定）</w:t>
      </w:r>
    </w:p>
    <w:p>
      <w:pPr>
        <w:autoSpaceDE w:val="0"/>
        <w:autoSpaceDN w:val="0"/>
        <w:adjustRightInd w:val="0"/>
        <w:jc w:val="center"/>
        <w:rPr>
          <w:rFonts w:ascii="宋体" w:hAnsi="宋体" w:cs="黑体"/>
          <w:i/>
          <w:iCs/>
          <w:kern w:val="0"/>
          <w:szCs w:val="21"/>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（所有成员单位名称）自愿组成（联合体名称）联合体，共同参加（项目名称）  谈判。现就联合体谈判事宜订立如下协议。</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1</w:t>
      </w:r>
      <w:r>
        <w:rPr>
          <w:rFonts w:hint="eastAsia" w:ascii="宋体" w:hAnsi="宋体" w:cs="仿宋_GB2312"/>
          <w:kern w:val="0"/>
          <w:sz w:val="24"/>
        </w:rPr>
        <w:t>、（某成员单位名称）为（联合体名称）牵头人。</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2</w:t>
      </w:r>
      <w:r>
        <w:rPr>
          <w:rFonts w:hint="eastAsia" w:ascii="宋体" w:hAnsi="宋体" w:cs="仿宋_GB2312"/>
          <w:kern w:val="0"/>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3</w:t>
      </w:r>
      <w:r>
        <w:rPr>
          <w:rFonts w:hint="eastAsia" w:ascii="宋体" w:hAnsi="宋体" w:cs="仿宋_GB2312"/>
          <w:kern w:val="0"/>
          <w:sz w:val="24"/>
        </w:rPr>
        <w:t>、联合体将严格按照谈判文件的各项要求，递交响应文件，履行合同，并对外承担连带责任。</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4</w:t>
      </w:r>
      <w:r>
        <w:rPr>
          <w:rFonts w:hint="eastAsia" w:ascii="宋体" w:hAnsi="宋体" w:cs="仿宋_GB2312"/>
          <w:kern w:val="0"/>
          <w:sz w:val="24"/>
        </w:rPr>
        <w:t>、联合体各成员单位内部的职责分工如下：</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5</w:t>
      </w:r>
      <w:r>
        <w:rPr>
          <w:rFonts w:hint="eastAsia" w:ascii="宋体" w:hAnsi="宋体" w:cs="仿宋_GB2312"/>
          <w:kern w:val="0"/>
          <w:sz w:val="24"/>
        </w:rPr>
        <w:t>、本协议书自签署之日起生效，合同履行完毕后自动失效。</w:t>
      </w:r>
    </w:p>
    <w:p>
      <w:pPr>
        <w:autoSpaceDE w:val="0"/>
        <w:autoSpaceDN w:val="0"/>
        <w:adjustRightInd w:val="0"/>
        <w:spacing w:line="360" w:lineRule="auto"/>
        <w:ind w:firstLine="480" w:firstLineChars="200"/>
        <w:jc w:val="left"/>
        <w:rPr>
          <w:rFonts w:ascii="宋体" w:hAnsi="宋体" w:cs="仿宋_GB2312"/>
          <w:kern w:val="0"/>
          <w:sz w:val="24"/>
        </w:rPr>
      </w:pPr>
      <w:r>
        <w:rPr>
          <w:rFonts w:ascii="宋体" w:hAnsi="宋体" w:cs="TimesNewRomanPSMT"/>
          <w:kern w:val="0"/>
          <w:sz w:val="24"/>
        </w:rPr>
        <w:t>6</w:t>
      </w:r>
      <w:r>
        <w:rPr>
          <w:rFonts w:hint="eastAsia" w:ascii="宋体" w:hAnsi="宋体" w:cs="仿宋_GB2312"/>
          <w:kern w:val="0"/>
          <w:sz w:val="24"/>
        </w:rPr>
        <w:t>、本协议书一式  份，联合体成员和采购人各执一份。</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注：本协议书由委托代理人签字的，应附法定代表人签字的授权委托书。</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牵头人名称：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       （签字或盖人名章）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成员一名称：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      （签字或盖人名章）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成员二名称：                   （盖单位章）</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法定代表人或其委托代理人：      （签字或盖人名章）</w:t>
      </w:r>
    </w:p>
    <w:p>
      <w:pPr>
        <w:autoSpaceDE w:val="0"/>
        <w:autoSpaceDN w:val="0"/>
        <w:adjustRightInd w:val="0"/>
        <w:spacing w:line="360" w:lineRule="auto"/>
        <w:ind w:firstLine="480" w:firstLineChars="200"/>
        <w:jc w:val="left"/>
        <w:rPr>
          <w:rFonts w:ascii="宋体" w:hAnsi="宋体" w:cs="TimesNewRomanPSMT"/>
          <w:kern w:val="0"/>
          <w:sz w:val="24"/>
        </w:rPr>
      </w:pPr>
      <w:r>
        <w:rPr>
          <w:rFonts w:ascii="宋体" w:hAnsi="宋体" w:cs="TimesNewRomanPSMT"/>
          <w:kern w:val="0"/>
          <w:sz w:val="24"/>
        </w:rPr>
        <w:t>……</w:t>
      </w: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年月日</w:t>
      </w:r>
    </w:p>
    <w:p>
      <w:pPr>
        <w:rPr>
          <w:rFonts w:ascii="宋体" w:hAnsi="宋体" w:cs="仿宋_GB2312"/>
          <w:kern w:val="0"/>
          <w:sz w:val="24"/>
        </w:rPr>
      </w:pPr>
    </w:p>
    <w:p>
      <w:pPr>
        <w:widowControl/>
        <w:jc w:val="left"/>
        <w:rPr>
          <w:rFonts w:ascii="宋体" w:hAnsi="宋体" w:cs="仿宋_GB2312"/>
          <w:kern w:val="0"/>
          <w:sz w:val="24"/>
        </w:rPr>
      </w:pPr>
      <w:r>
        <w:rPr>
          <w:rFonts w:ascii="宋体" w:hAnsi="宋体" w:cs="仿宋_GB2312"/>
          <w:kern w:val="0"/>
          <w:sz w:val="24"/>
        </w:rPr>
        <w:br w:type="page"/>
      </w:r>
    </w:p>
    <w:p>
      <w:pPr>
        <w:widowControl/>
        <w:jc w:val="left"/>
        <w:outlineLvl w:val="2"/>
        <w:rPr>
          <w:rFonts w:ascii="宋体" w:hAnsi="宋体"/>
          <w:b/>
          <w:sz w:val="24"/>
        </w:rPr>
      </w:pPr>
      <w:r>
        <w:rPr>
          <w:rFonts w:hint="eastAsia" w:ascii="宋体" w:hAnsi="宋体" w:cs="仿宋_GB2312"/>
          <w:kern w:val="0"/>
          <w:sz w:val="24"/>
        </w:rPr>
        <w:t>8</w:t>
      </w:r>
      <w:r>
        <w:rPr>
          <w:rFonts w:hint="eastAsia" w:ascii="宋体" w:hAnsi="宋体"/>
          <w:sz w:val="24"/>
        </w:rPr>
        <w:t>-</w:t>
      </w:r>
      <w:r>
        <w:rPr>
          <w:rFonts w:ascii="宋体" w:hAnsi="宋体"/>
          <w:sz w:val="24"/>
        </w:rPr>
        <w:t>11</w:t>
      </w:r>
      <w:r>
        <w:rPr>
          <w:rFonts w:hint="eastAsia" w:ascii="宋体" w:hAnsi="宋体"/>
          <w:sz w:val="24"/>
        </w:rPr>
        <w:tab/>
      </w:r>
      <w:r>
        <w:rPr>
          <w:rFonts w:hint="eastAsia" w:ascii="宋体" w:hAnsi="宋体"/>
          <w:b/>
          <w:sz w:val="24"/>
        </w:rPr>
        <w:t>本项目不得转包、分包。</w:t>
      </w: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p>
    <w:p>
      <w:pPr>
        <w:autoSpaceDE w:val="0"/>
        <w:autoSpaceDN w:val="0"/>
        <w:adjustRightInd w:val="0"/>
        <w:spacing w:line="360" w:lineRule="auto"/>
        <w:ind w:firstLine="480" w:firstLineChars="200"/>
        <w:jc w:val="left"/>
        <w:rPr>
          <w:rFonts w:ascii="宋体" w:hAnsi="宋体" w:cs="仿宋_GB2312"/>
          <w:kern w:val="0"/>
          <w:sz w:val="24"/>
        </w:rPr>
      </w:pPr>
      <w:r>
        <w:rPr>
          <w:rFonts w:hint="eastAsia" w:ascii="宋体" w:hAnsi="宋体" w:cs="仿宋_GB2312"/>
          <w:kern w:val="0"/>
          <w:sz w:val="24"/>
        </w:rPr>
        <w:t>说明：</w:t>
      </w:r>
      <w:r>
        <w:rPr>
          <w:rFonts w:hint="eastAsia" w:ascii="宋体" w:hAnsi="宋体"/>
          <w:szCs w:val="21"/>
        </w:rPr>
        <w:t>提供“本项目不转包、不分包”的承诺，格式自拟。</w:t>
      </w:r>
    </w:p>
    <w:p>
      <w:pPr>
        <w:rPr>
          <w:rFonts w:ascii="宋体" w:hAnsi="宋体" w:cs="仿宋_GB2312"/>
          <w:kern w:val="0"/>
          <w:sz w:val="24"/>
        </w:rPr>
      </w:pPr>
    </w:p>
    <w:p>
      <w:pPr>
        <w:widowControl/>
        <w:jc w:val="left"/>
      </w:pPr>
      <w:r>
        <w:br w:type="page"/>
      </w:r>
    </w:p>
    <w:p>
      <w:pPr>
        <w:sectPr>
          <w:headerReference r:id="rId5" w:type="default"/>
          <w:footerReference r:id="rId6" w:type="default"/>
          <w:pgSz w:w="11906" w:h="16838"/>
          <w:pgMar w:top="1247" w:right="1247" w:bottom="1247" w:left="1701" w:header="851" w:footer="992" w:gutter="0"/>
          <w:cols w:space="720" w:num="1"/>
          <w:docGrid w:linePitch="312" w:charSpace="0"/>
        </w:sectPr>
      </w:pPr>
    </w:p>
    <w:bookmarkEnd w:id="241"/>
    <w:p>
      <w:pPr>
        <w:pStyle w:val="420"/>
        <w:numPr>
          <w:ilvl w:val="0"/>
          <w:numId w:val="25"/>
        </w:numPr>
        <w:spacing w:line="360" w:lineRule="auto"/>
        <w:ind w:firstLineChars="0"/>
        <w:outlineLvl w:val="1"/>
        <w:rPr>
          <w:b/>
          <w:sz w:val="24"/>
        </w:rPr>
      </w:pPr>
      <w:bookmarkStart w:id="260" w:name="_Toc61594832"/>
      <w:r>
        <w:rPr>
          <w:b/>
          <w:sz w:val="24"/>
        </w:rPr>
        <w:t>供应商业绩</w:t>
      </w:r>
      <w:r>
        <w:rPr>
          <w:rFonts w:hint="eastAsia"/>
          <w:b/>
          <w:sz w:val="24"/>
        </w:rPr>
        <w:t>一览</w:t>
      </w:r>
      <w:r>
        <w:rPr>
          <w:b/>
          <w:sz w:val="24"/>
        </w:rPr>
        <w:t>表</w:t>
      </w:r>
      <w:bookmarkEnd w:id="260"/>
    </w:p>
    <w:p/>
    <w:tbl>
      <w:tblPr>
        <w:tblStyle w:val="73"/>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jc w:val="center"/>
              <w:rPr>
                <w:rFonts w:ascii="宋体" w:hAnsi="宋体"/>
                <w:sz w:val="24"/>
              </w:rPr>
            </w:pPr>
            <w:r>
              <w:rPr>
                <w:rFonts w:hint="eastAsia" w:ascii="宋体" w:hAnsi="宋体"/>
                <w:sz w:val="24"/>
              </w:rPr>
              <w:t>年份</w:t>
            </w:r>
          </w:p>
        </w:tc>
        <w:tc>
          <w:tcPr>
            <w:tcW w:w="2271" w:type="dxa"/>
            <w:vAlign w:val="center"/>
          </w:tcPr>
          <w:p>
            <w:pPr>
              <w:jc w:val="center"/>
              <w:rPr>
                <w:rFonts w:ascii="宋体" w:hAnsi="宋体"/>
                <w:sz w:val="24"/>
              </w:rPr>
            </w:pPr>
            <w:r>
              <w:rPr>
                <w:rFonts w:hint="eastAsia" w:ascii="宋体" w:hAnsi="宋体"/>
                <w:sz w:val="24"/>
              </w:rPr>
              <w:t>项目</w:t>
            </w:r>
            <w:r>
              <w:rPr>
                <w:rFonts w:ascii="宋体" w:hAnsi="宋体"/>
                <w:sz w:val="24"/>
              </w:rPr>
              <w:t>名称</w:t>
            </w:r>
          </w:p>
        </w:tc>
        <w:tc>
          <w:tcPr>
            <w:tcW w:w="2646" w:type="dxa"/>
            <w:vAlign w:val="center"/>
          </w:tcPr>
          <w:p>
            <w:pPr>
              <w:jc w:val="center"/>
              <w:rPr>
                <w:rFonts w:ascii="宋体" w:hAnsi="宋体"/>
                <w:sz w:val="24"/>
              </w:rPr>
            </w:pPr>
            <w:r>
              <w:rPr>
                <w:rFonts w:hint="eastAsia" w:ascii="宋体" w:hAnsi="宋体"/>
                <w:sz w:val="24"/>
              </w:rPr>
              <w:t>采购内容</w:t>
            </w:r>
          </w:p>
        </w:tc>
        <w:tc>
          <w:tcPr>
            <w:tcW w:w="1454" w:type="dxa"/>
            <w:vAlign w:val="center"/>
          </w:tcPr>
          <w:p>
            <w:pPr>
              <w:jc w:val="center"/>
              <w:rPr>
                <w:rFonts w:ascii="宋体" w:hAnsi="宋体"/>
                <w:sz w:val="24"/>
              </w:rPr>
            </w:pPr>
            <w:r>
              <w:rPr>
                <w:rFonts w:hint="eastAsia" w:ascii="宋体" w:hAnsi="宋体"/>
                <w:sz w:val="24"/>
              </w:rPr>
              <w:t>合同总价</w:t>
            </w:r>
          </w:p>
        </w:tc>
        <w:tc>
          <w:tcPr>
            <w:tcW w:w="2234" w:type="dxa"/>
            <w:vAlign w:val="center"/>
          </w:tcPr>
          <w:p>
            <w:pPr>
              <w:jc w:val="center"/>
              <w:rPr>
                <w:rFonts w:ascii="宋体" w:hAnsi="宋体"/>
                <w:sz w:val="24"/>
              </w:rPr>
            </w:pPr>
            <w:r>
              <w:rPr>
                <w:rFonts w:hint="eastAsia" w:ascii="宋体" w:hAnsi="宋体"/>
                <w:sz w:val="24"/>
              </w:rPr>
              <w:t>使用单位名称</w:t>
            </w:r>
          </w:p>
        </w:tc>
        <w:tc>
          <w:tcPr>
            <w:tcW w:w="2104" w:type="dxa"/>
            <w:vAlign w:val="center"/>
          </w:tcPr>
          <w:p>
            <w:pPr>
              <w:jc w:val="center"/>
              <w:rPr>
                <w:rFonts w:ascii="宋体" w:hAnsi="宋体"/>
                <w:sz w:val="24"/>
              </w:rPr>
            </w:pPr>
            <w:r>
              <w:rPr>
                <w:rFonts w:hint="eastAsia" w:ascii="宋体" w:hAnsi="宋体"/>
                <w:sz w:val="24"/>
              </w:rPr>
              <w:t>使用单位联系人及电话</w:t>
            </w:r>
          </w:p>
        </w:tc>
        <w:tc>
          <w:tcPr>
            <w:tcW w:w="1245" w:type="dxa"/>
            <w:vAlign w:val="center"/>
          </w:tcPr>
          <w:p>
            <w:pPr>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r>
              <w:rPr>
                <w:rFonts w:hint="eastAsia" w:ascii="宋体" w:hAnsi="宋体"/>
                <w:sz w:val="24"/>
              </w:rPr>
              <w:t>20  年</w:t>
            </w: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jc w:val="center"/>
              <w:rPr>
                <w:rFonts w:ascii="宋体" w:hAnsi="宋体"/>
                <w:sz w:val="24"/>
              </w:rPr>
            </w:pPr>
          </w:p>
        </w:tc>
        <w:tc>
          <w:tcPr>
            <w:tcW w:w="2271" w:type="dxa"/>
            <w:vAlign w:val="center"/>
          </w:tcPr>
          <w:p>
            <w:pPr>
              <w:jc w:val="center"/>
              <w:rPr>
                <w:rFonts w:ascii="宋体" w:hAnsi="宋体"/>
                <w:sz w:val="24"/>
              </w:rPr>
            </w:pPr>
          </w:p>
        </w:tc>
        <w:tc>
          <w:tcPr>
            <w:tcW w:w="2646" w:type="dxa"/>
            <w:vAlign w:val="center"/>
          </w:tcPr>
          <w:p>
            <w:pPr>
              <w:jc w:val="center"/>
              <w:rPr>
                <w:rFonts w:ascii="宋体" w:hAnsi="宋体"/>
                <w:sz w:val="24"/>
              </w:rPr>
            </w:pPr>
          </w:p>
        </w:tc>
        <w:tc>
          <w:tcPr>
            <w:tcW w:w="1454" w:type="dxa"/>
            <w:vAlign w:val="center"/>
          </w:tcPr>
          <w:p>
            <w:pPr>
              <w:jc w:val="center"/>
              <w:rPr>
                <w:rFonts w:ascii="宋体" w:hAnsi="宋体"/>
                <w:sz w:val="24"/>
              </w:rPr>
            </w:pPr>
          </w:p>
        </w:tc>
        <w:tc>
          <w:tcPr>
            <w:tcW w:w="2234" w:type="dxa"/>
            <w:vAlign w:val="center"/>
          </w:tcPr>
          <w:p>
            <w:pPr>
              <w:jc w:val="center"/>
              <w:rPr>
                <w:rFonts w:ascii="宋体" w:hAnsi="宋体"/>
                <w:sz w:val="24"/>
              </w:rPr>
            </w:pPr>
          </w:p>
        </w:tc>
        <w:tc>
          <w:tcPr>
            <w:tcW w:w="2104" w:type="dxa"/>
            <w:vAlign w:val="center"/>
          </w:tcPr>
          <w:p>
            <w:pPr>
              <w:jc w:val="center"/>
              <w:rPr>
                <w:rFonts w:ascii="宋体" w:hAnsi="宋体"/>
                <w:sz w:val="24"/>
              </w:rPr>
            </w:pPr>
          </w:p>
        </w:tc>
        <w:tc>
          <w:tcPr>
            <w:tcW w:w="1245" w:type="dxa"/>
            <w:vAlign w:val="center"/>
          </w:tcPr>
          <w:p>
            <w:pPr>
              <w:jc w:val="center"/>
              <w:rPr>
                <w:rFonts w:ascii="宋体" w:hAnsi="宋体"/>
                <w:sz w:val="24"/>
              </w:rPr>
            </w:pPr>
          </w:p>
        </w:tc>
      </w:tr>
    </w:tbl>
    <w:p>
      <w:pPr>
        <w:autoSpaceDE w:val="0"/>
        <w:autoSpaceDN w:val="0"/>
        <w:ind w:left="700" w:hanging="700" w:hangingChars="332"/>
        <w:rPr>
          <w:rFonts w:ascii="宋体" w:hAnsi="宋体"/>
          <w:sz w:val="24"/>
        </w:rPr>
      </w:pPr>
      <w:r>
        <w:rPr>
          <w:rFonts w:hAnsi="宋体"/>
          <w:b/>
          <w:szCs w:val="21"/>
        </w:rPr>
        <w:t>注：</w:t>
      </w:r>
    </w:p>
    <w:p>
      <w:pPr>
        <w:numPr>
          <w:ilvl w:val="0"/>
          <w:numId w:val="26"/>
        </w:numPr>
        <w:autoSpaceDE w:val="0"/>
        <w:autoSpaceDN w:val="0"/>
        <w:adjustRightInd w:val="0"/>
        <w:spacing w:line="360" w:lineRule="auto"/>
        <w:rPr>
          <w:rFonts w:hAnsi="宋体"/>
          <w:szCs w:val="21"/>
        </w:rPr>
      </w:pPr>
      <w:r>
        <w:rPr>
          <w:rFonts w:hint="eastAsia" w:hAnsi="宋体"/>
          <w:szCs w:val="21"/>
        </w:rPr>
        <w:t>供应商</w:t>
      </w:r>
      <w:r>
        <w:rPr>
          <w:rFonts w:hAnsi="宋体"/>
          <w:szCs w:val="21"/>
        </w:rPr>
        <w:t>须提供</w:t>
      </w:r>
      <w:r>
        <w:rPr>
          <w:rFonts w:hint="eastAsia" w:hAnsi="宋体"/>
          <w:szCs w:val="21"/>
        </w:rPr>
        <w:t>201</w:t>
      </w:r>
      <w:r>
        <w:rPr>
          <w:rFonts w:hAnsi="宋体"/>
          <w:szCs w:val="21"/>
        </w:rPr>
        <w:t>8</w:t>
      </w:r>
      <w:r>
        <w:rPr>
          <w:rFonts w:hint="eastAsia" w:hAnsi="宋体"/>
          <w:szCs w:val="21"/>
        </w:rPr>
        <w:t>年</w:t>
      </w:r>
      <w:r>
        <w:rPr>
          <w:rFonts w:hAnsi="宋体"/>
          <w:szCs w:val="21"/>
        </w:rPr>
        <w:t>1</w:t>
      </w:r>
      <w:r>
        <w:rPr>
          <w:rFonts w:hint="eastAsia" w:hAnsi="宋体"/>
          <w:szCs w:val="21"/>
        </w:rPr>
        <w:t>月1日以来（以合同生效时间为准）同类类似业绩。</w:t>
      </w:r>
    </w:p>
    <w:p>
      <w:pPr>
        <w:numPr>
          <w:ilvl w:val="0"/>
          <w:numId w:val="26"/>
        </w:numPr>
        <w:autoSpaceDE w:val="0"/>
        <w:autoSpaceDN w:val="0"/>
        <w:adjustRightInd w:val="0"/>
        <w:spacing w:line="360" w:lineRule="auto"/>
        <w:rPr>
          <w:rFonts w:hAnsi="宋体"/>
          <w:szCs w:val="21"/>
        </w:rPr>
      </w:pPr>
      <w:r>
        <w:rPr>
          <w:rFonts w:hint="eastAsia" w:hAnsi="宋体"/>
          <w:szCs w:val="21"/>
        </w:rPr>
        <w:t>每个业绩都必须提供合同关键页（关键页包括能够获知甲乙双方法人名称、合同标的及签字盖章页）复印件并加盖公章。</w:t>
      </w:r>
    </w:p>
    <w:p>
      <w:pPr>
        <w:numPr>
          <w:ilvl w:val="0"/>
          <w:numId w:val="26"/>
        </w:numPr>
        <w:autoSpaceDE w:val="0"/>
        <w:autoSpaceDN w:val="0"/>
        <w:adjustRightInd w:val="0"/>
        <w:spacing w:line="360" w:lineRule="auto"/>
        <w:rPr>
          <w:szCs w:val="21"/>
        </w:rPr>
      </w:pPr>
      <w:r>
        <w:rPr>
          <w:szCs w:val="21"/>
        </w:rPr>
        <w:t>正在执行的</w:t>
      </w:r>
      <w:r>
        <w:rPr>
          <w:rFonts w:hint="eastAsia" w:hAnsi="宋体"/>
          <w:szCs w:val="21"/>
        </w:rPr>
        <w:t>类似业绩需标明执行状态，</w:t>
      </w:r>
      <w:r>
        <w:rPr>
          <w:rFonts w:hint="eastAsia"/>
          <w:szCs w:val="21"/>
        </w:rPr>
        <w:t>供应商需在备注栏填写合同执行的状态。</w:t>
      </w:r>
    </w:p>
    <w:p>
      <w:pPr>
        <w:spacing w:before="120" w:beforeLines="50"/>
        <w:ind w:left="-103" w:leftChars="-49" w:firstLine="119" w:firstLineChars="57"/>
      </w:pPr>
    </w:p>
    <w:p>
      <w:pPr>
        <w:spacing w:before="120" w:beforeLines="50"/>
        <w:ind w:left="-103" w:leftChars="-49" w:firstLine="119" w:firstLineChars="57"/>
      </w:pPr>
      <w:r>
        <w:rPr>
          <w:rFonts w:hint="eastAsia"/>
        </w:rPr>
        <w:t>供应商：（公章）</w:t>
      </w:r>
    </w:p>
    <w:p>
      <w:pPr>
        <w:pStyle w:val="56"/>
        <w:spacing w:before="120" w:line="240" w:lineRule="auto"/>
        <w:rPr>
          <w:rFonts w:hAnsi="宋体"/>
          <w:sz w:val="21"/>
          <w:szCs w:val="21"/>
        </w:rPr>
      </w:pPr>
      <w:r>
        <w:rPr>
          <w:rFonts w:hAnsi="宋体"/>
          <w:sz w:val="21"/>
          <w:szCs w:val="21"/>
        </w:rPr>
        <w:t>法定代表人或</w:t>
      </w:r>
      <w:r>
        <w:rPr>
          <w:rFonts w:hint="eastAsia" w:hAnsi="宋体"/>
          <w:sz w:val="21"/>
          <w:szCs w:val="21"/>
        </w:rPr>
        <w:t>其</w:t>
      </w:r>
      <w:r>
        <w:rPr>
          <w:rFonts w:hAnsi="宋体"/>
          <w:sz w:val="21"/>
          <w:szCs w:val="21"/>
        </w:rPr>
        <w:t>授权代表：（</w:t>
      </w:r>
      <w:r>
        <w:rPr>
          <w:rFonts w:hint="eastAsia" w:hAnsi="宋体"/>
          <w:sz w:val="21"/>
          <w:szCs w:val="21"/>
        </w:rPr>
        <w:t>签字或加盖人名章</w:t>
      </w:r>
      <w:r>
        <w:rPr>
          <w:rFonts w:hAnsi="宋体"/>
          <w:sz w:val="21"/>
          <w:szCs w:val="21"/>
        </w:rPr>
        <w:t>）</w:t>
      </w:r>
    </w:p>
    <w:p>
      <w:pPr>
        <w:pStyle w:val="56"/>
        <w:spacing w:before="120" w:line="240" w:lineRule="auto"/>
        <w:rPr>
          <w:rFonts w:hAnsi="宋体"/>
          <w:sz w:val="21"/>
          <w:szCs w:val="21"/>
        </w:rPr>
      </w:pPr>
    </w:p>
    <w:p>
      <w:pPr>
        <w:rPr>
          <w:sz w:val="24"/>
        </w:rPr>
      </w:pPr>
      <w:r>
        <w:rPr>
          <w:rFonts w:hAnsi="宋体"/>
          <w:szCs w:val="21"/>
        </w:rPr>
        <w:t>日期：年</w:t>
      </w:r>
      <w:r>
        <w:rPr>
          <w:rFonts w:hint="eastAsia" w:hAnsi="宋体"/>
          <w:szCs w:val="21"/>
        </w:rPr>
        <w:t xml:space="preserve"> </w:t>
      </w:r>
      <w:r>
        <w:rPr>
          <w:rFonts w:hAnsi="宋体"/>
          <w:szCs w:val="21"/>
        </w:rPr>
        <w:t>月</w:t>
      </w:r>
      <w:r>
        <w:rPr>
          <w:rFonts w:hint="eastAsia" w:hAnsi="宋体"/>
          <w:szCs w:val="21"/>
        </w:rPr>
        <w:t xml:space="preserve"> </w:t>
      </w:r>
      <w:r>
        <w:rPr>
          <w:rFonts w:hAnsi="宋体"/>
          <w:szCs w:val="21"/>
        </w:rPr>
        <w:t>日</w:t>
      </w:r>
    </w:p>
    <w:p>
      <w:pPr>
        <w:pStyle w:val="56"/>
        <w:spacing w:before="120"/>
        <w:rPr>
          <w:rFonts w:hAnsi="宋体"/>
          <w:sz w:val="21"/>
          <w:szCs w:val="21"/>
        </w:rPr>
      </w:pPr>
    </w:p>
    <w:p>
      <w:pPr>
        <w:spacing w:before="120" w:beforeLines="50"/>
        <w:ind w:left="-84" w:leftChars="-40" w:firstLine="525" w:firstLineChars="250"/>
        <w:sectPr>
          <w:headerReference r:id="rId7" w:type="default"/>
          <w:footerReference r:id="rId8" w:type="default"/>
          <w:pgSz w:w="16838" w:h="11906" w:orient="landscape"/>
          <w:pgMar w:top="1701" w:right="1247" w:bottom="1247" w:left="1247" w:header="851" w:footer="992" w:gutter="0"/>
          <w:cols w:space="720" w:num="1"/>
          <w:docGrid w:linePitch="312" w:charSpace="0"/>
        </w:sectPr>
      </w:pPr>
    </w:p>
    <w:p>
      <w:pPr>
        <w:pStyle w:val="39"/>
        <w:snapToGrid w:val="0"/>
        <w:spacing w:before="156" w:beforeLines="50"/>
        <w:jc w:val="center"/>
        <w:rPr>
          <w:rFonts w:hAnsi="宋体" w:cs="宋体"/>
          <w:sz w:val="24"/>
          <w:szCs w:val="24"/>
        </w:rPr>
      </w:pPr>
    </w:p>
    <w:p>
      <w:pPr>
        <w:spacing w:line="360" w:lineRule="auto"/>
        <w:jc w:val="left"/>
        <w:outlineLvl w:val="1"/>
        <w:rPr>
          <w:b/>
          <w:sz w:val="24"/>
        </w:rPr>
      </w:pPr>
      <w:bookmarkStart w:id="261" w:name="_Toc61594833"/>
      <w:r>
        <w:rPr>
          <w:rFonts w:hint="eastAsia"/>
          <w:b/>
          <w:sz w:val="24"/>
        </w:rPr>
        <w:t>附件1</w:t>
      </w:r>
      <w:r>
        <w:rPr>
          <w:b/>
          <w:sz w:val="24"/>
        </w:rPr>
        <w:t xml:space="preserve">0  </w:t>
      </w:r>
      <w:r>
        <w:rPr>
          <w:rFonts w:hint="eastAsia"/>
          <w:b/>
          <w:sz w:val="24"/>
        </w:rPr>
        <w:t>小微企业、监狱企业、残疾人福利单位的声明函或证明材料</w:t>
      </w:r>
      <w:bookmarkEnd w:id="261"/>
    </w:p>
    <w:p>
      <w:pPr>
        <w:pStyle w:val="39"/>
        <w:snapToGrid w:val="0"/>
        <w:spacing w:before="156" w:beforeLines="50"/>
        <w:rPr>
          <w:rFonts w:hAnsi="宋体" w:cs="宋体"/>
          <w:sz w:val="24"/>
        </w:rPr>
      </w:pPr>
    </w:p>
    <w:p>
      <w:pPr>
        <w:jc w:val="center"/>
        <w:outlineLvl w:val="2"/>
        <w:rPr>
          <w:rFonts w:hAnsi="宋体"/>
          <w:sz w:val="32"/>
          <w:szCs w:val="32"/>
        </w:rPr>
      </w:pPr>
      <w:bookmarkStart w:id="262" w:name="_Toc61594834"/>
      <w:r>
        <w:rPr>
          <w:rFonts w:hint="eastAsia" w:hAnsi="宋体"/>
          <w:sz w:val="32"/>
          <w:szCs w:val="32"/>
        </w:rPr>
        <w:t>（一）中小企业声明函</w:t>
      </w:r>
      <w:bookmarkEnd w:id="262"/>
    </w:p>
    <w:p>
      <w:pPr>
        <w:jc w:val="center"/>
        <w:rPr>
          <w:rFonts w:hAnsi="宋体"/>
          <w:sz w:val="24"/>
        </w:rPr>
      </w:pPr>
      <w:r>
        <w:rPr>
          <w:rFonts w:hint="eastAsia" w:hAnsi="宋体"/>
          <w:sz w:val="24"/>
        </w:rPr>
        <w:t>（注：符合中小企业划型标准的企业请提供本函，不符合的不提供本函）</w:t>
      </w:r>
    </w:p>
    <w:p>
      <w:pPr>
        <w:pStyle w:val="39"/>
        <w:snapToGrid w:val="0"/>
        <w:spacing w:before="156" w:beforeLines="50"/>
        <w:rPr>
          <w:rFonts w:hAnsi="宋体" w:cs="宋体"/>
          <w:sz w:val="24"/>
          <w:szCs w:val="24"/>
        </w:rPr>
      </w:pPr>
      <w:r>
        <w:rPr>
          <w:rFonts w:hint="eastAsia" w:hAnsi="宋体" w:cs="宋体"/>
          <w:sz w:val="24"/>
          <w:szCs w:val="24"/>
        </w:rPr>
        <w:t>本公司郑重声明，根据《政府采购促进中小企业发展暂行办法》（财库[2011]181号）的规定，本公司为______（请填写：中型、小型、微型）企业。即，本公司同时满足以下条件：</w:t>
      </w:r>
    </w:p>
    <w:p>
      <w:pPr>
        <w:pStyle w:val="39"/>
        <w:snapToGrid w:val="0"/>
        <w:spacing w:before="156" w:beforeLines="50"/>
        <w:rPr>
          <w:rFonts w:hAnsi="宋体" w:cs="宋体"/>
          <w:sz w:val="24"/>
          <w:szCs w:val="24"/>
        </w:rPr>
      </w:pPr>
      <w:r>
        <w:rPr>
          <w:rFonts w:hint="eastAsia" w:hAnsi="宋体" w:cs="宋体"/>
          <w:sz w:val="24"/>
          <w:szCs w:val="24"/>
        </w:rPr>
        <w:t>1.根据《工业和信息化部、国家统计局、国家发展和改革委员会、财政部关于印发中小企业划型标准规定的通知》（工信部联企业[2011]300号）规定的划分标准，本公司为______（请填写：中型、小型、微型）企业。</w:t>
      </w:r>
    </w:p>
    <w:p>
      <w:pPr>
        <w:pStyle w:val="39"/>
        <w:snapToGrid w:val="0"/>
        <w:spacing w:before="156" w:beforeLines="50"/>
        <w:rPr>
          <w:rFonts w:hAnsi="宋体" w:cs="宋体"/>
          <w:sz w:val="24"/>
          <w:szCs w:val="24"/>
        </w:rPr>
      </w:pPr>
      <w:r>
        <w:rPr>
          <w:rFonts w:hint="eastAsia" w:hAnsi="宋体" w:cs="宋体"/>
          <w:sz w:val="24"/>
          <w:szCs w:val="24"/>
        </w:rPr>
        <w:t>2.本公司参加______单位的______项目采购活动提供本企业制造的货物，并由本企业承担相关服务（包括但不限于安装、调试等）。</w:t>
      </w:r>
    </w:p>
    <w:p>
      <w:pPr>
        <w:pStyle w:val="39"/>
        <w:snapToGrid w:val="0"/>
        <w:spacing w:before="156" w:beforeLines="50"/>
        <w:rPr>
          <w:rFonts w:hAnsi="宋体" w:cs="宋体"/>
          <w:sz w:val="24"/>
          <w:szCs w:val="24"/>
        </w:rPr>
      </w:pPr>
      <w:r>
        <w:rPr>
          <w:rFonts w:hint="eastAsia" w:hAnsi="宋体" w:cs="宋体"/>
          <w:sz w:val="24"/>
          <w:szCs w:val="24"/>
        </w:rPr>
        <w:t>本公司对上述声明的真实性负责。如有虚假，将依法承担相应责任。</w:t>
      </w: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r>
        <w:rPr>
          <w:rFonts w:hint="eastAsia" w:hAnsi="宋体" w:cs="宋体"/>
          <w:sz w:val="24"/>
          <w:szCs w:val="24"/>
        </w:rPr>
        <w:t>企业名称（盖章）：　</w:t>
      </w:r>
    </w:p>
    <w:p>
      <w:pPr>
        <w:widowControl/>
        <w:jc w:val="left"/>
        <w:rPr>
          <w:rFonts w:hAnsi="宋体" w:cs="宋体"/>
          <w:sz w:val="24"/>
        </w:rPr>
      </w:pPr>
      <w:r>
        <w:rPr>
          <w:rFonts w:hint="eastAsia" w:hAnsi="宋体" w:cs="宋体"/>
          <w:sz w:val="24"/>
        </w:rPr>
        <w:t>日期：</w:t>
      </w:r>
    </w:p>
    <w:p>
      <w:pPr>
        <w:widowControl/>
        <w:jc w:val="left"/>
        <w:rPr>
          <w:rFonts w:ascii="宋体" w:hAnsi="宋体" w:cs="宋体"/>
          <w:sz w:val="24"/>
        </w:rPr>
      </w:pPr>
      <w:r>
        <w:rPr>
          <w:rFonts w:hAnsi="宋体" w:cs="宋体"/>
          <w:sz w:val="24"/>
        </w:rPr>
        <w:br w:type="page"/>
      </w:r>
    </w:p>
    <w:p>
      <w:pPr>
        <w:pStyle w:val="39"/>
        <w:snapToGrid w:val="0"/>
        <w:spacing w:before="156" w:beforeLines="50"/>
        <w:rPr>
          <w:rFonts w:hAnsi="宋体" w:cs="宋体"/>
          <w:sz w:val="24"/>
          <w:szCs w:val="24"/>
        </w:rPr>
      </w:pPr>
    </w:p>
    <w:p>
      <w:pPr>
        <w:jc w:val="center"/>
        <w:outlineLvl w:val="2"/>
        <w:rPr>
          <w:rFonts w:hAnsi="宋体"/>
          <w:sz w:val="32"/>
          <w:szCs w:val="32"/>
        </w:rPr>
      </w:pPr>
      <w:bookmarkStart w:id="263" w:name="_Toc61594835"/>
      <w:r>
        <w:rPr>
          <w:rFonts w:hint="eastAsia" w:hAnsi="宋体"/>
          <w:sz w:val="32"/>
          <w:szCs w:val="32"/>
        </w:rPr>
        <w:t>（二）监狱企业证明</w:t>
      </w:r>
      <w:bookmarkEnd w:id="263"/>
    </w:p>
    <w:p>
      <w:pPr>
        <w:jc w:val="center"/>
        <w:rPr>
          <w:sz w:val="24"/>
        </w:rPr>
      </w:pPr>
      <w:r>
        <w:rPr>
          <w:rFonts w:hint="eastAsia"/>
          <w:sz w:val="24"/>
        </w:rPr>
        <w:t>（注：符合条件的监狱企业请提供本函，不符合的不提供本函）</w:t>
      </w:r>
    </w:p>
    <w:p>
      <w:pPr>
        <w:pStyle w:val="39"/>
        <w:snapToGrid w:val="0"/>
        <w:spacing w:before="156" w:beforeLines="50"/>
        <w:rPr>
          <w:rFonts w:hAnsi="宋体" w:cs="宋体"/>
          <w:sz w:val="24"/>
          <w:szCs w:val="24"/>
        </w:rPr>
      </w:pPr>
    </w:p>
    <w:p>
      <w:pPr>
        <w:pStyle w:val="39"/>
        <w:snapToGrid w:val="0"/>
        <w:spacing w:before="156" w:beforeLines="50"/>
        <w:rPr>
          <w:rFonts w:hAnsi="宋体" w:cs="宋体"/>
          <w:sz w:val="24"/>
          <w:szCs w:val="24"/>
        </w:rPr>
      </w:pPr>
      <w:r>
        <w:rPr>
          <w:rFonts w:hint="eastAsia" w:hAnsi="宋体" w:cs="宋体"/>
          <w:sz w:val="24"/>
          <w:szCs w:val="24"/>
        </w:rPr>
        <w:t>省级以上监狱管理局、戒毒管理局（含新疆生产建设兵团）出具的属于监狱企业的证明文件。</w:t>
      </w:r>
    </w:p>
    <w:p>
      <w:pPr>
        <w:pStyle w:val="39"/>
        <w:snapToGrid w:val="0"/>
        <w:spacing w:before="156" w:beforeLines="50"/>
        <w:rPr>
          <w:rFonts w:hAnsi="宋体" w:cs="宋体"/>
          <w:sz w:val="24"/>
          <w:szCs w:val="24"/>
        </w:rPr>
      </w:pPr>
    </w:p>
    <w:p>
      <w:pPr>
        <w:jc w:val="center"/>
        <w:outlineLvl w:val="2"/>
        <w:rPr>
          <w:rFonts w:hAnsi="宋体"/>
          <w:sz w:val="32"/>
          <w:szCs w:val="32"/>
        </w:rPr>
      </w:pPr>
      <w:r>
        <w:rPr>
          <w:rFonts w:hAnsi="宋体" w:cs="宋体"/>
          <w:sz w:val="24"/>
        </w:rPr>
        <w:br w:type="page"/>
      </w:r>
      <w:bookmarkStart w:id="264" w:name="_Toc61594836"/>
      <w:r>
        <w:rPr>
          <w:rFonts w:hint="eastAsia" w:hAnsi="宋体"/>
          <w:sz w:val="32"/>
          <w:szCs w:val="32"/>
        </w:rPr>
        <w:t>（三）残疾人福利性单位声明函</w:t>
      </w:r>
      <w:bookmarkEnd w:id="264"/>
    </w:p>
    <w:p>
      <w:pPr>
        <w:jc w:val="center"/>
        <w:rPr>
          <w:sz w:val="24"/>
        </w:rPr>
      </w:pPr>
      <w:r>
        <w:rPr>
          <w:rFonts w:hint="eastAsia"/>
          <w:sz w:val="24"/>
        </w:rPr>
        <w:t>（注：符合条件的残疾人福利性单位请提供本函，不符合的不提供本函）</w:t>
      </w:r>
    </w:p>
    <w:p>
      <w:pPr>
        <w:rPr>
          <w:sz w:val="24"/>
        </w:rPr>
      </w:pPr>
    </w:p>
    <w:p>
      <w:pPr>
        <w:rPr>
          <w:sz w:val="24"/>
        </w:rPr>
      </w:pPr>
    </w:p>
    <w:p>
      <w:pPr>
        <w:rPr>
          <w:sz w:val="24"/>
        </w:rPr>
      </w:pPr>
      <w:r>
        <w:rPr>
          <w:rFonts w:hint="eastAsia"/>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sz w:val="24"/>
        </w:rPr>
      </w:pPr>
    </w:p>
    <w:p>
      <w:pPr>
        <w:rPr>
          <w:sz w:val="24"/>
        </w:rPr>
      </w:pPr>
      <w:r>
        <w:rPr>
          <w:rFonts w:hint="eastAsia"/>
          <w:sz w:val="24"/>
        </w:rPr>
        <w:t>本单位对上述声明的真实性负责。如有虚假，将依法承担相应责任。</w:t>
      </w:r>
    </w:p>
    <w:p>
      <w:pPr>
        <w:rPr>
          <w:sz w:val="24"/>
        </w:rPr>
      </w:pPr>
    </w:p>
    <w:p>
      <w:pPr>
        <w:rPr>
          <w:sz w:val="24"/>
        </w:rPr>
      </w:pPr>
    </w:p>
    <w:p>
      <w:pPr>
        <w:rPr>
          <w:sz w:val="24"/>
        </w:rPr>
      </w:pPr>
    </w:p>
    <w:p>
      <w:pPr>
        <w:rPr>
          <w:sz w:val="24"/>
        </w:rPr>
      </w:pPr>
    </w:p>
    <w:p>
      <w:pPr>
        <w:rPr>
          <w:sz w:val="24"/>
        </w:rPr>
      </w:pPr>
    </w:p>
    <w:p>
      <w:pPr>
        <w:rPr>
          <w:sz w:val="24"/>
        </w:rPr>
      </w:pPr>
      <w:r>
        <w:rPr>
          <w:rFonts w:hint="eastAsia"/>
          <w:sz w:val="24"/>
        </w:rPr>
        <w:t>单位名称（盖章）：</w:t>
      </w:r>
    </w:p>
    <w:p>
      <w:pPr>
        <w:rPr>
          <w:sz w:val="24"/>
        </w:rPr>
      </w:pPr>
    </w:p>
    <w:p>
      <w:pPr>
        <w:rPr>
          <w:sz w:val="24"/>
        </w:rPr>
      </w:pPr>
      <w:r>
        <w:rPr>
          <w:rFonts w:hint="eastAsia"/>
          <w:sz w:val="24"/>
        </w:rPr>
        <w:t>日期：</w:t>
      </w:r>
    </w:p>
    <w:p>
      <w:pPr>
        <w:rPr>
          <w:sz w:val="24"/>
        </w:rPr>
      </w:pPr>
    </w:p>
    <w:p>
      <w:pPr>
        <w:pStyle w:val="39"/>
        <w:snapToGrid w:val="0"/>
        <w:spacing w:before="156" w:beforeLines="50"/>
        <w:jc w:val="center"/>
        <w:rPr>
          <w:rFonts w:ascii="仿宋_GB2312" w:hAnsi="宋体" w:eastAsia="仿宋_GB2312"/>
          <w:b/>
          <w:sz w:val="24"/>
        </w:rPr>
      </w:pPr>
    </w:p>
    <w:p>
      <w:pPr>
        <w:widowControl/>
        <w:jc w:val="left"/>
        <w:rPr>
          <w:rFonts w:ascii="宋体" w:hAnsi="宋体" w:cs="宋体"/>
          <w:sz w:val="24"/>
        </w:rPr>
      </w:pPr>
      <w:r>
        <w:rPr>
          <w:rFonts w:ascii="宋体" w:hAnsi="宋体" w:cs="宋体"/>
          <w:sz w:val="24"/>
        </w:rPr>
        <w:br w:type="page"/>
      </w:r>
    </w:p>
    <w:p>
      <w:pPr>
        <w:spacing w:line="360" w:lineRule="auto"/>
        <w:outlineLvl w:val="1"/>
        <w:rPr>
          <w:b/>
          <w:sz w:val="24"/>
        </w:rPr>
      </w:pPr>
      <w:bookmarkStart w:id="265" w:name="_Toc61594837"/>
      <w:r>
        <w:rPr>
          <w:rFonts w:hint="eastAsia"/>
          <w:b/>
          <w:sz w:val="24"/>
        </w:rPr>
        <w:t>附件1</w:t>
      </w:r>
      <w:r>
        <w:rPr>
          <w:b/>
          <w:sz w:val="24"/>
        </w:rPr>
        <w:t>1  响应承诺书</w:t>
      </w:r>
      <w:bookmarkEnd w:id="265"/>
    </w:p>
    <w:p>
      <w:pPr>
        <w:rPr>
          <w:rFonts w:ascii="宋体" w:hAnsi="宋体"/>
          <w:szCs w:val="21"/>
        </w:rPr>
      </w:pPr>
    </w:p>
    <w:p>
      <w:pPr>
        <w:jc w:val="center"/>
        <w:rPr>
          <w:rFonts w:ascii="宋体" w:hAnsi="宋体"/>
          <w:sz w:val="32"/>
          <w:szCs w:val="32"/>
        </w:rPr>
      </w:pPr>
      <w:r>
        <w:rPr>
          <w:rFonts w:hint="eastAsia" w:ascii="宋体" w:hAnsi="宋体"/>
          <w:sz w:val="32"/>
          <w:szCs w:val="32"/>
        </w:rPr>
        <w:t>响应承诺书</w:t>
      </w:r>
    </w:p>
    <w:p>
      <w:pPr>
        <w:spacing w:line="360" w:lineRule="auto"/>
        <w:rPr>
          <w:rFonts w:ascii="宋体" w:hAnsi="宋体"/>
          <w:sz w:val="24"/>
        </w:rPr>
      </w:pPr>
      <w:r>
        <w:rPr>
          <w:rFonts w:ascii="宋体" w:hAnsi="宋体"/>
          <w:sz w:val="24"/>
        </w:rPr>
        <w:t>致：</w:t>
      </w:r>
    </w:p>
    <w:p>
      <w:pPr>
        <w:spacing w:line="360" w:lineRule="auto"/>
        <w:ind w:firstLine="480" w:firstLineChars="200"/>
        <w:rPr>
          <w:rFonts w:ascii="宋体" w:hAnsi="宋体"/>
          <w:sz w:val="24"/>
        </w:rPr>
      </w:pPr>
      <w:r>
        <w:rPr>
          <w:rFonts w:hint="eastAsia" w:ascii="宋体" w:hAnsi="宋体"/>
          <w:sz w:val="24"/>
        </w:rPr>
        <w:t>我方在此声明，我方以下事项进行承诺：</w:t>
      </w:r>
    </w:p>
    <w:p>
      <w:pPr>
        <w:spacing w:line="360" w:lineRule="auto"/>
        <w:ind w:firstLine="480" w:firstLineChars="200"/>
        <w:rPr>
          <w:rFonts w:ascii="宋体" w:hAnsi="宋体"/>
          <w:sz w:val="24"/>
        </w:rPr>
      </w:pPr>
      <w:r>
        <w:rPr>
          <w:rFonts w:hint="eastAsia" w:ascii="宋体" w:hAnsi="宋体"/>
          <w:sz w:val="24"/>
        </w:rPr>
        <w:t>（1） 在本次谈判中我公司无与其他供应商相互串通，或与采购人串通的行为；</w:t>
      </w:r>
    </w:p>
    <w:p>
      <w:pPr>
        <w:spacing w:line="360" w:lineRule="auto"/>
        <w:ind w:firstLine="480" w:firstLineChars="200"/>
        <w:rPr>
          <w:rFonts w:ascii="宋体" w:hAnsi="宋体"/>
          <w:sz w:val="24"/>
        </w:rPr>
      </w:pPr>
      <w:r>
        <w:rPr>
          <w:rFonts w:hint="eastAsia" w:ascii="宋体" w:hAnsi="宋体"/>
          <w:sz w:val="24"/>
        </w:rPr>
        <w:t>（2） 在本次谈判中我公司无向采购人或评审小组成员行贿的手段谋取成交的行为；</w:t>
      </w:r>
    </w:p>
    <w:p>
      <w:pPr>
        <w:spacing w:line="360" w:lineRule="auto"/>
        <w:ind w:firstLine="480" w:firstLineChars="200"/>
        <w:rPr>
          <w:rFonts w:ascii="宋体" w:hAnsi="宋体"/>
          <w:sz w:val="24"/>
        </w:rPr>
      </w:pPr>
      <w:r>
        <w:rPr>
          <w:rFonts w:hint="eastAsia" w:ascii="宋体" w:hAnsi="宋体"/>
          <w:sz w:val="24"/>
        </w:rPr>
        <w:t>（3） 在本次谈判中我公司无出借或借用资质行为、在响应文件中所附资料（业绩、项目负责人资料等）无弄虚作假；</w:t>
      </w:r>
    </w:p>
    <w:p>
      <w:pPr>
        <w:spacing w:line="360" w:lineRule="auto"/>
        <w:ind w:firstLine="480" w:firstLineChars="200"/>
        <w:rPr>
          <w:rFonts w:ascii="宋体" w:hAnsi="宋体"/>
          <w:sz w:val="24"/>
        </w:rPr>
      </w:pPr>
      <w:r>
        <w:rPr>
          <w:rFonts w:hint="eastAsia" w:ascii="宋体" w:hAnsi="宋体"/>
          <w:sz w:val="24"/>
        </w:rPr>
        <w:t>（4） 我公司没有处于被责令停产、停业、投标资格被取消状态；</w:t>
      </w:r>
    </w:p>
    <w:p>
      <w:pPr>
        <w:spacing w:line="360" w:lineRule="auto"/>
        <w:ind w:firstLine="480" w:firstLineChars="200"/>
        <w:rPr>
          <w:rFonts w:ascii="宋体" w:hAnsi="宋体"/>
          <w:sz w:val="24"/>
        </w:rPr>
      </w:pPr>
      <w:r>
        <w:rPr>
          <w:rFonts w:hint="eastAsia" w:ascii="宋体" w:hAnsi="宋体"/>
          <w:sz w:val="24"/>
        </w:rPr>
        <w:t>（5）我公司不采用非法手段获取证据进行质疑、投诉，在质疑、投诉过程中不提供虚假情况或进行恶意质疑、投诉。</w:t>
      </w:r>
    </w:p>
    <w:p>
      <w:pPr>
        <w:spacing w:line="360" w:lineRule="auto"/>
        <w:ind w:firstLine="480" w:firstLineChars="200"/>
        <w:rPr>
          <w:rFonts w:ascii="宋体" w:hAnsi="宋体"/>
          <w:sz w:val="24"/>
        </w:rPr>
      </w:pPr>
      <w:r>
        <w:rPr>
          <w:rFonts w:hint="eastAsia" w:ascii="宋体" w:hAnsi="宋体"/>
          <w:sz w:val="24"/>
        </w:rPr>
        <w:t>上述承诺内容如有不实，我公司愿意承担由此造成的一切法律责任，并承诺以谈判保证金赔偿给采购人造成的损失。</w:t>
      </w:r>
    </w:p>
    <w:p>
      <w:pPr>
        <w:spacing w:line="360" w:lineRule="auto"/>
        <w:ind w:firstLine="480" w:firstLineChars="200"/>
        <w:rPr>
          <w:rFonts w:ascii="宋体" w:hAnsi="宋体"/>
          <w:sz w:val="24"/>
        </w:rPr>
      </w:pPr>
      <w:r>
        <w:rPr>
          <w:rFonts w:hint="eastAsia" w:ascii="宋体" w:hAnsi="宋体"/>
          <w:sz w:val="24"/>
        </w:rPr>
        <w:t>特此承诺</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ascii="宋体" w:hAnsi="宋体"/>
          <w:sz w:val="24"/>
        </w:rPr>
        <w:t xml:space="preserve">供应商名称（公章）： </w:t>
      </w:r>
    </w:p>
    <w:p>
      <w:pPr>
        <w:spacing w:line="360" w:lineRule="auto"/>
        <w:ind w:firstLine="480" w:firstLineChars="200"/>
        <w:rPr>
          <w:rFonts w:ascii="宋体" w:hAnsi="宋体"/>
          <w:sz w:val="24"/>
        </w:rPr>
      </w:pPr>
      <w:r>
        <w:rPr>
          <w:rFonts w:ascii="宋体" w:hAnsi="宋体"/>
          <w:sz w:val="24"/>
        </w:rPr>
        <w:t>法定代表人或其授权代表（</w:t>
      </w:r>
      <w:r>
        <w:rPr>
          <w:rFonts w:hint="eastAsia" w:ascii="宋体" w:hAnsi="宋体"/>
          <w:sz w:val="24"/>
        </w:rPr>
        <w:t>签字或加盖人名章</w:t>
      </w:r>
      <w:r>
        <w:rPr>
          <w:rFonts w:ascii="宋体" w:hAnsi="宋体"/>
          <w:sz w:val="24"/>
        </w:rPr>
        <w:t>）：</w:t>
      </w:r>
    </w:p>
    <w:p>
      <w:pPr>
        <w:spacing w:line="360" w:lineRule="auto"/>
        <w:ind w:firstLine="480" w:firstLineChars="200"/>
        <w:rPr>
          <w:rFonts w:ascii="宋体" w:hAnsi="宋体"/>
          <w:sz w:val="24"/>
        </w:rPr>
      </w:pPr>
      <w:r>
        <w:rPr>
          <w:rFonts w:ascii="宋体" w:hAnsi="宋体"/>
          <w:sz w:val="24"/>
        </w:rPr>
        <w:t>日    期：     年   月    日</w:t>
      </w:r>
    </w:p>
    <w:p>
      <w:pPr>
        <w:widowControl/>
        <w:jc w:val="left"/>
        <w:rPr>
          <w:rFonts w:ascii="宋体" w:hAnsi="宋体" w:cs="宋体"/>
          <w:sz w:val="24"/>
        </w:rPr>
      </w:pPr>
    </w:p>
    <w:p>
      <w:pPr>
        <w:pStyle w:val="39"/>
        <w:snapToGrid w:val="0"/>
        <w:spacing w:before="156" w:beforeLines="50"/>
        <w:rPr>
          <w:rFonts w:hAnsi="宋体" w:cs="宋体"/>
          <w:sz w:val="24"/>
          <w:szCs w:val="24"/>
        </w:rPr>
      </w:pPr>
    </w:p>
    <w:p>
      <w:pPr>
        <w:widowControl/>
        <w:jc w:val="left"/>
        <w:rPr>
          <w:rFonts w:ascii="宋体" w:hAnsi="宋体"/>
          <w:sz w:val="24"/>
        </w:rPr>
      </w:pPr>
    </w:p>
    <w:p>
      <w:pPr>
        <w:adjustRightInd w:val="0"/>
        <w:spacing w:line="360" w:lineRule="atLeast"/>
        <w:jc w:val="left"/>
        <w:textAlignment w:val="baseline"/>
        <w:rPr>
          <w:b/>
          <w:sz w:val="30"/>
          <w:szCs w:val="30"/>
        </w:rPr>
      </w:pPr>
      <w:r>
        <w:rPr>
          <w:b/>
          <w:spacing w:val="20"/>
          <w:sz w:val="24"/>
        </w:rPr>
        <w:br w:type="page"/>
      </w:r>
    </w:p>
    <w:p>
      <w:pPr>
        <w:spacing w:line="360" w:lineRule="auto"/>
        <w:outlineLvl w:val="1"/>
        <w:rPr>
          <w:b/>
          <w:sz w:val="24"/>
        </w:rPr>
      </w:pPr>
      <w:bookmarkStart w:id="266" w:name="_Toc410631184"/>
      <w:bookmarkStart w:id="267" w:name="_Toc414445775"/>
      <w:bookmarkStart w:id="268" w:name="_Toc416103825"/>
      <w:bookmarkStart w:id="269" w:name="_Toc61594838"/>
      <w:r>
        <w:rPr>
          <w:rFonts w:hint="eastAsia"/>
          <w:b/>
          <w:sz w:val="24"/>
        </w:rPr>
        <w:t>附件1</w:t>
      </w:r>
      <w:r>
        <w:rPr>
          <w:b/>
          <w:sz w:val="24"/>
        </w:rPr>
        <w:t>2  技术偏</w:t>
      </w:r>
      <w:r>
        <w:rPr>
          <w:rFonts w:hint="eastAsia"/>
          <w:b/>
          <w:sz w:val="24"/>
        </w:rPr>
        <w:t>离</w:t>
      </w:r>
      <w:r>
        <w:rPr>
          <w:b/>
          <w:sz w:val="24"/>
        </w:rPr>
        <w:t>表</w:t>
      </w:r>
      <w:bookmarkEnd w:id="266"/>
      <w:bookmarkEnd w:id="267"/>
      <w:bookmarkEnd w:id="268"/>
      <w:bookmarkEnd w:id="269"/>
    </w:p>
    <w:p>
      <w:pPr>
        <w:spacing w:after="240"/>
        <w:ind w:hanging="119"/>
      </w:pPr>
    </w:p>
    <w:p>
      <w:pPr>
        <w:spacing w:after="240"/>
        <w:ind w:hanging="119"/>
      </w:pPr>
      <w:r>
        <w:t>供应商名称：</w:t>
      </w:r>
    </w:p>
    <w:tbl>
      <w:tblPr>
        <w:tblStyle w:val="73"/>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jc w:val="center"/>
            </w:pPr>
            <w:r>
              <w:t>谈判文件条目号</w:t>
            </w:r>
          </w:p>
        </w:tc>
        <w:tc>
          <w:tcPr>
            <w:tcW w:w="1932" w:type="dxa"/>
          </w:tcPr>
          <w:p>
            <w:pPr>
              <w:spacing w:line="400" w:lineRule="exact"/>
              <w:jc w:val="center"/>
            </w:pPr>
            <w:r>
              <w:t>技术条款要求</w:t>
            </w:r>
          </w:p>
        </w:tc>
        <w:tc>
          <w:tcPr>
            <w:tcW w:w="1236" w:type="dxa"/>
          </w:tcPr>
          <w:p>
            <w:pPr>
              <w:spacing w:line="400" w:lineRule="exact"/>
              <w:jc w:val="center"/>
            </w:pPr>
            <w:r>
              <w:rPr>
                <w:rFonts w:hint="eastAsia"/>
              </w:rPr>
              <w:t>完全</w:t>
            </w:r>
            <w:r>
              <w:t>响应</w:t>
            </w:r>
          </w:p>
        </w:tc>
        <w:tc>
          <w:tcPr>
            <w:tcW w:w="1236" w:type="dxa"/>
          </w:tcPr>
          <w:p>
            <w:pPr>
              <w:spacing w:line="400" w:lineRule="exact"/>
              <w:jc w:val="center"/>
            </w:pPr>
            <w:r>
              <w:rPr>
                <w:rFonts w:hint="eastAsia"/>
              </w:rPr>
              <w:t>有偏离</w:t>
            </w:r>
          </w:p>
        </w:tc>
        <w:tc>
          <w:tcPr>
            <w:tcW w:w="2394" w:type="dxa"/>
          </w:tcPr>
          <w:p>
            <w:pPr>
              <w:spacing w:line="400" w:lineRule="exact"/>
              <w:jc w:val="center"/>
            </w:pPr>
            <w:r>
              <w:t>偏离</w:t>
            </w:r>
            <w:r>
              <w:rPr>
                <w:rFonts w:hint="eastAsia"/>
              </w:rPr>
              <w:t>简述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268" w:type="dxa"/>
          </w:tcPr>
          <w:p>
            <w:pPr>
              <w:spacing w:line="400" w:lineRule="exact"/>
            </w:pPr>
          </w:p>
        </w:tc>
        <w:tc>
          <w:tcPr>
            <w:tcW w:w="1932" w:type="dxa"/>
          </w:tcPr>
          <w:p>
            <w:pPr>
              <w:spacing w:line="400" w:lineRule="exact"/>
              <w:rPr>
                <w:bCs/>
              </w:rPr>
            </w:pPr>
          </w:p>
        </w:tc>
        <w:tc>
          <w:tcPr>
            <w:tcW w:w="1236" w:type="dxa"/>
          </w:tcPr>
          <w:p>
            <w:pPr>
              <w:spacing w:line="400" w:lineRule="exact"/>
            </w:pPr>
          </w:p>
        </w:tc>
        <w:tc>
          <w:tcPr>
            <w:tcW w:w="1236" w:type="dxa"/>
          </w:tcPr>
          <w:p>
            <w:pPr>
              <w:spacing w:line="400" w:lineRule="exact"/>
            </w:pPr>
          </w:p>
        </w:tc>
        <w:tc>
          <w:tcPr>
            <w:tcW w:w="2394" w:type="dxa"/>
          </w:tcPr>
          <w:p>
            <w:pPr>
              <w:spacing w:line="400" w:lineRule="exact"/>
            </w:pPr>
          </w:p>
        </w:tc>
      </w:tr>
    </w:tbl>
    <w:p>
      <w:pPr>
        <w:spacing w:before="156" w:beforeLines="50" w:line="440" w:lineRule="exact"/>
        <w:ind w:left="-103" w:leftChars="-49" w:firstLine="15"/>
      </w:pPr>
      <w:r>
        <w:rPr>
          <w:rFonts w:hint="eastAsia"/>
        </w:rPr>
        <w:t>供应商：（公章）</w:t>
      </w:r>
    </w:p>
    <w:p>
      <w:pPr>
        <w:spacing w:before="156" w:beforeLines="50"/>
        <w:ind w:left="-103" w:leftChars="-49" w:firstLine="15"/>
      </w:pPr>
      <w:r>
        <w:t>法定代表人或其授权代表：（</w:t>
      </w:r>
      <w:r>
        <w:rPr>
          <w:rFonts w:hint="eastAsia"/>
        </w:rPr>
        <w:t>签字或加盖人名章</w:t>
      </w:r>
      <w:r>
        <w:t>）</w:t>
      </w:r>
    </w:p>
    <w:p>
      <w:pPr>
        <w:spacing w:before="156" w:beforeLines="50"/>
        <w:ind w:left="-103" w:leftChars="-49" w:firstLine="15"/>
      </w:pPr>
      <w:r>
        <w:t>日期：</w:t>
      </w:r>
    </w:p>
    <w:p>
      <w:pPr>
        <w:spacing w:line="360" w:lineRule="auto"/>
      </w:pPr>
    </w:p>
    <w:p>
      <w:pPr>
        <w:snapToGrid w:val="0"/>
        <w:spacing w:after="156" w:afterLines="50"/>
        <w:ind w:left="850" w:hanging="850" w:hangingChars="405"/>
      </w:pPr>
      <w:r>
        <w:t>注：</w:t>
      </w:r>
      <w:r>
        <w:rPr>
          <w:rFonts w:hint="eastAsia"/>
        </w:rPr>
        <w:t>1</w:t>
      </w:r>
      <w:r>
        <w:t>.</w:t>
      </w:r>
      <w:r>
        <w:rPr>
          <w:rFonts w:hint="eastAsia"/>
        </w:rPr>
        <w:tab/>
      </w:r>
      <w:r>
        <w:rPr>
          <w:rFonts w:hint="eastAsia"/>
        </w:rPr>
        <w:t>对完全响应的条目在本表相应列中标注“O”。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850" w:leftChars="203" w:hanging="424" w:hangingChars="202"/>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pPr>
        <w:tabs>
          <w:tab w:val="left" w:pos="1200"/>
        </w:tabs>
        <w:snapToGrid w:val="0"/>
        <w:spacing w:after="156" w:afterLines="50"/>
        <w:ind w:left="850" w:leftChars="203" w:hanging="424" w:hangingChars="202"/>
      </w:pPr>
      <w:r>
        <w:rPr>
          <w:rFonts w:hint="eastAsia"/>
        </w:rPr>
        <w:t>3</w:t>
      </w:r>
      <w:r>
        <w:rPr>
          <w:rFonts w:hint="eastAsia"/>
        </w:rPr>
        <w:tab/>
      </w:r>
      <w:r>
        <w:t>供应商须按照</w:t>
      </w:r>
      <w:r>
        <w:rPr>
          <w:rFonts w:hint="eastAsia"/>
        </w:rPr>
        <w:t>采购需求</w:t>
      </w:r>
      <w:r>
        <w:t>逐条完整填写响应表。如果未完整填写响应表的各项内容则视作供应商已经对谈判文件相关要求和内容完全理解并同意，其报价为在此基础上的完全价格。</w:t>
      </w:r>
    </w:p>
    <w:p>
      <w:pPr>
        <w:tabs>
          <w:tab w:val="left" w:pos="1200"/>
        </w:tabs>
        <w:snapToGrid w:val="0"/>
        <w:spacing w:after="156" w:afterLines="50"/>
        <w:ind w:left="850" w:leftChars="203" w:hanging="424" w:hangingChars="202"/>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成交供应商未在响应文件“响应表”中列出偏离说明，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pPr>
        <w:rPr>
          <w:b/>
          <w:sz w:val="32"/>
          <w:szCs w:val="32"/>
        </w:rPr>
      </w:pPr>
      <w:r>
        <w:rPr>
          <w:b/>
          <w:sz w:val="32"/>
          <w:szCs w:val="32"/>
        </w:rPr>
        <w:br w:type="page"/>
      </w:r>
    </w:p>
    <w:p>
      <w:pPr>
        <w:spacing w:line="360" w:lineRule="auto"/>
        <w:outlineLvl w:val="1"/>
        <w:rPr>
          <w:b/>
          <w:sz w:val="24"/>
        </w:rPr>
      </w:pPr>
      <w:bookmarkStart w:id="270" w:name="_Toc61594839"/>
      <w:bookmarkStart w:id="271" w:name="_Toc157759075"/>
      <w:r>
        <w:rPr>
          <w:rFonts w:hint="eastAsia"/>
          <w:b/>
          <w:sz w:val="24"/>
        </w:rPr>
        <w:t>附件1</w:t>
      </w:r>
      <w:r>
        <w:rPr>
          <w:b/>
          <w:sz w:val="24"/>
        </w:rPr>
        <w:t xml:space="preserve">3  </w:t>
      </w:r>
      <w:r>
        <w:rPr>
          <w:rFonts w:hint="eastAsia"/>
          <w:b/>
          <w:sz w:val="24"/>
        </w:rPr>
        <w:t>物资的技术规格、数量、服务标准、验收等要求的响应</w:t>
      </w:r>
      <w:bookmarkEnd w:id="270"/>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包括：</w:t>
      </w:r>
      <w:bookmarkEnd w:id="271"/>
      <w:r>
        <w:rPr>
          <w:rFonts w:hint="eastAsia" w:ascii="宋体" w:hAnsi="宋体" w:cs="黑体"/>
          <w:kern w:val="0"/>
          <w:sz w:val="24"/>
        </w:rPr>
        <w:t>培训方案、服务措施及标准等。</w:t>
      </w: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p>
    <w:p>
      <w:pPr>
        <w:spacing w:before="156" w:beforeLines="50" w:line="440" w:lineRule="exact"/>
        <w:ind w:left="-103" w:leftChars="-49" w:firstLine="1169" w:firstLineChars="557"/>
      </w:pPr>
      <w:r>
        <w:rPr>
          <w:rFonts w:hint="eastAsia"/>
        </w:rPr>
        <w:t>供应商：（公章）</w:t>
      </w:r>
    </w:p>
    <w:p>
      <w:pPr>
        <w:spacing w:before="156" w:beforeLines="50" w:line="440" w:lineRule="exact"/>
        <w:ind w:left="1105" w:leftChars="526" w:firstLine="15"/>
      </w:pPr>
      <w:r>
        <w:t>法定代表人或其授权代表：（</w:t>
      </w:r>
      <w:r>
        <w:rPr>
          <w:rFonts w:hint="eastAsia"/>
        </w:rPr>
        <w:t>签字或加盖人名章</w:t>
      </w:r>
      <w:r>
        <w:t>）</w:t>
      </w:r>
    </w:p>
    <w:p>
      <w:pPr>
        <w:spacing w:before="156" w:beforeLines="50" w:line="440" w:lineRule="exact"/>
        <w:ind w:left="1105" w:leftChars="526" w:firstLine="15"/>
      </w:pPr>
      <w:r>
        <w:t>日期：</w:t>
      </w:r>
    </w:p>
    <w:p>
      <w:pPr>
        <w:spacing w:before="156" w:beforeLines="50" w:line="440" w:lineRule="exact"/>
        <w:ind w:left="1105" w:leftChars="526" w:firstLine="15"/>
      </w:pPr>
      <w:r>
        <w:br w:type="page"/>
      </w:r>
    </w:p>
    <w:p>
      <w:pPr>
        <w:spacing w:line="360" w:lineRule="auto"/>
        <w:outlineLvl w:val="1"/>
        <w:rPr>
          <w:b/>
          <w:sz w:val="24"/>
        </w:rPr>
      </w:pPr>
      <w:bookmarkStart w:id="272" w:name="_Toc61594840"/>
      <w:r>
        <w:rPr>
          <w:rFonts w:hint="eastAsia"/>
          <w:b/>
          <w:sz w:val="24"/>
        </w:rPr>
        <w:t>附件1</w:t>
      </w:r>
      <w:r>
        <w:rPr>
          <w:b/>
          <w:sz w:val="24"/>
        </w:rPr>
        <w:t xml:space="preserve">4  </w:t>
      </w:r>
      <w:r>
        <w:rPr>
          <w:rFonts w:hint="eastAsia"/>
          <w:b/>
          <w:sz w:val="24"/>
        </w:rPr>
        <w:t>拟派服务实施人员表和资历表</w:t>
      </w:r>
      <w:bookmarkEnd w:id="272"/>
    </w:p>
    <w:p>
      <w:pPr>
        <w:widowControl/>
        <w:jc w:val="center"/>
        <w:outlineLvl w:val="2"/>
        <w:rPr>
          <w:rFonts w:ascii="Arial" w:hAnsi="Arial" w:eastAsia="黑体"/>
        </w:rPr>
      </w:pPr>
      <w:bookmarkStart w:id="273" w:name="_Toc61594841"/>
      <w:r>
        <w:rPr>
          <w:rFonts w:hint="eastAsia" w:ascii="Arial" w:hAnsi="Arial" w:eastAsia="黑体" w:cs="Arial"/>
          <w:sz w:val="30"/>
          <w:szCs w:val="30"/>
        </w:rPr>
        <w:t>14-1 拟派服务实施人员表</w:t>
      </w:r>
      <w:bookmarkEnd w:id="273"/>
    </w:p>
    <w:p>
      <w:pPr>
        <w:pStyle w:val="324"/>
        <w:snapToGrid w:val="0"/>
        <w:spacing w:line="360" w:lineRule="auto"/>
        <w:jc w:val="both"/>
        <w:rPr>
          <w:rFonts w:ascii="宋体" w:hAnsi="宋体" w:cs="宋体"/>
          <w:b/>
          <w:sz w:val="21"/>
          <w:szCs w:val="21"/>
        </w:rPr>
      </w:pPr>
      <w:r>
        <w:rPr>
          <w:rFonts w:hint="eastAsia" w:ascii="宋体" w:hAnsi="宋体" w:cs="宋体"/>
          <w:sz w:val="21"/>
          <w:szCs w:val="21"/>
        </w:rPr>
        <w:t>项目名称：</w:t>
      </w:r>
    </w:p>
    <w:p>
      <w:pPr>
        <w:pStyle w:val="324"/>
        <w:snapToGrid w:val="0"/>
        <w:spacing w:line="360" w:lineRule="auto"/>
        <w:jc w:val="both"/>
        <w:rPr>
          <w:rFonts w:ascii="宋体" w:hAnsi="宋体" w:cs="宋体"/>
          <w:b/>
          <w:sz w:val="21"/>
          <w:szCs w:val="21"/>
        </w:rPr>
      </w:pPr>
      <w:r>
        <w:rPr>
          <w:rFonts w:hint="eastAsia" w:ascii="宋体" w:hAnsi="宋体" w:cs="宋体"/>
          <w:sz w:val="21"/>
          <w:szCs w:val="21"/>
        </w:rPr>
        <w:t>项目编号：</w:t>
      </w:r>
    </w:p>
    <w:tbl>
      <w:tblPr>
        <w:tblStyle w:val="73"/>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类别</w:t>
            </w:r>
          </w:p>
        </w:tc>
        <w:tc>
          <w:tcPr>
            <w:tcW w:w="1134" w:type="dxa"/>
            <w:vAlign w:val="center"/>
          </w:tcPr>
          <w:p>
            <w:pPr>
              <w:jc w:val="center"/>
              <w:rPr>
                <w:rFonts w:ascii="Arial" w:hAnsi="Arial" w:eastAsia="黑体" w:cs="Arial"/>
              </w:rPr>
            </w:pPr>
            <w:r>
              <w:rPr>
                <w:rFonts w:ascii="Arial" w:hAnsi="Arial" w:eastAsia="黑体" w:cs="Arial"/>
              </w:rPr>
              <w:t>姓名</w:t>
            </w:r>
          </w:p>
        </w:tc>
        <w:tc>
          <w:tcPr>
            <w:tcW w:w="821" w:type="dxa"/>
            <w:vAlign w:val="center"/>
          </w:tcPr>
          <w:p>
            <w:pPr>
              <w:jc w:val="center"/>
              <w:rPr>
                <w:rFonts w:ascii="Arial" w:hAnsi="Arial" w:eastAsia="黑体" w:cs="Arial"/>
              </w:rPr>
            </w:pPr>
            <w:r>
              <w:rPr>
                <w:rFonts w:ascii="Arial" w:hAnsi="Arial" w:eastAsia="黑体" w:cs="Arial"/>
              </w:rPr>
              <w:t>性别</w:t>
            </w:r>
          </w:p>
        </w:tc>
        <w:tc>
          <w:tcPr>
            <w:tcW w:w="1352" w:type="dxa"/>
            <w:vAlign w:val="center"/>
          </w:tcPr>
          <w:p>
            <w:pPr>
              <w:jc w:val="center"/>
              <w:rPr>
                <w:rFonts w:ascii="Arial" w:hAnsi="Arial" w:eastAsia="黑体" w:cs="Arial"/>
              </w:rPr>
            </w:pPr>
            <w:r>
              <w:rPr>
                <w:rFonts w:ascii="Arial" w:hAnsi="Arial" w:eastAsia="黑体" w:cs="Arial"/>
              </w:rPr>
              <w:t>单位</w:t>
            </w:r>
          </w:p>
        </w:tc>
        <w:tc>
          <w:tcPr>
            <w:tcW w:w="961" w:type="dxa"/>
            <w:vAlign w:val="center"/>
          </w:tcPr>
          <w:p>
            <w:pPr>
              <w:jc w:val="center"/>
              <w:rPr>
                <w:rFonts w:ascii="Arial" w:hAnsi="Arial" w:eastAsia="黑体" w:cs="Arial"/>
              </w:rPr>
            </w:pPr>
            <w:r>
              <w:rPr>
                <w:rFonts w:ascii="Arial" w:hAnsi="Arial" w:eastAsia="黑体" w:cs="Arial"/>
              </w:rPr>
              <w:t>专业</w:t>
            </w:r>
          </w:p>
        </w:tc>
        <w:tc>
          <w:tcPr>
            <w:tcW w:w="959" w:type="dxa"/>
            <w:vAlign w:val="center"/>
          </w:tcPr>
          <w:p>
            <w:pPr>
              <w:jc w:val="center"/>
              <w:rPr>
                <w:rFonts w:ascii="Arial" w:hAnsi="Arial" w:eastAsia="黑体" w:cs="Arial"/>
              </w:rPr>
            </w:pPr>
            <w:r>
              <w:rPr>
                <w:rFonts w:hint="eastAsia" w:ascii="Arial" w:hAnsi="Arial" w:eastAsia="黑体" w:cs="Arial"/>
              </w:rPr>
              <w:t>职务</w:t>
            </w:r>
          </w:p>
        </w:tc>
        <w:tc>
          <w:tcPr>
            <w:tcW w:w="959" w:type="dxa"/>
            <w:vAlign w:val="center"/>
          </w:tcPr>
          <w:p>
            <w:pPr>
              <w:jc w:val="center"/>
              <w:rPr>
                <w:rFonts w:ascii="Arial" w:hAnsi="Arial" w:eastAsia="黑体" w:cs="Arial"/>
              </w:rPr>
            </w:pPr>
            <w:r>
              <w:rPr>
                <w:rFonts w:hint="eastAsia" w:ascii="Arial" w:hAnsi="Arial" w:eastAsia="黑体" w:cs="Arial"/>
              </w:rPr>
              <w:t>职称</w:t>
            </w:r>
          </w:p>
        </w:tc>
        <w:tc>
          <w:tcPr>
            <w:tcW w:w="959" w:type="dxa"/>
            <w:vAlign w:val="center"/>
          </w:tcPr>
          <w:p>
            <w:pPr>
              <w:jc w:val="center"/>
              <w:rPr>
                <w:rFonts w:ascii="Arial" w:hAnsi="Arial" w:eastAsia="黑体" w:cs="Arial"/>
              </w:rPr>
            </w:pPr>
            <w:r>
              <w:rPr>
                <w:rFonts w:hint="eastAsia" w:ascii="Arial" w:hAnsi="Arial" w:eastAsia="黑体" w:cs="Arial"/>
              </w:rPr>
              <w:t>主要资历</w:t>
            </w:r>
          </w:p>
        </w:tc>
        <w:tc>
          <w:tcPr>
            <w:tcW w:w="957" w:type="dxa"/>
            <w:vAlign w:val="center"/>
          </w:tcPr>
          <w:p>
            <w:pPr>
              <w:jc w:val="center"/>
              <w:rPr>
                <w:rFonts w:ascii="Arial" w:hAnsi="Arial" w:eastAsia="黑体" w:cs="Arial"/>
              </w:rPr>
            </w:pPr>
            <w:r>
              <w:rPr>
                <w:rFonts w:hint="eastAsia" w:ascii="Arial" w:hAnsi="Arial" w:eastAsia="黑体" w:cs="Arial"/>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ascii="Arial" w:hAnsi="Arial" w:eastAsia="黑体" w:cs="Arial"/>
              </w:rPr>
              <w:t>项目负责人</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jc w:val="center"/>
              <w:rPr>
                <w:rFonts w:ascii="Arial" w:hAnsi="Arial" w:eastAsia="黑体" w:cs="Arial"/>
              </w:rPr>
            </w:pPr>
            <w:r>
              <w:rPr>
                <w:rFonts w:hint="eastAsia" w:ascii="Arial" w:hAnsi="Arial" w:eastAsia="黑体" w:cs="Arial"/>
              </w:rPr>
              <w:t>项目技术主管</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jc w:val="center"/>
              <w:rPr>
                <w:rFonts w:ascii="Arial" w:hAnsi="Arial" w:eastAsia="黑体" w:cs="Arial"/>
              </w:rPr>
            </w:pPr>
            <w:r>
              <w:rPr>
                <w:rFonts w:ascii="Arial" w:hAnsi="Arial" w:eastAsia="黑体" w:cs="Arial"/>
              </w:rPr>
              <w:t>其他人员</w:t>
            </w: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jc w:val="center"/>
              <w:rPr>
                <w:rFonts w:ascii="Arial" w:hAnsi="Arial" w:eastAsia="黑体" w:cs="Arial"/>
              </w:rPr>
            </w:pPr>
          </w:p>
        </w:tc>
        <w:tc>
          <w:tcPr>
            <w:tcW w:w="1134" w:type="dxa"/>
            <w:vAlign w:val="center"/>
          </w:tcPr>
          <w:p>
            <w:pPr>
              <w:rPr>
                <w:rFonts w:ascii="Arial" w:hAnsi="Arial" w:cs="Arial"/>
              </w:rPr>
            </w:pPr>
          </w:p>
        </w:tc>
        <w:tc>
          <w:tcPr>
            <w:tcW w:w="821" w:type="dxa"/>
            <w:vAlign w:val="center"/>
          </w:tcPr>
          <w:p>
            <w:pPr>
              <w:rPr>
                <w:rFonts w:ascii="Arial" w:hAnsi="Arial" w:cs="Arial"/>
              </w:rPr>
            </w:pPr>
          </w:p>
        </w:tc>
        <w:tc>
          <w:tcPr>
            <w:tcW w:w="1352" w:type="dxa"/>
            <w:vAlign w:val="center"/>
          </w:tcPr>
          <w:p>
            <w:pPr>
              <w:rPr>
                <w:rFonts w:ascii="Arial" w:hAnsi="Arial" w:cs="Arial"/>
              </w:rPr>
            </w:pPr>
          </w:p>
        </w:tc>
        <w:tc>
          <w:tcPr>
            <w:tcW w:w="961"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9" w:type="dxa"/>
          </w:tcPr>
          <w:p>
            <w:pPr>
              <w:rPr>
                <w:rFonts w:ascii="Arial" w:hAnsi="Arial" w:cs="Arial"/>
              </w:rPr>
            </w:pPr>
          </w:p>
        </w:tc>
        <w:tc>
          <w:tcPr>
            <w:tcW w:w="957" w:type="dxa"/>
            <w:vAlign w:val="center"/>
          </w:tcPr>
          <w:p>
            <w:pPr>
              <w:rPr>
                <w:rFonts w:ascii="Arial" w:hAnsi="Arial" w:cs="Arial"/>
              </w:rPr>
            </w:pPr>
          </w:p>
        </w:tc>
      </w:tr>
    </w:tbl>
    <w:p>
      <w:pPr>
        <w:ind w:left="420" w:hanging="420" w:hangingChars="200"/>
        <w:jc w:val="left"/>
        <w:rPr>
          <w:rFonts w:ascii="宋体" w:hAnsi="宋体" w:cs="宋体"/>
          <w:bCs/>
          <w:szCs w:val="21"/>
        </w:rPr>
      </w:pPr>
    </w:p>
    <w:p>
      <w:pPr>
        <w:ind w:left="420" w:hanging="420" w:hangingChars="200"/>
        <w:jc w:val="left"/>
        <w:rPr>
          <w:rFonts w:ascii="宋体" w:hAnsi="宋体" w:cs="宋体"/>
          <w:bCs/>
          <w:szCs w:val="21"/>
        </w:rPr>
      </w:pPr>
      <w:r>
        <w:rPr>
          <w:rFonts w:hint="eastAsia" w:ascii="宋体" w:hAnsi="宋体" w:cs="宋体"/>
          <w:bCs/>
          <w:szCs w:val="21"/>
        </w:rPr>
        <w:t>注：供应商应附相应的证明材料（如：社保缴纳证明、职称或资格证书）。项目组主要人员（项目负责人、技术经理）须按照附件14-2单独列表详细说明，且在项目执行过程中未得到采购人书面同意不得更换。</w:t>
      </w:r>
    </w:p>
    <w:p>
      <w:pPr>
        <w:ind w:left="420" w:hanging="420" w:hangingChars="200"/>
        <w:jc w:val="left"/>
        <w:rPr>
          <w:rFonts w:ascii="宋体" w:hAnsi="宋体" w:cs="宋体"/>
          <w:bCs/>
          <w:szCs w:val="21"/>
        </w:rPr>
      </w:pPr>
    </w:p>
    <w:p>
      <w:pPr>
        <w:pStyle w:val="419"/>
        <w:adjustRightInd/>
        <w:snapToGrid/>
        <w:spacing w:after="0"/>
        <w:rPr>
          <w:rFonts w:ascii="宋体" w:hAnsi="宋体" w:cs="宋体"/>
          <w:sz w:val="21"/>
          <w:szCs w:val="21"/>
          <w:u w:val="single"/>
        </w:rPr>
      </w:pPr>
      <w:r>
        <w:rPr>
          <w:rFonts w:hint="eastAsia" w:ascii="宋体" w:hAnsi="宋体" w:cs="宋体"/>
          <w:sz w:val="21"/>
          <w:szCs w:val="21"/>
        </w:rPr>
        <w:t>供应商名称：</w:t>
      </w:r>
      <w:r>
        <w:rPr>
          <w:rFonts w:hint="eastAsia" w:ascii="宋体" w:hAnsi="宋体" w:cs="宋体"/>
          <w:sz w:val="21"/>
          <w:szCs w:val="21"/>
          <w:u w:val="single"/>
        </w:rPr>
        <w:t xml:space="preserve">        公章         </w:t>
      </w:r>
    </w:p>
    <w:p>
      <w:pPr>
        <w:rPr>
          <w:rFonts w:ascii="宋体" w:hAnsi="宋体" w:cs="宋体"/>
          <w:szCs w:val="21"/>
          <w:u w:val="single"/>
        </w:rPr>
      </w:pPr>
      <w:r>
        <w:rPr>
          <w:rFonts w:hint="eastAsia" w:ascii="宋体" w:hAnsi="宋体" w:cs="宋体"/>
          <w:szCs w:val="21"/>
        </w:rPr>
        <w:t>授权代表：</w:t>
      </w:r>
      <w:r>
        <w:rPr>
          <w:rFonts w:hint="eastAsia" w:ascii="宋体" w:hAnsi="宋体" w:cs="宋体"/>
          <w:szCs w:val="21"/>
          <w:u w:val="single"/>
        </w:rPr>
        <w:t xml:space="preserve">     签字或加盖人名章             </w:t>
      </w:r>
    </w:p>
    <w:p>
      <w:pPr>
        <w:jc w:val="left"/>
        <w:rPr>
          <w:rFonts w:ascii="宋体" w:hAnsi="宋体" w:cs="宋体"/>
          <w:szCs w:val="21"/>
        </w:rPr>
      </w:pPr>
      <w:r>
        <w:rPr>
          <w:rFonts w:hint="eastAsia" w:ascii="宋体" w:hAnsi="宋体" w:cs="宋体"/>
          <w:szCs w:val="21"/>
        </w:rPr>
        <w:t>日期 ：</w:t>
      </w:r>
    </w:p>
    <w:p>
      <w:pPr>
        <w:widowControl/>
        <w:jc w:val="center"/>
        <w:outlineLvl w:val="2"/>
        <w:rPr>
          <w:rFonts w:ascii="Arial" w:hAnsi="Arial" w:eastAsia="黑体" w:cs="Arial"/>
          <w:sz w:val="30"/>
          <w:szCs w:val="30"/>
        </w:rPr>
      </w:pPr>
      <w:r>
        <w:rPr>
          <w:rFonts w:ascii="Arial" w:hAnsi="Arial" w:eastAsia="黑体" w:cs="Arial"/>
          <w:sz w:val="30"/>
          <w:szCs w:val="30"/>
        </w:rPr>
        <w:br w:type="page"/>
      </w:r>
      <w:bookmarkStart w:id="274" w:name="_Toc61594842"/>
      <w:r>
        <w:rPr>
          <w:rFonts w:hint="eastAsia" w:ascii="Arial" w:hAnsi="Arial" w:eastAsia="黑体" w:cs="Arial"/>
          <w:sz w:val="30"/>
          <w:szCs w:val="30"/>
        </w:rPr>
        <w:t>14-2 拟派人员资历表</w:t>
      </w:r>
      <w:bookmarkEnd w:id="274"/>
    </w:p>
    <w:p>
      <w:pPr>
        <w:pStyle w:val="324"/>
        <w:snapToGrid w:val="0"/>
        <w:spacing w:line="360" w:lineRule="auto"/>
        <w:jc w:val="both"/>
        <w:rPr>
          <w:rFonts w:ascii="宋体" w:hAnsi="宋体"/>
          <w:b/>
          <w:sz w:val="21"/>
          <w:szCs w:val="21"/>
        </w:rPr>
      </w:pPr>
      <w:r>
        <w:rPr>
          <w:rFonts w:hint="eastAsia" w:ascii="宋体" w:hAnsi="宋体"/>
          <w:sz w:val="21"/>
          <w:szCs w:val="21"/>
        </w:rPr>
        <w:t>项目名称：</w:t>
      </w:r>
    </w:p>
    <w:p>
      <w:pPr>
        <w:pStyle w:val="324"/>
        <w:snapToGrid w:val="0"/>
        <w:spacing w:line="360" w:lineRule="auto"/>
        <w:jc w:val="both"/>
        <w:rPr>
          <w:rFonts w:ascii="宋体" w:hAnsi="宋体"/>
          <w:b/>
          <w:sz w:val="21"/>
          <w:szCs w:val="21"/>
        </w:rPr>
      </w:pPr>
      <w:r>
        <w:rPr>
          <w:rFonts w:hint="eastAsia" w:ascii="宋体" w:hAnsi="宋体"/>
          <w:sz w:val="21"/>
          <w:szCs w:val="21"/>
        </w:rPr>
        <w:t>项目编号：</w:t>
      </w:r>
    </w:p>
    <w:tbl>
      <w:tblPr>
        <w:tblStyle w:val="73"/>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jc w:val="center"/>
              <w:rPr>
                <w:rFonts w:ascii="Arial" w:hAnsi="Arial" w:eastAsia="黑体" w:cs="Arial"/>
              </w:rPr>
            </w:pPr>
            <w:r>
              <w:rPr>
                <w:rFonts w:ascii="Arial" w:hAnsi="Arial" w:eastAsia="黑体" w:cs="Arial"/>
              </w:rPr>
              <w:t>姓名</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职务</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57"/>
              <w:jc w:val="center"/>
              <w:rPr>
                <w:rFonts w:ascii="Arial" w:hAnsi="Arial" w:eastAsia="黑体" w:cs="Arial"/>
              </w:rPr>
            </w:pPr>
            <w:r>
              <w:rPr>
                <w:rFonts w:ascii="Arial" w:hAnsi="Arial" w:eastAsia="黑体" w:cs="Arial"/>
              </w:rPr>
              <w:t>职称</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jc w:val="center"/>
              <w:rPr>
                <w:rFonts w:ascii="Arial" w:hAnsi="Arial" w:eastAsia="黑体" w:cs="Arial"/>
              </w:rPr>
            </w:pPr>
            <w:r>
              <w:rPr>
                <w:rFonts w:ascii="Arial" w:hAnsi="Arial" w:eastAsia="黑体" w:cs="Arial"/>
              </w:rPr>
              <w:t>年龄</w:t>
            </w:r>
          </w:p>
        </w:tc>
        <w:tc>
          <w:tcPr>
            <w:tcW w:w="1786" w:type="dxa"/>
            <w:vAlign w:val="center"/>
          </w:tcPr>
          <w:p>
            <w:pPr>
              <w:snapToGrid w:val="0"/>
              <w:jc w:val="center"/>
              <w:rPr>
                <w:rFonts w:ascii="Arial" w:hAnsi="Arial" w:eastAsia="黑体" w:cs="Arial"/>
              </w:rPr>
            </w:pPr>
          </w:p>
        </w:tc>
        <w:tc>
          <w:tcPr>
            <w:tcW w:w="1153" w:type="dxa"/>
            <w:vAlign w:val="center"/>
          </w:tcPr>
          <w:p>
            <w:pPr>
              <w:snapToGrid w:val="0"/>
              <w:jc w:val="center"/>
              <w:rPr>
                <w:rFonts w:ascii="Arial" w:hAnsi="Arial" w:eastAsia="黑体" w:cs="Arial"/>
              </w:rPr>
            </w:pPr>
            <w:r>
              <w:rPr>
                <w:rFonts w:ascii="Arial" w:hAnsi="Arial" w:eastAsia="黑体" w:cs="Arial"/>
              </w:rPr>
              <w:t>拟任职</w:t>
            </w:r>
          </w:p>
        </w:tc>
        <w:tc>
          <w:tcPr>
            <w:tcW w:w="1888" w:type="dxa"/>
            <w:vAlign w:val="center"/>
          </w:tcPr>
          <w:p>
            <w:pPr>
              <w:snapToGrid w:val="0"/>
              <w:jc w:val="center"/>
              <w:rPr>
                <w:rFonts w:ascii="Arial" w:hAnsi="Arial" w:eastAsia="黑体" w:cs="Arial"/>
              </w:rPr>
            </w:pPr>
          </w:p>
        </w:tc>
        <w:tc>
          <w:tcPr>
            <w:tcW w:w="1785" w:type="dxa"/>
            <w:gridSpan w:val="2"/>
            <w:vAlign w:val="center"/>
          </w:tcPr>
          <w:p>
            <w:pPr>
              <w:snapToGrid w:val="0"/>
              <w:ind w:left="192"/>
              <w:jc w:val="center"/>
              <w:rPr>
                <w:rFonts w:ascii="Arial" w:hAnsi="Arial" w:eastAsia="黑体" w:cs="Arial"/>
              </w:rPr>
            </w:pPr>
            <w:r>
              <w:rPr>
                <w:rFonts w:ascii="Arial" w:hAnsi="Arial" w:eastAsia="黑体" w:cs="Arial"/>
              </w:rPr>
              <w:t>单位任职时间</w:t>
            </w:r>
          </w:p>
        </w:tc>
        <w:tc>
          <w:tcPr>
            <w:tcW w:w="1778" w:type="dxa"/>
            <w:vAlign w:val="center"/>
          </w:tcPr>
          <w:p>
            <w:pPr>
              <w:snapToGrid w:val="0"/>
              <w:jc w:val="cente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atLeast"/>
        </w:trPr>
        <w:tc>
          <w:tcPr>
            <w:tcW w:w="9468" w:type="dxa"/>
            <w:gridSpan w:val="7"/>
          </w:tcPr>
          <w:p>
            <w:pPr>
              <w:snapToGrid w:val="0"/>
              <w:rPr>
                <w:rFonts w:ascii="Arial" w:hAnsi="Arial" w:eastAsia="黑体" w:cs="Arial"/>
              </w:rPr>
            </w:pPr>
            <w:r>
              <w:rPr>
                <w:rFonts w:ascii="Arial" w:hAnsi="Arial" w:eastAsia="黑体" w:cs="Arial"/>
              </w:rPr>
              <w:t>学历（毕业学校、时间、专业）及取得的专业认证情况：</w:t>
            </w: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jc w:val="center"/>
              <w:rPr>
                <w:rFonts w:ascii="Arial" w:hAnsi="Arial" w:eastAsia="黑体" w:cs="Arial"/>
              </w:rPr>
            </w:pPr>
            <w:r>
              <w:rPr>
                <w:rFonts w:ascii="Arial" w:hAnsi="Arial" w:eastAsia="黑体" w:cs="Arial"/>
              </w:rPr>
              <w:t>参加过的主要项目</w:t>
            </w:r>
          </w:p>
        </w:tc>
        <w:tc>
          <w:tcPr>
            <w:tcW w:w="2128" w:type="dxa"/>
            <w:gridSpan w:val="2"/>
            <w:vAlign w:val="center"/>
          </w:tcPr>
          <w:p>
            <w:pPr>
              <w:snapToGrid w:val="0"/>
              <w:jc w:val="center"/>
              <w:rPr>
                <w:rFonts w:ascii="Arial" w:hAnsi="Arial" w:eastAsia="黑体" w:cs="Arial"/>
              </w:rPr>
            </w:pPr>
            <w:r>
              <w:rPr>
                <w:rFonts w:ascii="Arial" w:hAnsi="Arial" w:eastAsia="黑体" w:cs="Arial"/>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snapToGrid w:val="0"/>
              <w:rPr>
                <w:rFonts w:ascii="Arial" w:hAnsi="Arial" w:cs="Arial"/>
              </w:rPr>
            </w:pPr>
            <w:r>
              <w:rPr>
                <w:rFonts w:hint="eastAsia" w:ascii="Arial" w:hAnsi="Arial" w:cs="Arial"/>
              </w:rPr>
              <w:t>4.业主联系方式</w:t>
            </w:r>
          </w:p>
        </w:tc>
        <w:tc>
          <w:tcPr>
            <w:tcW w:w="2128" w:type="dxa"/>
            <w:gridSpan w:val="2"/>
          </w:tcPr>
          <w:p>
            <w:pPr>
              <w:snapToGrid w:val="0"/>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rPr>
                <w:rFonts w:ascii="Arial" w:hAnsi="Arial" w:cs="Arial"/>
              </w:rPr>
            </w:pPr>
            <w:r>
              <w:rPr>
                <w:rFonts w:hint="eastAsia" w:ascii="Arial" w:hAnsi="Arial" w:cs="Arial"/>
              </w:rPr>
              <w:t>1.业主单位名称</w:t>
            </w:r>
          </w:p>
          <w:p>
            <w:pPr>
              <w:snapToGrid w:val="0"/>
              <w:rPr>
                <w:rFonts w:ascii="Arial" w:hAnsi="Arial" w:cs="Arial"/>
              </w:rPr>
            </w:pPr>
            <w:r>
              <w:rPr>
                <w:rFonts w:hint="eastAsia" w:ascii="Arial" w:hAnsi="Arial" w:cs="Arial"/>
              </w:rPr>
              <w:t>2.项目名称</w:t>
            </w:r>
          </w:p>
          <w:p>
            <w:pPr>
              <w:snapToGrid w:val="0"/>
              <w:rPr>
                <w:rFonts w:ascii="Arial" w:hAnsi="Arial" w:cs="Arial"/>
              </w:rPr>
            </w:pPr>
            <w:r>
              <w:rPr>
                <w:rFonts w:hint="eastAsia" w:ascii="Arial" w:hAnsi="Arial" w:cs="Arial"/>
              </w:rPr>
              <w:t>3.合同金额</w:t>
            </w:r>
          </w:p>
          <w:p>
            <w:pPr>
              <w:rPr>
                <w:rFonts w:ascii="Arial" w:hAnsi="Arial" w:cs="Arial"/>
              </w:rPr>
            </w:pPr>
            <w:r>
              <w:rPr>
                <w:rFonts w:hint="eastAsia" w:ascii="Arial" w:hAnsi="Arial" w:cs="Arial"/>
              </w:rPr>
              <w:t>4.业主联系方式</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r>
              <w:rPr>
                <w:rFonts w:ascii="Arial" w:hAnsi="Arial" w:cs="Arial"/>
              </w:rPr>
              <w:t>……</w:t>
            </w: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rPr>
                <w:rFonts w:ascii="Arial" w:hAnsi="Arial" w:cs="Arial"/>
              </w:rPr>
            </w:pPr>
          </w:p>
        </w:tc>
        <w:tc>
          <w:tcPr>
            <w:tcW w:w="2128" w:type="dxa"/>
            <w:gridSpan w:val="2"/>
          </w:tcPr>
          <w:p>
            <w:pPr>
              <w:rPr>
                <w:rFonts w:ascii="Arial" w:hAnsi="Arial" w:cs="Aria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rPr>
                <w:rFonts w:ascii="Arial" w:hAnsi="Arial" w:cs="Arial"/>
              </w:rPr>
            </w:pPr>
          </w:p>
        </w:tc>
        <w:tc>
          <w:tcPr>
            <w:tcW w:w="2128" w:type="dxa"/>
            <w:gridSpan w:val="2"/>
          </w:tcPr>
          <w:p>
            <w:pPr>
              <w:rPr>
                <w:rFonts w:ascii="Arial" w:hAnsi="Arial" w:cs="Arial"/>
              </w:rPr>
            </w:pPr>
          </w:p>
        </w:tc>
      </w:tr>
    </w:tbl>
    <w:p>
      <w:pPr>
        <w:jc w:val="left"/>
        <w:rPr>
          <w:rFonts w:ascii="宋体" w:hAnsi="宋体" w:cs="宋体"/>
          <w:bCs/>
          <w:szCs w:val="21"/>
        </w:rPr>
      </w:pPr>
      <w:r>
        <w:rPr>
          <w:rFonts w:hint="eastAsia" w:ascii="宋体" w:hAnsi="宋体" w:cs="宋体"/>
          <w:bCs/>
          <w:szCs w:val="21"/>
        </w:rPr>
        <w:t>注：供应商须提供表列人员的业绩证明材料，包括项目合同复印件或业主证明材料或可以有效证明表列人员的业绩资料。</w:t>
      </w:r>
    </w:p>
    <w:p>
      <w:pPr>
        <w:pStyle w:val="419"/>
        <w:adjustRightInd/>
        <w:snapToGrid/>
        <w:spacing w:after="0"/>
        <w:rPr>
          <w:rFonts w:ascii="Arial" w:hAnsi="Arial" w:cs="Arial"/>
        </w:rPr>
      </w:pPr>
    </w:p>
    <w:p>
      <w:pPr>
        <w:pStyle w:val="419"/>
        <w:adjustRightInd/>
        <w:snapToGrid/>
        <w:spacing w:after="0"/>
        <w:rPr>
          <w:rFonts w:ascii="Arial" w:hAnsi="Arial" w:cs="Arial"/>
          <w:sz w:val="21"/>
          <w:szCs w:val="21"/>
          <w:u w:val="single"/>
        </w:rPr>
      </w:pPr>
      <w:r>
        <w:rPr>
          <w:rFonts w:hint="eastAsia" w:ascii="Arial" w:hAnsi="Arial" w:cs="Arial"/>
          <w:sz w:val="21"/>
          <w:szCs w:val="21"/>
        </w:rPr>
        <w:t>供应商</w:t>
      </w:r>
      <w:r>
        <w:rPr>
          <w:rFonts w:ascii="Arial" w:hAnsi="Arial" w:cs="Arial"/>
          <w:sz w:val="21"/>
          <w:szCs w:val="21"/>
        </w:rPr>
        <w:t>名称：</w:t>
      </w:r>
      <w:r>
        <w:rPr>
          <w:rFonts w:ascii="Arial" w:hAnsi="Arial" w:cs="Arial"/>
          <w:sz w:val="21"/>
          <w:szCs w:val="21"/>
          <w:u w:val="single"/>
        </w:rPr>
        <w:t>公章</w:t>
      </w:r>
    </w:p>
    <w:p>
      <w:pPr>
        <w:rPr>
          <w:rFonts w:ascii="Arial" w:hAnsi="Arial" w:cs="Arial"/>
          <w:szCs w:val="21"/>
          <w:u w:val="single"/>
        </w:rPr>
      </w:pPr>
      <w:r>
        <w:rPr>
          <w:rFonts w:ascii="Arial" w:hAnsi="Arial" w:cs="Arial"/>
          <w:szCs w:val="21"/>
        </w:rPr>
        <w:t>授权代表：</w:t>
      </w:r>
      <w:r>
        <w:rPr>
          <w:rFonts w:hint="eastAsia" w:ascii="Arial" w:hAnsi="Arial" w:cs="Arial"/>
          <w:szCs w:val="21"/>
          <w:u w:val="single"/>
        </w:rPr>
        <w:t>签字或加盖人名章</w:t>
      </w:r>
    </w:p>
    <w:p>
      <w:pPr>
        <w:jc w:val="left"/>
        <w:rPr>
          <w:rFonts w:ascii="仿宋_GB2312" w:eastAsia="仿宋_GB2312"/>
          <w:sz w:val="24"/>
        </w:rPr>
      </w:pPr>
      <w:r>
        <w:rPr>
          <w:rFonts w:ascii="Arial" w:hAnsi="Arial" w:cs="Arial"/>
          <w:szCs w:val="21"/>
        </w:rPr>
        <w:t>日期：</w:t>
      </w:r>
    </w:p>
    <w:p>
      <w:pPr>
        <w:widowControl/>
        <w:jc w:val="left"/>
      </w:pPr>
      <w:r>
        <w:br w:type="page"/>
      </w:r>
    </w:p>
    <w:bookmarkEnd w:id="242"/>
    <w:p>
      <w:pPr>
        <w:spacing w:line="360" w:lineRule="auto"/>
        <w:outlineLvl w:val="1"/>
        <w:rPr>
          <w:b/>
          <w:sz w:val="24"/>
        </w:rPr>
      </w:pPr>
      <w:bookmarkStart w:id="275" w:name="_Toc61594843"/>
      <w:r>
        <w:rPr>
          <w:rFonts w:hint="eastAsia"/>
          <w:b/>
          <w:sz w:val="24"/>
        </w:rPr>
        <w:t>附件1</w:t>
      </w:r>
      <w:r>
        <w:rPr>
          <w:b/>
          <w:sz w:val="24"/>
        </w:rPr>
        <w:t>5  售后服务支持能力</w:t>
      </w:r>
      <w:bookmarkEnd w:id="275"/>
    </w:p>
    <w:p>
      <w:pPr>
        <w:spacing w:line="360" w:lineRule="auto"/>
        <w:ind w:left="283" w:leftChars="135" w:firstLine="420" w:firstLineChars="200"/>
        <w:rPr>
          <w:bCs/>
          <w:szCs w:val="21"/>
        </w:rPr>
      </w:pPr>
      <w:r>
        <w:rPr>
          <w:rFonts w:hAnsi="宋体"/>
          <w:bCs/>
          <w:szCs w:val="21"/>
        </w:rPr>
        <w:t>详细说明提供售后服务支持的能力，包括服务机构</w:t>
      </w:r>
      <w:r>
        <w:rPr>
          <w:rFonts w:hint="eastAsia" w:hAnsi="宋体"/>
          <w:bCs/>
          <w:szCs w:val="21"/>
        </w:rPr>
        <w:t>（名称、地址、联系人和联系方式）</w:t>
      </w:r>
      <w:r>
        <w:rPr>
          <w:rFonts w:hAnsi="宋体"/>
          <w:bCs/>
          <w:szCs w:val="21"/>
        </w:rPr>
        <w:t>、人员</w:t>
      </w:r>
      <w:r>
        <w:rPr>
          <w:rFonts w:hint="eastAsia" w:hAnsi="宋体"/>
          <w:bCs/>
          <w:szCs w:val="21"/>
        </w:rPr>
        <w:t>情况</w:t>
      </w:r>
      <w:r>
        <w:rPr>
          <w:rFonts w:hAnsi="宋体"/>
          <w:bCs/>
          <w:szCs w:val="21"/>
        </w:rPr>
        <w:t>，对项目故障反应时间、售后服务时间、备品备件供应能力等具体描述并提供相关数据和辅助资料供核实。</w:t>
      </w:r>
    </w:p>
    <w:p>
      <w:pPr>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rPr>
          <w:bCs/>
          <w:szCs w:val="21"/>
        </w:rPr>
      </w:pPr>
    </w:p>
    <w:p>
      <w:pPr>
        <w:spacing w:before="156" w:beforeLines="50" w:line="440" w:lineRule="exact"/>
      </w:pPr>
      <w:r>
        <w:rPr>
          <w:rFonts w:hint="eastAsia"/>
        </w:rPr>
        <w:t>供应商：（公章）</w:t>
      </w:r>
    </w:p>
    <w:p>
      <w:pPr>
        <w:spacing w:before="156" w:beforeLines="50" w:line="440" w:lineRule="exact"/>
      </w:pPr>
      <w:r>
        <w:t>法定代表人或其授权代表：（</w:t>
      </w:r>
      <w:r>
        <w:rPr>
          <w:rFonts w:hint="eastAsia"/>
        </w:rPr>
        <w:t>签字或加盖人名章</w:t>
      </w:r>
      <w:r>
        <w:t>）</w:t>
      </w:r>
    </w:p>
    <w:p>
      <w:pPr>
        <w:spacing w:before="156" w:beforeLines="50" w:line="440" w:lineRule="exact"/>
      </w:pPr>
      <w:r>
        <w:t>日期：</w:t>
      </w:r>
    </w:p>
    <w:p>
      <w:pPr>
        <w:spacing w:line="360" w:lineRule="auto"/>
        <w:rPr>
          <w:szCs w:val="21"/>
        </w:rPr>
      </w:pPr>
    </w:p>
    <w:p>
      <w:pPr>
        <w:spacing w:line="360" w:lineRule="auto"/>
        <w:rPr>
          <w:szCs w:val="21"/>
        </w:rPr>
      </w:pPr>
    </w:p>
    <w:p>
      <w:pPr>
        <w:spacing w:line="360" w:lineRule="auto"/>
        <w:ind w:firstLine="105" w:firstLineChars="50"/>
        <w:rPr>
          <w:rFonts w:hAnsi="宋体"/>
          <w:szCs w:val="21"/>
        </w:rPr>
      </w:pPr>
      <w:r>
        <w:rPr>
          <w:rFonts w:hAnsi="宋体"/>
          <w:szCs w:val="21"/>
        </w:rPr>
        <w:t>说明：附相关证明文件，并加盖公章。</w:t>
      </w:r>
    </w:p>
    <w:p>
      <w:pPr>
        <w:spacing w:line="360" w:lineRule="auto"/>
      </w:pPr>
      <w:r>
        <w:br w:type="page"/>
      </w:r>
    </w:p>
    <w:p>
      <w:pPr>
        <w:spacing w:line="360" w:lineRule="auto"/>
        <w:outlineLvl w:val="1"/>
        <w:rPr>
          <w:b/>
          <w:sz w:val="24"/>
        </w:rPr>
      </w:pPr>
      <w:bookmarkStart w:id="276" w:name="_Toc61594844"/>
      <w:r>
        <w:rPr>
          <w:rFonts w:hint="eastAsia"/>
          <w:b/>
          <w:sz w:val="24"/>
        </w:rPr>
        <w:t>附件1</w:t>
      </w:r>
      <w:r>
        <w:rPr>
          <w:b/>
          <w:sz w:val="24"/>
        </w:rPr>
        <w:t xml:space="preserve">6  </w:t>
      </w:r>
      <w:r>
        <w:rPr>
          <w:rFonts w:hint="eastAsia"/>
          <w:b/>
          <w:sz w:val="24"/>
        </w:rPr>
        <w:t>供应商其他承诺</w:t>
      </w:r>
      <w:bookmarkEnd w:id="276"/>
      <w:r>
        <w:rPr>
          <w:rFonts w:hint="eastAsia"/>
          <w:b/>
          <w:sz w:val="24"/>
        </w:rPr>
        <w:t xml:space="preserve"> </w:t>
      </w:r>
      <w:r>
        <w:rPr>
          <w:rFonts w:hint="eastAsia"/>
          <w:b/>
          <w:sz w:val="24"/>
        </w:rPr>
        <w:br w:type="page"/>
      </w:r>
    </w:p>
    <w:p>
      <w:pPr>
        <w:spacing w:line="360" w:lineRule="auto"/>
        <w:outlineLvl w:val="1"/>
        <w:rPr>
          <w:b/>
          <w:sz w:val="24"/>
        </w:rPr>
      </w:pPr>
      <w:bookmarkStart w:id="277" w:name="_Toc61594845"/>
      <w:r>
        <w:rPr>
          <w:rFonts w:hint="eastAsia"/>
          <w:b/>
          <w:sz w:val="24"/>
        </w:rPr>
        <w:t>附件1</w:t>
      </w:r>
      <w:r>
        <w:rPr>
          <w:b/>
          <w:sz w:val="24"/>
        </w:rPr>
        <w:t xml:space="preserve">7  </w:t>
      </w:r>
      <w:r>
        <w:rPr>
          <w:rFonts w:hint="eastAsia"/>
          <w:b/>
          <w:sz w:val="24"/>
        </w:rPr>
        <w:t>最后报价函</w:t>
      </w:r>
      <w:bookmarkEnd w:id="277"/>
    </w:p>
    <w:p>
      <w:pPr>
        <w:spacing w:line="360" w:lineRule="auto"/>
        <w:jc w:val="center"/>
        <w:rPr>
          <w:rFonts w:ascii="宋体" w:hAnsi="宋体"/>
          <w:sz w:val="24"/>
        </w:rPr>
      </w:pPr>
    </w:p>
    <w:p>
      <w:pPr>
        <w:spacing w:line="360" w:lineRule="auto"/>
        <w:jc w:val="center"/>
        <w:rPr>
          <w:rFonts w:ascii="宋体" w:hAnsi="宋体"/>
          <w:b/>
          <w:bCs/>
          <w:sz w:val="24"/>
        </w:rPr>
      </w:pPr>
      <w:r>
        <w:rPr>
          <w:rFonts w:hint="eastAsia" w:ascii="宋体" w:hAnsi="宋体"/>
          <w:b/>
          <w:bCs/>
          <w:sz w:val="24"/>
        </w:rPr>
        <w:t>最后报价函</w:t>
      </w:r>
    </w:p>
    <w:tbl>
      <w:tblPr>
        <w:tblStyle w:val="73"/>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946" w:type="dxa"/>
            <w:vAlign w:val="center"/>
          </w:tcPr>
          <w:p>
            <w:pPr>
              <w:ind w:left="141" w:leftChars="67" w:right="103" w:rightChars="49"/>
              <w:jc w:val="center"/>
              <w:rPr>
                <w:rFonts w:ascii="宋体" w:hAnsi="宋体"/>
                <w:b/>
                <w:szCs w:val="21"/>
              </w:rPr>
            </w:pPr>
            <w:r>
              <w:rPr>
                <w:rFonts w:hint="eastAsia" w:ascii="宋体" w:hAnsi="宋体"/>
                <w:b/>
                <w:szCs w:val="21"/>
              </w:rPr>
              <w:t>项目编号及谈判项目名称</w:t>
            </w:r>
          </w:p>
        </w:tc>
        <w:tc>
          <w:tcPr>
            <w:tcW w:w="6329" w:type="dxa"/>
            <w:vAlign w:val="center"/>
          </w:tcPr>
          <w:p>
            <w:pPr>
              <w:ind w:left="189" w:leftChars="90" w:firstLine="1"/>
              <w:rPr>
                <w:rFonts w:ascii="宋体" w:hAnsi="宋体"/>
                <w:szCs w:val="21"/>
              </w:rPr>
            </w:pPr>
            <w:r>
              <w:rPr>
                <w:rFonts w:hint="eastAsia" w:ascii="宋体" w:hAnsi="宋体"/>
                <w:szCs w:val="21"/>
              </w:rPr>
              <w:t>项目编号：</w:t>
            </w:r>
          </w:p>
          <w:p>
            <w:pPr>
              <w:ind w:left="189" w:leftChars="90" w:firstLine="1"/>
              <w:rPr>
                <w:rFonts w:ascii="宋体" w:hAnsi="宋体"/>
                <w:szCs w:val="21"/>
              </w:rPr>
            </w:pPr>
          </w:p>
          <w:p>
            <w:pPr>
              <w:ind w:left="189" w:leftChars="90" w:firstLine="1"/>
              <w:rPr>
                <w:rFonts w:ascii="宋体" w:hAnsi="宋体"/>
                <w:szCs w:val="21"/>
              </w:rPr>
            </w:pPr>
            <w:r>
              <w:rPr>
                <w:rFonts w:hint="eastAsia" w:ascii="宋体" w:hAnsi="宋体"/>
                <w:szCs w:val="21"/>
              </w:rPr>
              <w:t>谈判项目名称：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响应文件总价</w:t>
            </w:r>
          </w:p>
        </w:tc>
        <w:tc>
          <w:tcPr>
            <w:tcW w:w="6329" w:type="dxa"/>
            <w:vAlign w:val="center"/>
          </w:tcPr>
          <w:p>
            <w:pPr>
              <w:ind w:left="189" w:leftChars="90" w:firstLine="1"/>
              <w:rPr>
                <w:rFonts w:ascii="宋体" w:hAnsi="宋体"/>
                <w:szCs w:val="21"/>
                <w:u w:val="single"/>
              </w:rPr>
            </w:pPr>
            <w:r>
              <w:rPr>
                <w:rFonts w:hint="eastAsia" w:ascii="宋体" w:hAnsi="宋体"/>
                <w:szCs w:val="21"/>
              </w:rPr>
              <w:t>人民币（小写金额）：</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元</w:t>
            </w:r>
          </w:p>
          <w:p>
            <w:pPr>
              <w:ind w:left="189" w:leftChars="90" w:firstLine="1"/>
              <w:rPr>
                <w:rFonts w:ascii="宋体" w:hAnsi="宋体"/>
                <w:szCs w:val="21"/>
                <w:u w:val="single"/>
              </w:rPr>
            </w:pPr>
            <w:r>
              <w:rPr>
                <w:rFonts w:hint="eastAsia" w:ascii="宋体" w:hAnsi="宋体"/>
                <w:szCs w:val="21"/>
              </w:rPr>
              <w:t>人民币（大写金额）：</w:t>
            </w:r>
            <w:r>
              <w:rPr>
                <w:rFonts w:hint="eastAsia" w:ascii="宋体" w:hAnsi="宋体"/>
                <w:szCs w:val="21"/>
                <w:u w:val="single"/>
              </w:rPr>
              <w:t xml:space="preserve">                        元整</w:t>
            </w:r>
          </w:p>
          <w:p>
            <w:pPr>
              <w:ind w:left="189" w:leftChars="90" w:firstLine="1"/>
              <w:rPr>
                <w:rFonts w:ascii="宋体" w:hAnsi="宋体"/>
                <w:szCs w:val="21"/>
              </w:rPr>
            </w:pPr>
            <w:r>
              <w:rPr>
                <w:rFonts w:hint="eastAsia" w:ascii="宋体" w:hAnsi="宋体"/>
                <w:szCs w:val="21"/>
              </w:rPr>
              <w:t>注：如有不一致，以大写为准。</w:t>
            </w:r>
          </w:p>
          <w:p>
            <w:pPr>
              <w:ind w:left="189" w:leftChars="90"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交货期</w:t>
            </w:r>
          </w:p>
        </w:tc>
        <w:tc>
          <w:tcPr>
            <w:tcW w:w="6329" w:type="dxa"/>
            <w:vAlign w:val="center"/>
          </w:tcPr>
          <w:p>
            <w:pPr>
              <w:ind w:left="189" w:leftChars="90"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1946" w:type="dxa"/>
            <w:vAlign w:val="center"/>
          </w:tcPr>
          <w:p>
            <w:pPr>
              <w:ind w:left="-13" w:leftChars="-6"/>
              <w:jc w:val="center"/>
              <w:rPr>
                <w:rFonts w:ascii="宋体" w:hAnsi="宋体"/>
                <w:b/>
                <w:szCs w:val="21"/>
              </w:rPr>
            </w:pPr>
            <w:r>
              <w:rPr>
                <w:rFonts w:hint="eastAsia" w:ascii="宋体" w:hAnsi="宋体"/>
                <w:b/>
                <w:szCs w:val="21"/>
              </w:rPr>
              <w:t>交货地点</w:t>
            </w:r>
          </w:p>
        </w:tc>
        <w:tc>
          <w:tcPr>
            <w:tcW w:w="6329" w:type="dxa"/>
            <w:vAlign w:val="center"/>
          </w:tcPr>
          <w:p>
            <w:pPr>
              <w:ind w:left="899" w:leftChars="428" w:firstLine="1"/>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1946" w:type="dxa"/>
            <w:vAlign w:val="center"/>
          </w:tcPr>
          <w:p>
            <w:pPr>
              <w:jc w:val="center"/>
              <w:rPr>
                <w:rFonts w:ascii="宋体" w:hAnsi="宋体"/>
                <w:b/>
                <w:szCs w:val="21"/>
              </w:rPr>
            </w:pPr>
            <w:r>
              <w:rPr>
                <w:rFonts w:hint="eastAsia" w:ascii="宋体" w:hAnsi="宋体"/>
                <w:b/>
                <w:szCs w:val="21"/>
              </w:rPr>
              <w:t>其他变化（如有）</w:t>
            </w:r>
          </w:p>
        </w:tc>
        <w:tc>
          <w:tcPr>
            <w:tcW w:w="6329" w:type="dxa"/>
            <w:vAlign w:val="center"/>
          </w:tcPr>
          <w:p>
            <w:pPr>
              <w:ind w:left="899" w:leftChars="428" w:firstLine="1"/>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jc w:val="center"/>
              <w:rPr>
                <w:rFonts w:ascii="宋体" w:hAnsi="宋体"/>
                <w:b/>
                <w:szCs w:val="21"/>
              </w:rPr>
            </w:pPr>
            <w:r>
              <w:rPr>
                <w:rFonts w:hint="eastAsia" w:ascii="宋体" w:hAnsi="宋体"/>
                <w:b/>
                <w:szCs w:val="21"/>
              </w:rPr>
              <w:t>声明</w:t>
            </w:r>
          </w:p>
        </w:tc>
        <w:tc>
          <w:tcPr>
            <w:tcW w:w="6329" w:type="dxa"/>
            <w:vAlign w:val="center"/>
          </w:tcPr>
          <w:p>
            <w:pPr>
              <w:pStyle w:val="39"/>
              <w:tabs>
                <w:tab w:val="left" w:pos="38"/>
              </w:tabs>
              <w:spacing w:before="120"/>
              <w:ind w:left="36" w:leftChars="17" w:firstLine="2"/>
              <w:rPr>
                <w:rFonts w:hAnsi="宋体"/>
              </w:rPr>
            </w:pPr>
            <w:r>
              <w:rPr>
                <w:rFonts w:hint="eastAsia" w:hAnsi="宋体"/>
              </w:rPr>
              <w:t>1、若本最后报价函与我方首次递交的报价函及报价函附录的内容有差异，以本最后报价函内容为准。</w:t>
            </w:r>
          </w:p>
          <w:p>
            <w:pPr>
              <w:pStyle w:val="39"/>
              <w:tabs>
                <w:tab w:val="left" w:pos="38"/>
              </w:tabs>
              <w:spacing w:before="120"/>
              <w:ind w:left="36" w:leftChars="17" w:firstLine="2"/>
              <w:rPr>
                <w:rFonts w:hAnsi="宋体"/>
              </w:rPr>
            </w:pPr>
            <w:r>
              <w:rPr>
                <w:rFonts w:hint="eastAsia" w:hAnsi="宋体"/>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tabs>
          <w:tab w:val="left" w:pos="6465"/>
        </w:tabs>
        <w:spacing w:line="360" w:lineRule="auto"/>
        <w:rPr>
          <w:rFonts w:ascii="宋体" w:hAnsi="宋体"/>
          <w:b/>
          <w:color w:val="FF0000"/>
          <w:sz w:val="24"/>
        </w:rPr>
      </w:pPr>
    </w:p>
    <w:p>
      <w:pPr>
        <w:tabs>
          <w:tab w:val="left" w:pos="6465"/>
        </w:tabs>
        <w:spacing w:line="360" w:lineRule="auto"/>
        <w:ind w:left="840" w:leftChars="400"/>
        <w:rPr>
          <w:rFonts w:ascii="宋体" w:hAnsi="宋体"/>
          <w:b/>
          <w:color w:val="FF0000"/>
          <w:sz w:val="24"/>
        </w:rPr>
      </w:pPr>
      <w:r>
        <w:rPr>
          <w:rFonts w:ascii="宋体" w:hAnsi="宋体"/>
          <w:b/>
          <w:color w:val="FF0000"/>
          <w:sz w:val="24"/>
        </w:rPr>
        <w:t>说明：</w:t>
      </w:r>
    </w:p>
    <w:p>
      <w:pPr>
        <w:tabs>
          <w:tab w:val="left" w:pos="6465"/>
        </w:tabs>
        <w:spacing w:line="360" w:lineRule="auto"/>
        <w:ind w:left="840" w:leftChars="400"/>
        <w:rPr>
          <w:rFonts w:ascii="宋体" w:hAnsi="宋体"/>
          <w:b/>
          <w:color w:val="FF0000"/>
          <w:sz w:val="24"/>
        </w:rPr>
      </w:pPr>
      <w:r>
        <w:rPr>
          <w:rFonts w:hint="eastAsia" w:ascii="宋体" w:hAnsi="宋体"/>
          <w:b/>
          <w:color w:val="FF0000"/>
          <w:sz w:val="24"/>
        </w:rPr>
        <w:t>1、本表需</w:t>
      </w:r>
      <w:r>
        <w:rPr>
          <w:rFonts w:hint="eastAsia" w:ascii="宋体" w:hAnsi="宋体"/>
          <w:b/>
          <w:color w:val="FF0000"/>
          <w:sz w:val="24"/>
          <w:u w:val="double"/>
        </w:rPr>
        <w:t>提前打印</w:t>
      </w:r>
      <w:r>
        <w:rPr>
          <w:rFonts w:hint="eastAsia" w:ascii="宋体" w:hAnsi="宋体"/>
          <w:b/>
          <w:color w:val="FF0000"/>
          <w:sz w:val="24"/>
        </w:rPr>
        <w:t>准备多份。</w:t>
      </w:r>
    </w:p>
    <w:p>
      <w:pPr>
        <w:tabs>
          <w:tab w:val="left" w:pos="6465"/>
        </w:tabs>
        <w:spacing w:line="360" w:lineRule="auto"/>
        <w:ind w:left="840" w:leftChars="400"/>
        <w:rPr>
          <w:rFonts w:ascii="宋体" w:hAnsi="宋体"/>
          <w:b/>
          <w:color w:val="FF0000"/>
          <w:sz w:val="24"/>
        </w:rPr>
      </w:pPr>
      <w:r>
        <w:rPr>
          <w:rFonts w:hint="eastAsia" w:ascii="宋体" w:hAnsi="宋体"/>
          <w:b/>
          <w:color w:val="FF0000"/>
          <w:sz w:val="24"/>
        </w:rPr>
        <w:t>2、</w:t>
      </w:r>
      <w:r>
        <w:rPr>
          <w:rFonts w:ascii="宋体" w:hAnsi="宋体"/>
          <w:b/>
          <w:color w:val="FF0000"/>
          <w:sz w:val="24"/>
        </w:rPr>
        <w:t>本表</w:t>
      </w:r>
      <w:r>
        <w:rPr>
          <w:rFonts w:ascii="宋体" w:hAnsi="宋体"/>
          <w:b/>
          <w:color w:val="FF0000"/>
          <w:sz w:val="24"/>
          <w:u w:val="double"/>
        </w:rPr>
        <w:t>请勿</w:t>
      </w:r>
      <w:r>
        <w:rPr>
          <w:rFonts w:ascii="宋体" w:hAnsi="宋体"/>
          <w:b/>
          <w:color w:val="FF0000"/>
          <w:sz w:val="24"/>
        </w:rPr>
        <w:t>装订在谈判响应文件中，待</w:t>
      </w:r>
      <w:r>
        <w:rPr>
          <w:rFonts w:hint="eastAsia" w:ascii="宋体" w:hAnsi="宋体"/>
          <w:b/>
          <w:color w:val="FF0000"/>
          <w:sz w:val="24"/>
        </w:rPr>
        <w:t>谈判单位授权代表</w:t>
      </w:r>
      <w:r>
        <w:rPr>
          <w:rFonts w:ascii="宋体" w:hAnsi="宋体"/>
          <w:b/>
          <w:color w:val="FF0000"/>
          <w:sz w:val="24"/>
        </w:rPr>
        <w:t>与谈判小组谈判后，填写最</w:t>
      </w:r>
      <w:r>
        <w:rPr>
          <w:rFonts w:hint="eastAsia" w:ascii="宋体" w:hAnsi="宋体"/>
          <w:b/>
          <w:color w:val="FF0000"/>
          <w:sz w:val="24"/>
        </w:rPr>
        <w:t>后</w:t>
      </w:r>
      <w:r>
        <w:rPr>
          <w:rFonts w:ascii="宋体" w:hAnsi="宋体"/>
          <w:b/>
          <w:color w:val="FF0000"/>
          <w:sz w:val="24"/>
        </w:rPr>
        <w:t>报价</w:t>
      </w:r>
      <w:r>
        <w:rPr>
          <w:rFonts w:hint="eastAsia" w:ascii="宋体" w:hAnsi="宋体"/>
          <w:b/>
          <w:color w:val="FF0000"/>
          <w:sz w:val="24"/>
        </w:rPr>
        <w:t>函</w:t>
      </w:r>
      <w:r>
        <w:rPr>
          <w:rFonts w:ascii="宋体" w:hAnsi="宋体"/>
          <w:b/>
          <w:color w:val="FF0000"/>
          <w:sz w:val="24"/>
        </w:rPr>
        <w:t>并由谈判</w:t>
      </w:r>
      <w:r>
        <w:rPr>
          <w:rFonts w:hint="eastAsia" w:ascii="宋体" w:hAnsi="宋体"/>
          <w:b/>
          <w:color w:val="FF0000"/>
          <w:sz w:val="24"/>
        </w:rPr>
        <w:t>单位授权</w:t>
      </w:r>
      <w:r>
        <w:rPr>
          <w:rFonts w:ascii="宋体" w:hAnsi="宋体"/>
          <w:b/>
          <w:color w:val="FF0000"/>
          <w:sz w:val="24"/>
        </w:rPr>
        <w:t>代表签字后提交谈判小组。</w:t>
      </w:r>
    </w:p>
    <w:p>
      <w:pPr>
        <w:pStyle w:val="39"/>
        <w:tabs>
          <w:tab w:val="left" w:pos="5340"/>
        </w:tabs>
        <w:spacing w:before="120"/>
        <w:ind w:firstLine="720" w:firstLineChars="300"/>
        <w:rPr>
          <w:rFonts w:ascii="仿宋_GB2312" w:hAnsi="宋体" w:eastAsia="仿宋_GB2312"/>
          <w:sz w:val="24"/>
          <w:u w:val="single"/>
        </w:rPr>
      </w:pPr>
      <w:r>
        <w:rPr>
          <w:rFonts w:hint="eastAsia" w:ascii="仿宋_GB2312" w:hAnsi="宋体" w:eastAsia="仿宋_GB2312"/>
          <w:sz w:val="24"/>
        </w:rPr>
        <w:t>供应商法人代表或授权代表(签字)：</w:t>
      </w:r>
      <w:r>
        <w:rPr>
          <w:rFonts w:ascii="仿宋_GB2312" w:hAnsi="宋体" w:eastAsia="仿宋_GB2312"/>
          <w:sz w:val="24"/>
          <w:u w:val="single"/>
        </w:rPr>
        <w:tab/>
      </w:r>
    </w:p>
    <w:p>
      <w:pPr>
        <w:pStyle w:val="39"/>
        <w:tabs>
          <w:tab w:val="left" w:pos="5580"/>
        </w:tabs>
        <w:spacing w:before="120"/>
        <w:ind w:firstLine="720" w:firstLineChars="300"/>
        <w:rPr>
          <w:rFonts w:ascii="仿宋_GB2312" w:hAnsi="宋体" w:eastAsia="仿宋_GB2312"/>
          <w:sz w:val="24"/>
          <w:u w:val="single"/>
        </w:rPr>
      </w:pPr>
      <w:r>
        <w:rPr>
          <w:rFonts w:hint="eastAsia" w:ascii="仿宋_GB2312" w:hAnsi="宋体" w:eastAsia="仿宋_GB2312"/>
          <w:sz w:val="24"/>
        </w:rPr>
        <w:t>日期：</w:t>
      </w:r>
    </w:p>
    <w:p>
      <w:pPr>
        <w:pStyle w:val="39"/>
        <w:tabs>
          <w:tab w:val="left" w:pos="5580"/>
        </w:tabs>
        <w:spacing w:before="120"/>
        <w:ind w:firstLine="720" w:firstLineChars="300"/>
        <w:rPr>
          <w:rFonts w:ascii="仿宋_GB2312" w:hAnsi="宋体" w:eastAsia="仿宋_GB2312"/>
          <w:sz w:val="24"/>
          <w:u w:val="single"/>
        </w:rPr>
      </w:pPr>
    </w:p>
    <w:bookmarkEnd w:id="235"/>
    <w:p>
      <w:pPr>
        <w:widowControl/>
        <w:jc w:val="left"/>
        <w:rPr>
          <w:b/>
          <w:sz w:val="24"/>
        </w:rPr>
      </w:pPr>
    </w:p>
    <w:p>
      <w:pPr>
        <w:pStyle w:val="4"/>
        <w:rPr>
          <w:rFonts w:ascii="宋体" w:hAnsi="宋体" w:cs="黑体"/>
          <w:kern w:val="0"/>
          <w:sz w:val="24"/>
        </w:rPr>
      </w:pPr>
      <w:r>
        <w:rPr>
          <w:rFonts w:hint="eastAsia" w:ascii="宋体" w:hAnsi="宋体" w:cs="黑体"/>
          <w:kern w:val="0"/>
          <w:sz w:val="24"/>
        </w:rPr>
        <w:t>附件1</w:t>
      </w:r>
      <w:r>
        <w:rPr>
          <w:rFonts w:ascii="宋体" w:hAnsi="宋体" w:cs="黑体"/>
          <w:kern w:val="0"/>
          <w:sz w:val="24"/>
        </w:rPr>
        <w:t xml:space="preserve">8  </w:t>
      </w:r>
      <w:r>
        <w:rPr>
          <w:rFonts w:hint="eastAsia" w:ascii="宋体" w:hAnsi="宋体" w:cs="黑体"/>
          <w:kern w:val="0"/>
          <w:sz w:val="24"/>
        </w:rPr>
        <w:t>谈判文件要求的其他内容以及供应商认为必要的其他内容。</w:t>
      </w:r>
    </w:p>
    <w:p>
      <w:pPr>
        <w:widowControl/>
        <w:jc w:val="left"/>
        <w:rPr>
          <w:b/>
          <w:sz w:val="24"/>
        </w:rPr>
      </w:pPr>
      <w:r>
        <w:rPr>
          <w:rFonts w:hint="eastAsia" w:ascii="宋体" w:hAnsi="宋体" w:cs="宋体"/>
          <w:kern w:val="0"/>
          <w:sz w:val="20"/>
          <w:szCs w:val="20"/>
        </w:rPr>
        <w:t xml:space="preserve"> </w:t>
      </w:r>
    </w:p>
    <w:sectPr>
      <w:headerReference r:id="rId9" w:type="default"/>
      <w:footerReference r:id="rId10" w:type="default"/>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779565"/>
    </w:sdtPr>
    <w:sdtContent>
      <w:p>
        <w:pPr>
          <w:pStyle w:val="48"/>
          <w:jc w:val="center"/>
        </w:pPr>
        <w:r>
          <w:fldChar w:fldCharType="begin"/>
        </w:r>
        <w:r>
          <w:instrText xml:space="preserve">PAGE   \* MERGEFORMAT</w:instrText>
        </w:r>
        <w:r>
          <w:fldChar w:fldCharType="separate"/>
        </w:r>
        <w:r>
          <w:rPr>
            <w:lang w:val="zh-CN"/>
          </w:rPr>
          <w:t>39</w:t>
        </w:r>
        <w:r>
          <w:fldChar w:fldCharType="end"/>
        </w:r>
      </w:p>
    </w:sdtContent>
  </w:sdt>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rPr>
        <w:rFonts w:ascii="宋体" w:hAnsi="宋体"/>
      </w:rPr>
      <w:fldChar w:fldCharType="begin"/>
    </w:r>
    <w:r>
      <w:rPr>
        <w:rStyle w:val="78"/>
        <w:rFonts w:ascii="宋体" w:hAnsi="宋体"/>
      </w:rPr>
      <w:instrText xml:space="preserve"> PAGE </w:instrText>
    </w:r>
    <w:r>
      <w:rPr>
        <w:rFonts w:ascii="宋体" w:hAnsi="宋体"/>
      </w:rPr>
      <w:fldChar w:fldCharType="separate"/>
    </w:r>
    <w:r>
      <w:rPr>
        <w:rStyle w:val="78"/>
        <w:rFonts w:ascii="宋体" w:hAnsi="宋体"/>
      </w:rPr>
      <w:t>70</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rPr>
        <w:rFonts w:ascii="宋体" w:hAnsi="宋体"/>
      </w:rPr>
      <w:fldChar w:fldCharType="begin"/>
    </w:r>
    <w:r>
      <w:rPr>
        <w:rStyle w:val="78"/>
        <w:rFonts w:ascii="宋体" w:hAnsi="宋体"/>
      </w:rPr>
      <w:instrText xml:space="preserve"> PAGE </w:instrText>
    </w:r>
    <w:r>
      <w:rPr>
        <w:rFonts w:ascii="宋体" w:hAnsi="宋体"/>
      </w:rPr>
      <w:fldChar w:fldCharType="separate"/>
    </w:r>
    <w:r>
      <w:rPr>
        <w:rStyle w:val="78"/>
        <w:rFonts w:ascii="宋体" w:hAnsi="宋体"/>
      </w:rPr>
      <w:t>71</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ind w:firstLine="90" w:firstLineChars="50"/>
      <w:jc w:val="center"/>
    </w:pPr>
    <w:r>
      <w:fldChar w:fldCharType="begin"/>
    </w:r>
    <w:r>
      <w:rPr>
        <w:rStyle w:val="78"/>
      </w:rPr>
      <w:instrText xml:space="preserve"> PAGE </w:instrText>
    </w:r>
    <w:r>
      <w:fldChar w:fldCharType="separate"/>
    </w:r>
    <w:r>
      <w:rPr>
        <w:rStyle w:val="78"/>
      </w:rPr>
      <w:t>72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tentative="0">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tentative="0">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tentative="0">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tentative="0">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tentative="0">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tentative="0">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tentative="0">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tentative="0">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nsid w:val="0000001D"/>
    <w:multiLevelType w:val="multilevel"/>
    <w:tmpl w:val="0000001D"/>
    <w:lvl w:ilvl="0" w:tentative="0">
      <w:start w:val="1"/>
      <w:numFmt w:val="decimal"/>
      <w:lvlText w:val="附件%1"/>
      <w:lvlJc w:val="left"/>
      <w:pPr>
        <w:tabs>
          <w:tab w:val="left" w:pos="1134"/>
        </w:tabs>
        <w:ind w:left="1134" w:hanging="1134"/>
      </w:pPr>
      <w:rPr>
        <w:rFonts w:hint="eastAsia" w:eastAsia="宋体"/>
        <w:b/>
        <w:i w:val="0"/>
        <w:sz w:val="24"/>
        <w:szCs w:val="28"/>
      </w:rPr>
    </w:lvl>
    <w:lvl w:ilvl="1" w:tentative="0">
      <w:start w:val="1"/>
      <w:numFmt w:val="decimal"/>
      <w:lvlText w:val="%2、"/>
      <w:lvlJc w:val="left"/>
      <w:pPr>
        <w:tabs>
          <w:tab w:val="left" w:pos="786"/>
        </w:tabs>
        <w:ind w:left="786" w:hanging="360"/>
      </w:pPr>
      <w:rPr>
        <w:rFonts w:hint="default" w:hAnsi="宋体"/>
        <w:color w:val="000000"/>
      </w:rPr>
    </w:lvl>
    <w:lvl w:ilvl="2" w:tentative="0">
      <w:start w:val="1"/>
      <w:numFmt w:val="decimal"/>
      <w:lvlText w:val="%3."/>
      <w:lvlJc w:val="left"/>
      <w:pPr>
        <w:tabs>
          <w:tab w:val="left" w:pos="1260"/>
        </w:tabs>
        <w:ind w:left="1260" w:hanging="420"/>
      </w:pPr>
      <w:rPr>
        <w:rFonts w:hint="eastAsia"/>
        <w:b/>
        <w:i w:val="0"/>
        <w:sz w:val="24"/>
        <w:szCs w:val="28"/>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C"/>
    <w:multiLevelType w:val="multilevel"/>
    <w:tmpl w:val="0000003C"/>
    <w:lvl w:ilvl="0" w:tentative="0">
      <w:start w:val="1"/>
      <w:numFmt w:val="decimal"/>
      <w:lvlText w:val="（%1）"/>
      <w:lvlJc w:val="left"/>
      <w:pPr>
        <w:tabs>
          <w:tab w:val="left" w:pos="1122"/>
        </w:tabs>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3754B41"/>
    <w:multiLevelType w:val="multilevel"/>
    <w:tmpl w:val="03754B41"/>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4">
    <w:nsid w:val="121B46AF"/>
    <w:multiLevelType w:val="multilevel"/>
    <w:tmpl w:val="121B46AF"/>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EA2E38"/>
    <w:multiLevelType w:val="multilevel"/>
    <w:tmpl w:val="13EA2E38"/>
    <w:lvl w:ilvl="0" w:tentative="0">
      <w:start w:val="2"/>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44635B"/>
    <w:multiLevelType w:val="multilevel"/>
    <w:tmpl w:val="1644635B"/>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7">
    <w:nsid w:val="2B4357F3"/>
    <w:multiLevelType w:val="multilevel"/>
    <w:tmpl w:val="2B4357F3"/>
    <w:lvl w:ilvl="0" w:tentative="0">
      <w:start w:val="1"/>
      <w:numFmt w:val="decimal"/>
      <w:lvlText w:val="（%1）"/>
      <w:lvlJc w:val="left"/>
      <w:pPr>
        <w:ind w:left="1552" w:hanging="420"/>
      </w:pPr>
      <w:rPr>
        <w:rFonts w:hint="eastAsia"/>
      </w:rPr>
    </w:lvl>
    <w:lvl w:ilvl="1" w:tentative="0">
      <w:start w:val="1"/>
      <w:numFmt w:val="decimal"/>
      <w:lvlText w:val="%2"/>
      <w:lvlJc w:val="left"/>
      <w:pPr>
        <w:ind w:left="1912" w:hanging="360"/>
      </w:pPr>
      <w:rPr>
        <w:rFonts w:hint="default"/>
      </w:rPr>
    </w:lvl>
    <w:lvl w:ilvl="2" w:tentative="0">
      <w:start w:val="1"/>
      <w:numFmt w:val="decimal"/>
      <w:lvlText w:val="(%3)"/>
      <w:lvlJc w:val="left"/>
      <w:pPr>
        <w:ind w:left="2557" w:hanging="585"/>
      </w:pPr>
      <w:rPr>
        <w:rFonts w:hint="default"/>
      </w:rPr>
    </w:lvl>
    <w:lvl w:ilvl="3" w:tentative="0">
      <w:start w:val="1"/>
      <w:numFmt w:val="decimal"/>
      <w:lvlText w:val="%4."/>
      <w:lvlJc w:val="left"/>
      <w:pPr>
        <w:ind w:left="2812" w:hanging="420"/>
      </w:pPr>
    </w:lvl>
    <w:lvl w:ilvl="4" w:tentative="0">
      <w:start w:val="1"/>
      <w:numFmt w:val="lowerLetter"/>
      <w:lvlText w:val="%5)"/>
      <w:lvlJc w:val="left"/>
      <w:pPr>
        <w:ind w:left="3232" w:hanging="420"/>
      </w:pPr>
    </w:lvl>
    <w:lvl w:ilvl="5" w:tentative="0">
      <w:start w:val="1"/>
      <w:numFmt w:val="lowerRoman"/>
      <w:lvlText w:val="%6."/>
      <w:lvlJc w:val="right"/>
      <w:pPr>
        <w:ind w:left="3652" w:hanging="420"/>
      </w:pPr>
    </w:lvl>
    <w:lvl w:ilvl="6" w:tentative="0">
      <w:start w:val="1"/>
      <w:numFmt w:val="decimal"/>
      <w:lvlText w:val="%7."/>
      <w:lvlJc w:val="left"/>
      <w:pPr>
        <w:ind w:left="4072" w:hanging="420"/>
      </w:pPr>
    </w:lvl>
    <w:lvl w:ilvl="7" w:tentative="0">
      <w:start w:val="1"/>
      <w:numFmt w:val="lowerLetter"/>
      <w:lvlText w:val="%8)"/>
      <w:lvlJc w:val="left"/>
      <w:pPr>
        <w:ind w:left="4492" w:hanging="420"/>
      </w:pPr>
    </w:lvl>
    <w:lvl w:ilvl="8" w:tentative="0">
      <w:start w:val="1"/>
      <w:numFmt w:val="lowerRoman"/>
      <w:lvlText w:val="%9."/>
      <w:lvlJc w:val="right"/>
      <w:pPr>
        <w:ind w:left="4912" w:hanging="420"/>
      </w:pPr>
    </w:lvl>
  </w:abstractNum>
  <w:abstractNum w:abstractNumId="8">
    <w:nsid w:val="30014819"/>
    <w:multiLevelType w:val="multilevel"/>
    <w:tmpl w:val="30014819"/>
    <w:lvl w:ilvl="0" w:tentative="0">
      <w:start w:val="9"/>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5A59B0"/>
    <w:multiLevelType w:val="multilevel"/>
    <w:tmpl w:val="365A59B0"/>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0">
    <w:nsid w:val="39012C5F"/>
    <w:multiLevelType w:val="multilevel"/>
    <w:tmpl w:val="39012C5F"/>
    <w:lvl w:ilvl="0" w:tentative="0">
      <w:start w:val="2"/>
      <w:numFmt w:val="decimal"/>
      <w:lvlText w:val="%1."/>
      <w:lvlJc w:val="left"/>
      <w:pPr>
        <w:ind w:left="328" w:hanging="361"/>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11">
    <w:nsid w:val="39D71C4F"/>
    <w:multiLevelType w:val="multilevel"/>
    <w:tmpl w:val="39D71C4F"/>
    <w:lvl w:ilvl="0" w:tentative="0">
      <w:start w:val="1"/>
      <w:numFmt w:val="decimal"/>
      <w:lvlText w:val="（%1）"/>
      <w:lvlJc w:val="left"/>
      <w:pPr>
        <w:ind w:left="1409" w:hanging="601"/>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358" w:hanging="601"/>
      </w:pPr>
      <w:rPr>
        <w:rFonts w:hint="default"/>
        <w:lang w:val="zh-CN" w:eastAsia="zh-CN" w:bidi="zh-CN"/>
      </w:rPr>
    </w:lvl>
    <w:lvl w:ilvl="2" w:tentative="0">
      <w:start w:val="0"/>
      <w:numFmt w:val="bullet"/>
      <w:lvlText w:val="•"/>
      <w:lvlJc w:val="left"/>
      <w:pPr>
        <w:ind w:left="3317" w:hanging="601"/>
      </w:pPr>
      <w:rPr>
        <w:rFonts w:hint="default"/>
        <w:lang w:val="zh-CN" w:eastAsia="zh-CN" w:bidi="zh-CN"/>
      </w:rPr>
    </w:lvl>
    <w:lvl w:ilvl="3" w:tentative="0">
      <w:start w:val="0"/>
      <w:numFmt w:val="bullet"/>
      <w:lvlText w:val="•"/>
      <w:lvlJc w:val="left"/>
      <w:pPr>
        <w:ind w:left="427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93" w:hanging="601"/>
      </w:pPr>
      <w:rPr>
        <w:rFonts w:hint="default"/>
        <w:lang w:val="zh-CN" w:eastAsia="zh-CN" w:bidi="zh-CN"/>
      </w:rPr>
    </w:lvl>
    <w:lvl w:ilvl="6" w:tentative="0">
      <w:start w:val="0"/>
      <w:numFmt w:val="bullet"/>
      <w:lvlText w:val="•"/>
      <w:lvlJc w:val="left"/>
      <w:pPr>
        <w:ind w:left="7151" w:hanging="601"/>
      </w:pPr>
      <w:rPr>
        <w:rFonts w:hint="default"/>
        <w:lang w:val="zh-CN" w:eastAsia="zh-CN" w:bidi="zh-CN"/>
      </w:rPr>
    </w:lvl>
    <w:lvl w:ilvl="7" w:tentative="0">
      <w:start w:val="0"/>
      <w:numFmt w:val="bullet"/>
      <w:lvlText w:val="•"/>
      <w:lvlJc w:val="left"/>
      <w:pPr>
        <w:ind w:left="8110" w:hanging="601"/>
      </w:pPr>
      <w:rPr>
        <w:rFonts w:hint="default"/>
        <w:lang w:val="zh-CN" w:eastAsia="zh-CN" w:bidi="zh-CN"/>
      </w:rPr>
    </w:lvl>
    <w:lvl w:ilvl="8" w:tentative="0">
      <w:start w:val="0"/>
      <w:numFmt w:val="bullet"/>
      <w:lvlText w:val="•"/>
      <w:lvlJc w:val="left"/>
      <w:pPr>
        <w:ind w:left="9069" w:hanging="601"/>
      </w:pPr>
      <w:rPr>
        <w:rFonts w:hint="default"/>
        <w:lang w:val="zh-CN" w:eastAsia="zh-CN" w:bidi="zh-CN"/>
      </w:rPr>
    </w:lvl>
  </w:abstractNum>
  <w:abstractNum w:abstractNumId="12">
    <w:nsid w:val="3B19751C"/>
    <w:multiLevelType w:val="multilevel"/>
    <w:tmpl w:val="3B19751C"/>
    <w:lvl w:ilvl="0" w:tentative="0">
      <w:start w:val="1"/>
      <w:numFmt w:val="chineseCountingThousand"/>
      <w:lvlText w:val="%1、"/>
      <w:lvlJc w:val="left"/>
      <w:pPr>
        <w:ind w:left="3539"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636EC0"/>
    <w:multiLevelType w:val="multilevel"/>
    <w:tmpl w:val="3F636EC0"/>
    <w:lvl w:ilvl="0" w:tentative="0">
      <w:start w:val="1"/>
      <w:numFmt w:val="decimal"/>
      <w:lvlText w:val="%1."/>
      <w:lvlJc w:val="left"/>
      <w:pPr>
        <w:ind w:left="328"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86" w:hanging="365"/>
      </w:pPr>
      <w:rPr>
        <w:rFonts w:hint="default"/>
        <w:lang w:val="zh-CN" w:eastAsia="zh-CN" w:bidi="zh-CN"/>
      </w:rPr>
    </w:lvl>
    <w:lvl w:ilvl="2" w:tentative="0">
      <w:start w:val="0"/>
      <w:numFmt w:val="bullet"/>
      <w:lvlText w:val="•"/>
      <w:lvlJc w:val="left"/>
      <w:pPr>
        <w:ind w:left="2453" w:hanging="365"/>
      </w:pPr>
      <w:rPr>
        <w:rFonts w:hint="default"/>
        <w:lang w:val="zh-CN" w:eastAsia="zh-CN" w:bidi="zh-CN"/>
      </w:rPr>
    </w:lvl>
    <w:lvl w:ilvl="3" w:tentative="0">
      <w:start w:val="0"/>
      <w:numFmt w:val="bullet"/>
      <w:lvlText w:val="•"/>
      <w:lvlJc w:val="left"/>
      <w:pPr>
        <w:ind w:left="3519" w:hanging="365"/>
      </w:pPr>
      <w:rPr>
        <w:rFonts w:hint="default"/>
        <w:lang w:val="zh-CN" w:eastAsia="zh-CN" w:bidi="zh-CN"/>
      </w:rPr>
    </w:lvl>
    <w:lvl w:ilvl="4" w:tentative="0">
      <w:start w:val="0"/>
      <w:numFmt w:val="bullet"/>
      <w:lvlText w:val="•"/>
      <w:lvlJc w:val="left"/>
      <w:pPr>
        <w:ind w:left="4586" w:hanging="365"/>
      </w:pPr>
      <w:rPr>
        <w:rFonts w:hint="default"/>
        <w:lang w:val="zh-CN" w:eastAsia="zh-CN" w:bidi="zh-CN"/>
      </w:rPr>
    </w:lvl>
    <w:lvl w:ilvl="5" w:tentative="0">
      <w:start w:val="0"/>
      <w:numFmt w:val="bullet"/>
      <w:lvlText w:val="•"/>
      <w:lvlJc w:val="left"/>
      <w:pPr>
        <w:ind w:left="5653" w:hanging="365"/>
      </w:pPr>
      <w:rPr>
        <w:rFonts w:hint="default"/>
        <w:lang w:val="zh-CN" w:eastAsia="zh-CN" w:bidi="zh-CN"/>
      </w:rPr>
    </w:lvl>
    <w:lvl w:ilvl="6" w:tentative="0">
      <w:start w:val="0"/>
      <w:numFmt w:val="bullet"/>
      <w:lvlText w:val="•"/>
      <w:lvlJc w:val="left"/>
      <w:pPr>
        <w:ind w:left="6719" w:hanging="365"/>
      </w:pPr>
      <w:rPr>
        <w:rFonts w:hint="default"/>
        <w:lang w:val="zh-CN" w:eastAsia="zh-CN" w:bidi="zh-CN"/>
      </w:rPr>
    </w:lvl>
    <w:lvl w:ilvl="7" w:tentative="0">
      <w:start w:val="0"/>
      <w:numFmt w:val="bullet"/>
      <w:lvlText w:val="•"/>
      <w:lvlJc w:val="left"/>
      <w:pPr>
        <w:ind w:left="7786" w:hanging="365"/>
      </w:pPr>
      <w:rPr>
        <w:rFonts w:hint="default"/>
        <w:lang w:val="zh-CN" w:eastAsia="zh-CN" w:bidi="zh-CN"/>
      </w:rPr>
    </w:lvl>
    <w:lvl w:ilvl="8" w:tentative="0">
      <w:start w:val="0"/>
      <w:numFmt w:val="bullet"/>
      <w:lvlText w:val="•"/>
      <w:lvlJc w:val="left"/>
      <w:pPr>
        <w:ind w:left="8853" w:hanging="365"/>
      </w:pPr>
      <w:rPr>
        <w:rFonts w:hint="default"/>
        <w:lang w:val="zh-CN" w:eastAsia="zh-CN" w:bidi="zh-CN"/>
      </w:rPr>
    </w:lvl>
  </w:abstractNum>
  <w:abstractNum w:abstractNumId="14">
    <w:nsid w:val="4887335B"/>
    <w:multiLevelType w:val="multilevel"/>
    <w:tmpl w:val="4887335B"/>
    <w:lvl w:ilvl="0" w:tentative="0">
      <w:start w:val="12"/>
      <w:numFmt w:val="decimal"/>
      <w:lvlText w:val="%1．"/>
      <w:lvlJc w:val="left"/>
      <w:pPr>
        <w:tabs>
          <w:tab w:val="left" w:pos="426"/>
        </w:tabs>
        <w:ind w:left="426" w:hanging="420"/>
      </w:pPr>
      <w:rPr>
        <w:rFonts w:hint="default"/>
        <w:b/>
      </w:rPr>
    </w:lvl>
    <w:lvl w:ilvl="1" w:tentative="0">
      <w:start w:val="12"/>
      <w:numFmt w:val="decimal"/>
      <w:lvlText w:val="%2、"/>
      <w:lvlJc w:val="left"/>
      <w:pPr>
        <w:tabs>
          <w:tab w:val="left" w:pos="846"/>
        </w:tabs>
        <w:ind w:left="846" w:hanging="420"/>
      </w:pPr>
      <w:rPr>
        <w:rFonts w:hint="default"/>
        <w:b/>
      </w:rPr>
    </w:lvl>
    <w:lvl w:ilvl="2" w:tentative="0">
      <w:start w:val="1"/>
      <w:numFmt w:val="lowerRoman"/>
      <w:lvlText w:val="%3."/>
      <w:lvlJc w:val="right"/>
      <w:pPr>
        <w:tabs>
          <w:tab w:val="left" w:pos="1266"/>
        </w:tabs>
        <w:ind w:left="1266" w:hanging="420"/>
      </w:pPr>
    </w:lvl>
    <w:lvl w:ilvl="3" w:tentative="0">
      <w:start w:val="1"/>
      <w:numFmt w:val="decimal"/>
      <w:lvlText w:val="%4."/>
      <w:lvlJc w:val="left"/>
      <w:pPr>
        <w:tabs>
          <w:tab w:val="left" w:pos="1686"/>
        </w:tabs>
        <w:ind w:left="1686" w:hanging="420"/>
      </w:pPr>
    </w:lvl>
    <w:lvl w:ilvl="4" w:tentative="0">
      <w:start w:val="1"/>
      <w:numFmt w:val="lowerLetter"/>
      <w:lvlText w:val="%5)"/>
      <w:lvlJc w:val="left"/>
      <w:pPr>
        <w:tabs>
          <w:tab w:val="left" w:pos="2106"/>
        </w:tabs>
        <w:ind w:left="2106" w:hanging="420"/>
      </w:pPr>
    </w:lvl>
    <w:lvl w:ilvl="5" w:tentative="0">
      <w:start w:val="1"/>
      <w:numFmt w:val="lowerRoman"/>
      <w:lvlText w:val="%6."/>
      <w:lvlJc w:val="right"/>
      <w:pPr>
        <w:tabs>
          <w:tab w:val="left" w:pos="2526"/>
        </w:tabs>
        <w:ind w:left="2526" w:hanging="420"/>
      </w:pPr>
    </w:lvl>
    <w:lvl w:ilvl="6" w:tentative="0">
      <w:start w:val="1"/>
      <w:numFmt w:val="decimal"/>
      <w:lvlText w:val="%7."/>
      <w:lvlJc w:val="left"/>
      <w:pPr>
        <w:tabs>
          <w:tab w:val="left" w:pos="2946"/>
        </w:tabs>
        <w:ind w:left="2946" w:hanging="420"/>
      </w:pPr>
    </w:lvl>
    <w:lvl w:ilvl="7" w:tentative="0">
      <w:start w:val="1"/>
      <w:numFmt w:val="lowerLetter"/>
      <w:lvlText w:val="%8)"/>
      <w:lvlJc w:val="left"/>
      <w:pPr>
        <w:tabs>
          <w:tab w:val="left" w:pos="3366"/>
        </w:tabs>
        <w:ind w:left="3366" w:hanging="420"/>
      </w:pPr>
    </w:lvl>
    <w:lvl w:ilvl="8" w:tentative="0">
      <w:start w:val="1"/>
      <w:numFmt w:val="lowerRoman"/>
      <w:lvlText w:val="%9."/>
      <w:lvlJc w:val="right"/>
      <w:pPr>
        <w:tabs>
          <w:tab w:val="left" w:pos="3786"/>
        </w:tabs>
        <w:ind w:left="3786" w:hanging="420"/>
      </w:pPr>
    </w:lvl>
  </w:abstractNum>
  <w:abstractNum w:abstractNumId="15">
    <w:nsid w:val="561B1DFB"/>
    <w:multiLevelType w:val="multilevel"/>
    <w:tmpl w:val="561B1DFB"/>
    <w:lvl w:ilvl="0" w:tentative="0">
      <w:start w:val="1"/>
      <w:numFmt w:val="decimal"/>
      <w:lvlText w:val="%1."/>
      <w:lvlJc w:val="left"/>
      <w:pPr>
        <w:ind w:left="328" w:hanging="36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16">
    <w:nsid w:val="5AA8DCB0"/>
    <w:multiLevelType w:val="singleLevel"/>
    <w:tmpl w:val="5AA8DCB0"/>
    <w:lvl w:ilvl="0" w:tentative="0">
      <w:start w:val="1"/>
      <w:numFmt w:val="decimal"/>
      <w:suff w:val="nothing"/>
      <w:lvlText w:val="%1、"/>
      <w:lvlJc w:val="left"/>
    </w:lvl>
  </w:abstractNum>
  <w:abstractNum w:abstractNumId="17">
    <w:nsid w:val="5AAB3475"/>
    <w:multiLevelType w:val="singleLevel"/>
    <w:tmpl w:val="5AAB3475"/>
    <w:lvl w:ilvl="0" w:tentative="0">
      <w:start w:val="1"/>
      <w:numFmt w:val="decimal"/>
      <w:suff w:val="nothing"/>
      <w:lvlText w:val="%1."/>
      <w:lvlJc w:val="left"/>
      <w:pPr>
        <w:ind w:left="425" w:hanging="425"/>
      </w:pPr>
      <w:rPr>
        <w:rFonts w:hint="default"/>
      </w:rPr>
    </w:lvl>
  </w:abstractNum>
  <w:abstractNum w:abstractNumId="18">
    <w:nsid w:val="5AAB6138"/>
    <w:multiLevelType w:val="multilevel"/>
    <w:tmpl w:val="5AAB6138"/>
    <w:lvl w:ilvl="0" w:tentative="0">
      <w:start w:val="1"/>
      <w:numFmt w:val="decimal"/>
      <w:lvlText w:val="（%1）"/>
      <w:lvlJc w:val="left"/>
      <w:pPr>
        <w:ind w:left="1499" w:hanging="420"/>
      </w:pPr>
      <w:rPr>
        <w:rFonts w:hint="eastAsia"/>
      </w:rPr>
    </w:lvl>
    <w:lvl w:ilvl="1" w:tentative="0">
      <w:start w:val="1"/>
      <w:numFmt w:val="lowerLetter"/>
      <w:lvlText w:val="%2)"/>
      <w:lvlJc w:val="left"/>
      <w:pPr>
        <w:ind w:left="1919" w:hanging="420"/>
      </w:pPr>
    </w:lvl>
    <w:lvl w:ilvl="2" w:tentative="0">
      <w:start w:val="1"/>
      <w:numFmt w:val="lowerRoman"/>
      <w:lvlText w:val="%3."/>
      <w:lvlJc w:val="right"/>
      <w:pPr>
        <w:ind w:left="2339" w:hanging="420"/>
      </w:pPr>
    </w:lvl>
    <w:lvl w:ilvl="3" w:tentative="0">
      <w:start w:val="1"/>
      <w:numFmt w:val="decimal"/>
      <w:lvlText w:val="%4."/>
      <w:lvlJc w:val="left"/>
      <w:pPr>
        <w:ind w:left="2759" w:hanging="420"/>
      </w:pPr>
    </w:lvl>
    <w:lvl w:ilvl="4" w:tentative="0">
      <w:start w:val="1"/>
      <w:numFmt w:val="lowerLetter"/>
      <w:lvlText w:val="%5)"/>
      <w:lvlJc w:val="left"/>
      <w:pPr>
        <w:ind w:left="3179" w:hanging="420"/>
      </w:pPr>
    </w:lvl>
    <w:lvl w:ilvl="5" w:tentative="0">
      <w:start w:val="1"/>
      <w:numFmt w:val="lowerRoman"/>
      <w:lvlText w:val="%6."/>
      <w:lvlJc w:val="right"/>
      <w:pPr>
        <w:ind w:left="3599" w:hanging="420"/>
      </w:pPr>
    </w:lvl>
    <w:lvl w:ilvl="6" w:tentative="0">
      <w:start w:val="1"/>
      <w:numFmt w:val="decimal"/>
      <w:lvlText w:val="%7."/>
      <w:lvlJc w:val="left"/>
      <w:pPr>
        <w:ind w:left="4019" w:hanging="420"/>
      </w:pPr>
    </w:lvl>
    <w:lvl w:ilvl="7" w:tentative="0">
      <w:start w:val="1"/>
      <w:numFmt w:val="lowerLetter"/>
      <w:lvlText w:val="%8)"/>
      <w:lvlJc w:val="left"/>
      <w:pPr>
        <w:ind w:left="4439" w:hanging="420"/>
      </w:pPr>
    </w:lvl>
    <w:lvl w:ilvl="8" w:tentative="0">
      <w:start w:val="1"/>
      <w:numFmt w:val="lowerRoman"/>
      <w:lvlText w:val="%9."/>
      <w:lvlJc w:val="right"/>
      <w:pPr>
        <w:ind w:left="4859" w:hanging="420"/>
      </w:pPr>
    </w:lvl>
  </w:abstractNum>
  <w:abstractNum w:abstractNumId="19">
    <w:nsid w:val="5B615E8C"/>
    <w:multiLevelType w:val="multilevel"/>
    <w:tmpl w:val="5B615E8C"/>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0">
    <w:nsid w:val="6D0118D3"/>
    <w:multiLevelType w:val="multilevel"/>
    <w:tmpl w:val="6D0118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D760A12"/>
    <w:multiLevelType w:val="multilevel"/>
    <w:tmpl w:val="6D760A12"/>
    <w:lvl w:ilvl="0" w:tentative="0">
      <w:start w:val="1"/>
      <w:numFmt w:val="decimal"/>
      <w:lvlText w:val="%1."/>
      <w:lvlJc w:val="left"/>
      <w:pPr>
        <w:ind w:left="328" w:hanging="36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22">
    <w:nsid w:val="6E8B1197"/>
    <w:multiLevelType w:val="multilevel"/>
    <w:tmpl w:val="6E8B1197"/>
    <w:lvl w:ilvl="0" w:tentative="0">
      <w:start w:val="1"/>
      <w:numFmt w:val="decimal"/>
      <w:lvlText w:val="（%1）"/>
      <w:lvlJc w:val="left"/>
      <w:pPr>
        <w:ind w:left="1554" w:hanging="420"/>
      </w:pPr>
      <w:rPr>
        <w:rFonts w:hint="eastAsia"/>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3">
    <w:nsid w:val="75047303"/>
    <w:multiLevelType w:val="multilevel"/>
    <w:tmpl w:val="75047303"/>
    <w:lvl w:ilvl="0" w:tentative="0">
      <w:start w:val="1"/>
      <w:numFmt w:val="decimal"/>
      <w:lvlText w:val="%1"/>
      <w:lvlJc w:val="left"/>
      <w:pPr>
        <w:tabs>
          <w:tab w:val="left" w:pos="1077"/>
        </w:tabs>
        <w:ind w:left="1077" w:hanging="1077"/>
      </w:pPr>
      <w:rPr>
        <w:rFonts w:hint="eastAsia"/>
      </w:rPr>
    </w:lvl>
    <w:lvl w:ilvl="1" w:tentative="0">
      <w:start w:val="1"/>
      <w:numFmt w:val="decimal"/>
      <w:lvlText w:val="%1.%2"/>
      <w:lvlJc w:val="left"/>
      <w:pPr>
        <w:tabs>
          <w:tab w:val="left" w:pos="1077"/>
        </w:tabs>
        <w:ind w:left="1077" w:hanging="107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77303B58"/>
    <w:multiLevelType w:val="multilevel"/>
    <w:tmpl w:val="77303B58"/>
    <w:lvl w:ilvl="0" w:tentative="0">
      <w:start w:val="1"/>
      <w:numFmt w:val="decimal"/>
      <w:lvlText w:val="（%1）"/>
      <w:lvlJc w:val="left"/>
      <w:pPr>
        <w:ind w:left="1501" w:hanging="420"/>
      </w:pPr>
      <w:rPr>
        <w:rFonts w:hint="eastAsia"/>
      </w:rPr>
    </w:lvl>
    <w:lvl w:ilvl="1" w:tentative="0">
      <w:start w:val="1"/>
      <w:numFmt w:val="lowerLetter"/>
      <w:lvlText w:val="%2)"/>
      <w:lvlJc w:val="left"/>
      <w:pPr>
        <w:ind w:left="1921" w:hanging="420"/>
      </w:pPr>
    </w:lvl>
    <w:lvl w:ilvl="2" w:tentative="0">
      <w:start w:val="1"/>
      <w:numFmt w:val="lowerRoman"/>
      <w:lvlText w:val="%3."/>
      <w:lvlJc w:val="right"/>
      <w:pPr>
        <w:ind w:left="2341" w:hanging="420"/>
      </w:pPr>
    </w:lvl>
    <w:lvl w:ilvl="3" w:tentative="0">
      <w:start w:val="1"/>
      <w:numFmt w:val="decimal"/>
      <w:lvlText w:val="%4."/>
      <w:lvlJc w:val="left"/>
      <w:pPr>
        <w:ind w:left="2761" w:hanging="420"/>
      </w:pPr>
    </w:lvl>
    <w:lvl w:ilvl="4" w:tentative="0">
      <w:start w:val="1"/>
      <w:numFmt w:val="lowerLetter"/>
      <w:lvlText w:val="%5)"/>
      <w:lvlJc w:val="left"/>
      <w:pPr>
        <w:ind w:left="3181" w:hanging="420"/>
      </w:pPr>
    </w:lvl>
    <w:lvl w:ilvl="5" w:tentative="0">
      <w:start w:val="1"/>
      <w:numFmt w:val="lowerRoman"/>
      <w:lvlText w:val="%6."/>
      <w:lvlJc w:val="right"/>
      <w:pPr>
        <w:ind w:left="3601" w:hanging="420"/>
      </w:pPr>
    </w:lvl>
    <w:lvl w:ilvl="6" w:tentative="0">
      <w:start w:val="1"/>
      <w:numFmt w:val="decimal"/>
      <w:lvlText w:val="%7."/>
      <w:lvlJc w:val="left"/>
      <w:pPr>
        <w:ind w:left="4021" w:hanging="420"/>
      </w:pPr>
    </w:lvl>
    <w:lvl w:ilvl="7" w:tentative="0">
      <w:start w:val="1"/>
      <w:numFmt w:val="lowerLetter"/>
      <w:lvlText w:val="%8)"/>
      <w:lvlJc w:val="left"/>
      <w:pPr>
        <w:ind w:left="4441" w:hanging="420"/>
      </w:pPr>
    </w:lvl>
    <w:lvl w:ilvl="8" w:tentative="0">
      <w:start w:val="1"/>
      <w:numFmt w:val="lowerRoman"/>
      <w:lvlText w:val="%9."/>
      <w:lvlJc w:val="right"/>
      <w:pPr>
        <w:ind w:left="4861" w:hanging="420"/>
      </w:pPr>
    </w:lvl>
  </w:abstractNum>
  <w:abstractNum w:abstractNumId="25">
    <w:nsid w:val="7883097A"/>
    <w:multiLevelType w:val="multilevel"/>
    <w:tmpl w:val="7883097A"/>
    <w:lvl w:ilvl="0" w:tentative="0">
      <w:start w:val="1"/>
      <w:numFmt w:val="chineseCountingThousand"/>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20"/>
  </w:num>
  <w:num w:numId="3">
    <w:abstractNumId w:val="9"/>
  </w:num>
  <w:num w:numId="4">
    <w:abstractNumId w:val="18"/>
  </w:num>
  <w:num w:numId="5">
    <w:abstractNumId w:val="6"/>
  </w:num>
  <w:num w:numId="6">
    <w:abstractNumId w:val="3"/>
  </w:num>
  <w:num w:numId="7">
    <w:abstractNumId w:val="24"/>
  </w:num>
  <w:num w:numId="8">
    <w:abstractNumId w:val="22"/>
  </w:num>
  <w:num w:numId="9">
    <w:abstractNumId w:val="19"/>
  </w:num>
  <w:num w:numId="10">
    <w:abstractNumId w:val="7"/>
  </w:num>
  <w:num w:numId="11">
    <w:abstractNumId w:val="23"/>
  </w:num>
  <w:num w:numId="12">
    <w:abstractNumId w:val="17"/>
  </w:num>
  <w:num w:numId="13">
    <w:abstractNumId w:val="25"/>
  </w:num>
  <w:num w:numId="14">
    <w:abstractNumId w:val="0"/>
  </w:num>
  <w:num w:numId="15">
    <w:abstractNumId w:val="14"/>
  </w:num>
  <w:num w:numId="16">
    <w:abstractNumId w:val="21"/>
  </w:num>
  <w:num w:numId="17">
    <w:abstractNumId w:val="11"/>
  </w:num>
  <w:num w:numId="18">
    <w:abstractNumId w:val="13"/>
  </w:num>
  <w:num w:numId="19">
    <w:abstractNumId w:val="15"/>
  </w:num>
  <w:num w:numId="20">
    <w:abstractNumId w:val="10"/>
  </w:num>
  <w:num w:numId="21">
    <w:abstractNumId w:val="1"/>
  </w:num>
  <w:num w:numId="22">
    <w:abstractNumId w:val="4"/>
  </w:num>
  <w:num w:numId="23">
    <w:abstractNumId w:val="5"/>
  </w:num>
  <w:num w:numId="24">
    <w:abstractNumId w:val="16"/>
  </w:num>
  <w:num w:numId="25">
    <w:abstractNumId w:val="8"/>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84"/>
    <w:rsid w:val="00002585"/>
    <w:rsid w:val="000036BB"/>
    <w:rsid w:val="000054FD"/>
    <w:rsid w:val="000064FD"/>
    <w:rsid w:val="000102A2"/>
    <w:rsid w:val="00010D32"/>
    <w:rsid w:val="00014886"/>
    <w:rsid w:val="0001517B"/>
    <w:rsid w:val="0001561B"/>
    <w:rsid w:val="00017A9C"/>
    <w:rsid w:val="00021791"/>
    <w:rsid w:val="00023700"/>
    <w:rsid w:val="00024168"/>
    <w:rsid w:val="0002420B"/>
    <w:rsid w:val="0002430E"/>
    <w:rsid w:val="00024B32"/>
    <w:rsid w:val="000268C4"/>
    <w:rsid w:val="00026B3C"/>
    <w:rsid w:val="0002749B"/>
    <w:rsid w:val="00032E55"/>
    <w:rsid w:val="00032E62"/>
    <w:rsid w:val="00035496"/>
    <w:rsid w:val="000360C5"/>
    <w:rsid w:val="00040B02"/>
    <w:rsid w:val="00045687"/>
    <w:rsid w:val="000466B9"/>
    <w:rsid w:val="000513D7"/>
    <w:rsid w:val="00052950"/>
    <w:rsid w:val="000545A6"/>
    <w:rsid w:val="0005773B"/>
    <w:rsid w:val="00061228"/>
    <w:rsid w:val="00061794"/>
    <w:rsid w:val="00062872"/>
    <w:rsid w:val="00070A6E"/>
    <w:rsid w:val="00077A55"/>
    <w:rsid w:val="00083BCE"/>
    <w:rsid w:val="00084672"/>
    <w:rsid w:val="000877D3"/>
    <w:rsid w:val="00087910"/>
    <w:rsid w:val="00087E05"/>
    <w:rsid w:val="00090700"/>
    <w:rsid w:val="000910B5"/>
    <w:rsid w:val="00091618"/>
    <w:rsid w:val="00096839"/>
    <w:rsid w:val="000969DD"/>
    <w:rsid w:val="000A1B43"/>
    <w:rsid w:val="000A2A33"/>
    <w:rsid w:val="000A3C9D"/>
    <w:rsid w:val="000A699F"/>
    <w:rsid w:val="000A77EC"/>
    <w:rsid w:val="000B2ECE"/>
    <w:rsid w:val="000C0B24"/>
    <w:rsid w:val="000C595D"/>
    <w:rsid w:val="000D06A4"/>
    <w:rsid w:val="000D0B06"/>
    <w:rsid w:val="000D24F2"/>
    <w:rsid w:val="000D44DC"/>
    <w:rsid w:val="000D7CC3"/>
    <w:rsid w:val="000E0668"/>
    <w:rsid w:val="000E5225"/>
    <w:rsid w:val="000F0F18"/>
    <w:rsid w:val="000F14CF"/>
    <w:rsid w:val="000F19F9"/>
    <w:rsid w:val="000F2110"/>
    <w:rsid w:val="000F3B71"/>
    <w:rsid w:val="000F48DE"/>
    <w:rsid w:val="000F6008"/>
    <w:rsid w:val="000F6FCC"/>
    <w:rsid w:val="001014B5"/>
    <w:rsid w:val="00102BD5"/>
    <w:rsid w:val="00107134"/>
    <w:rsid w:val="00116E9F"/>
    <w:rsid w:val="00117E1C"/>
    <w:rsid w:val="00121C8E"/>
    <w:rsid w:val="00122931"/>
    <w:rsid w:val="001239C4"/>
    <w:rsid w:val="0013271C"/>
    <w:rsid w:val="00132B46"/>
    <w:rsid w:val="001356FC"/>
    <w:rsid w:val="00136B6F"/>
    <w:rsid w:val="0014236A"/>
    <w:rsid w:val="001449F1"/>
    <w:rsid w:val="00150148"/>
    <w:rsid w:val="001514C8"/>
    <w:rsid w:val="00154C2A"/>
    <w:rsid w:val="00155AC7"/>
    <w:rsid w:val="00161B23"/>
    <w:rsid w:val="00162F00"/>
    <w:rsid w:val="001647DE"/>
    <w:rsid w:val="00164CDE"/>
    <w:rsid w:val="001657F0"/>
    <w:rsid w:val="00170AE9"/>
    <w:rsid w:val="0017154F"/>
    <w:rsid w:val="00171921"/>
    <w:rsid w:val="00172691"/>
    <w:rsid w:val="00172A27"/>
    <w:rsid w:val="001736E5"/>
    <w:rsid w:val="00173BDC"/>
    <w:rsid w:val="0017470B"/>
    <w:rsid w:val="00177023"/>
    <w:rsid w:val="001807A4"/>
    <w:rsid w:val="0018333E"/>
    <w:rsid w:val="00183A91"/>
    <w:rsid w:val="0018478D"/>
    <w:rsid w:val="00184911"/>
    <w:rsid w:val="00184A9E"/>
    <w:rsid w:val="001867D1"/>
    <w:rsid w:val="00186EFC"/>
    <w:rsid w:val="0018791C"/>
    <w:rsid w:val="00187E28"/>
    <w:rsid w:val="00190A97"/>
    <w:rsid w:val="001958CC"/>
    <w:rsid w:val="001A11A4"/>
    <w:rsid w:val="001A14DE"/>
    <w:rsid w:val="001A23AD"/>
    <w:rsid w:val="001A478E"/>
    <w:rsid w:val="001A720A"/>
    <w:rsid w:val="001B232E"/>
    <w:rsid w:val="001B28C3"/>
    <w:rsid w:val="001B352F"/>
    <w:rsid w:val="001B37EE"/>
    <w:rsid w:val="001B42FF"/>
    <w:rsid w:val="001B62F3"/>
    <w:rsid w:val="001B7AE2"/>
    <w:rsid w:val="001C3BE4"/>
    <w:rsid w:val="001C5FB8"/>
    <w:rsid w:val="001D345D"/>
    <w:rsid w:val="001D69F3"/>
    <w:rsid w:val="001E2C0B"/>
    <w:rsid w:val="001E5CB2"/>
    <w:rsid w:val="001E6AE4"/>
    <w:rsid w:val="001F0D88"/>
    <w:rsid w:val="001F134C"/>
    <w:rsid w:val="001F59AF"/>
    <w:rsid w:val="001F61A8"/>
    <w:rsid w:val="001F64A2"/>
    <w:rsid w:val="001F6B92"/>
    <w:rsid w:val="001F6FF6"/>
    <w:rsid w:val="002053DB"/>
    <w:rsid w:val="002058F2"/>
    <w:rsid w:val="002075A6"/>
    <w:rsid w:val="00210701"/>
    <w:rsid w:val="00213276"/>
    <w:rsid w:val="002145D4"/>
    <w:rsid w:val="002164B3"/>
    <w:rsid w:val="00224038"/>
    <w:rsid w:val="002271FC"/>
    <w:rsid w:val="00230EA9"/>
    <w:rsid w:val="002314E3"/>
    <w:rsid w:val="00232FFE"/>
    <w:rsid w:val="0023502B"/>
    <w:rsid w:val="00240844"/>
    <w:rsid w:val="002441AB"/>
    <w:rsid w:val="002475A0"/>
    <w:rsid w:val="0024779B"/>
    <w:rsid w:val="00254724"/>
    <w:rsid w:val="00254AC3"/>
    <w:rsid w:val="00254E3E"/>
    <w:rsid w:val="00256710"/>
    <w:rsid w:val="00256741"/>
    <w:rsid w:val="00256B42"/>
    <w:rsid w:val="00257AC9"/>
    <w:rsid w:val="00260328"/>
    <w:rsid w:val="00261B52"/>
    <w:rsid w:val="00261ED6"/>
    <w:rsid w:val="00262494"/>
    <w:rsid w:val="00263BCC"/>
    <w:rsid w:val="002647A9"/>
    <w:rsid w:val="00267FF2"/>
    <w:rsid w:val="00272880"/>
    <w:rsid w:val="002753A0"/>
    <w:rsid w:val="0028131F"/>
    <w:rsid w:val="00285B68"/>
    <w:rsid w:val="00286A86"/>
    <w:rsid w:val="002921C8"/>
    <w:rsid w:val="0029260A"/>
    <w:rsid w:val="00292C54"/>
    <w:rsid w:val="002953B8"/>
    <w:rsid w:val="00297AE7"/>
    <w:rsid w:val="002A0103"/>
    <w:rsid w:val="002A115A"/>
    <w:rsid w:val="002A12C0"/>
    <w:rsid w:val="002A19C0"/>
    <w:rsid w:val="002A2EF1"/>
    <w:rsid w:val="002A7018"/>
    <w:rsid w:val="002B1649"/>
    <w:rsid w:val="002B22AA"/>
    <w:rsid w:val="002B4E7B"/>
    <w:rsid w:val="002C644D"/>
    <w:rsid w:val="002D2B58"/>
    <w:rsid w:val="002D3747"/>
    <w:rsid w:val="002D458F"/>
    <w:rsid w:val="002D5449"/>
    <w:rsid w:val="002D778A"/>
    <w:rsid w:val="002E1DE9"/>
    <w:rsid w:val="002E2BFC"/>
    <w:rsid w:val="002E367E"/>
    <w:rsid w:val="002E41DD"/>
    <w:rsid w:val="002E6288"/>
    <w:rsid w:val="002E762F"/>
    <w:rsid w:val="002F03B2"/>
    <w:rsid w:val="002F0728"/>
    <w:rsid w:val="002F3431"/>
    <w:rsid w:val="0030068D"/>
    <w:rsid w:val="0030111B"/>
    <w:rsid w:val="00302608"/>
    <w:rsid w:val="003026FB"/>
    <w:rsid w:val="00302A42"/>
    <w:rsid w:val="0030407D"/>
    <w:rsid w:val="0030500F"/>
    <w:rsid w:val="0030546E"/>
    <w:rsid w:val="00305F9D"/>
    <w:rsid w:val="00307459"/>
    <w:rsid w:val="00312392"/>
    <w:rsid w:val="003146EF"/>
    <w:rsid w:val="00315889"/>
    <w:rsid w:val="00316F31"/>
    <w:rsid w:val="0032010B"/>
    <w:rsid w:val="00321174"/>
    <w:rsid w:val="00324E94"/>
    <w:rsid w:val="00325A89"/>
    <w:rsid w:val="00327D3D"/>
    <w:rsid w:val="00330F9C"/>
    <w:rsid w:val="0033158D"/>
    <w:rsid w:val="00331D12"/>
    <w:rsid w:val="00332FFF"/>
    <w:rsid w:val="00335F69"/>
    <w:rsid w:val="00341DBA"/>
    <w:rsid w:val="0034523B"/>
    <w:rsid w:val="003477BC"/>
    <w:rsid w:val="00351344"/>
    <w:rsid w:val="0035229C"/>
    <w:rsid w:val="003530E1"/>
    <w:rsid w:val="003538BA"/>
    <w:rsid w:val="00354CBA"/>
    <w:rsid w:val="0035519A"/>
    <w:rsid w:val="00355F9F"/>
    <w:rsid w:val="00361285"/>
    <w:rsid w:val="00362543"/>
    <w:rsid w:val="00363347"/>
    <w:rsid w:val="003645D4"/>
    <w:rsid w:val="00364B1E"/>
    <w:rsid w:val="00370506"/>
    <w:rsid w:val="003709B2"/>
    <w:rsid w:val="00372BBB"/>
    <w:rsid w:val="003734E1"/>
    <w:rsid w:val="0037384E"/>
    <w:rsid w:val="00376E5D"/>
    <w:rsid w:val="00376F15"/>
    <w:rsid w:val="00381A9E"/>
    <w:rsid w:val="0038240E"/>
    <w:rsid w:val="00385A09"/>
    <w:rsid w:val="00387CEA"/>
    <w:rsid w:val="003A1957"/>
    <w:rsid w:val="003A5B3C"/>
    <w:rsid w:val="003A7586"/>
    <w:rsid w:val="003A7C8B"/>
    <w:rsid w:val="003B011B"/>
    <w:rsid w:val="003B2E5F"/>
    <w:rsid w:val="003B3C2D"/>
    <w:rsid w:val="003B573E"/>
    <w:rsid w:val="003B5B75"/>
    <w:rsid w:val="003B5C74"/>
    <w:rsid w:val="003B6DA2"/>
    <w:rsid w:val="003B7A6B"/>
    <w:rsid w:val="003C0137"/>
    <w:rsid w:val="003C0D44"/>
    <w:rsid w:val="003C6299"/>
    <w:rsid w:val="003C71B0"/>
    <w:rsid w:val="003D19E2"/>
    <w:rsid w:val="003D2717"/>
    <w:rsid w:val="003D41B6"/>
    <w:rsid w:val="003D42CA"/>
    <w:rsid w:val="003D7379"/>
    <w:rsid w:val="003D7E26"/>
    <w:rsid w:val="003E1C96"/>
    <w:rsid w:val="003E23C2"/>
    <w:rsid w:val="003E3951"/>
    <w:rsid w:val="003E39D7"/>
    <w:rsid w:val="003E3A82"/>
    <w:rsid w:val="003E4381"/>
    <w:rsid w:val="003E58A3"/>
    <w:rsid w:val="003E7706"/>
    <w:rsid w:val="003F2796"/>
    <w:rsid w:val="003F45B6"/>
    <w:rsid w:val="003F4D90"/>
    <w:rsid w:val="003F78D4"/>
    <w:rsid w:val="004014EB"/>
    <w:rsid w:val="00401C5D"/>
    <w:rsid w:val="00402CD3"/>
    <w:rsid w:val="00402D13"/>
    <w:rsid w:val="00402EC9"/>
    <w:rsid w:val="004039F8"/>
    <w:rsid w:val="00405AD8"/>
    <w:rsid w:val="00405E36"/>
    <w:rsid w:val="0040775F"/>
    <w:rsid w:val="00407FCF"/>
    <w:rsid w:val="00412FBA"/>
    <w:rsid w:val="004138F8"/>
    <w:rsid w:val="0041455B"/>
    <w:rsid w:val="004152EB"/>
    <w:rsid w:val="0041555B"/>
    <w:rsid w:val="00420D62"/>
    <w:rsid w:val="0042217B"/>
    <w:rsid w:val="00422933"/>
    <w:rsid w:val="0043042B"/>
    <w:rsid w:val="00430C09"/>
    <w:rsid w:val="004359C5"/>
    <w:rsid w:val="004363FF"/>
    <w:rsid w:val="00437BED"/>
    <w:rsid w:val="0044385B"/>
    <w:rsid w:val="00445AE8"/>
    <w:rsid w:val="0044650A"/>
    <w:rsid w:val="004467FF"/>
    <w:rsid w:val="004525D2"/>
    <w:rsid w:val="004547CA"/>
    <w:rsid w:val="004553F2"/>
    <w:rsid w:val="00457D51"/>
    <w:rsid w:val="00464FC5"/>
    <w:rsid w:val="00465147"/>
    <w:rsid w:val="00467B0F"/>
    <w:rsid w:val="00470B99"/>
    <w:rsid w:val="00473845"/>
    <w:rsid w:val="00475291"/>
    <w:rsid w:val="00476D21"/>
    <w:rsid w:val="00481A8C"/>
    <w:rsid w:val="0048376F"/>
    <w:rsid w:val="00484B12"/>
    <w:rsid w:val="00485494"/>
    <w:rsid w:val="004914C5"/>
    <w:rsid w:val="004922A1"/>
    <w:rsid w:val="00494AA4"/>
    <w:rsid w:val="00494EBD"/>
    <w:rsid w:val="004960D2"/>
    <w:rsid w:val="004963C7"/>
    <w:rsid w:val="004A012A"/>
    <w:rsid w:val="004A0EB4"/>
    <w:rsid w:val="004A225F"/>
    <w:rsid w:val="004A542D"/>
    <w:rsid w:val="004A7870"/>
    <w:rsid w:val="004A795B"/>
    <w:rsid w:val="004B1642"/>
    <w:rsid w:val="004B3C41"/>
    <w:rsid w:val="004B42C9"/>
    <w:rsid w:val="004B59D8"/>
    <w:rsid w:val="004C1AE3"/>
    <w:rsid w:val="004C2E22"/>
    <w:rsid w:val="004C41AC"/>
    <w:rsid w:val="004C43D6"/>
    <w:rsid w:val="004C4AF4"/>
    <w:rsid w:val="004C5EAD"/>
    <w:rsid w:val="004C6CC4"/>
    <w:rsid w:val="004D1631"/>
    <w:rsid w:val="004D53C3"/>
    <w:rsid w:val="004D5F3E"/>
    <w:rsid w:val="004D6328"/>
    <w:rsid w:val="004D79AC"/>
    <w:rsid w:val="004E0CCF"/>
    <w:rsid w:val="004E2A73"/>
    <w:rsid w:val="004F0462"/>
    <w:rsid w:val="004F0EA3"/>
    <w:rsid w:val="004F1012"/>
    <w:rsid w:val="004F17B5"/>
    <w:rsid w:val="004F3D7C"/>
    <w:rsid w:val="004F6577"/>
    <w:rsid w:val="004F688C"/>
    <w:rsid w:val="00501DEC"/>
    <w:rsid w:val="005023D0"/>
    <w:rsid w:val="0050270B"/>
    <w:rsid w:val="005032E0"/>
    <w:rsid w:val="00503B66"/>
    <w:rsid w:val="00503F84"/>
    <w:rsid w:val="005064DD"/>
    <w:rsid w:val="00510CE5"/>
    <w:rsid w:val="00511887"/>
    <w:rsid w:val="00512853"/>
    <w:rsid w:val="0051335A"/>
    <w:rsid w:val="0051758A"/>
    <w:rsid w:val="0051786D"/>
    <w:rsid w:val="0052130D"/>
    <w:rsid w:val="0052489D"/>
    <w:rsid w:val="00527292"/>
    <w:rsid w:val="00527F7E"/>
    <w:rsid w:val="00530448"/>
    <w:rsid w:val="00532483"/>
    <w:rsid w:val="0053370E"/>
    <w:rsid w:val="005356D7"/>
    <w:rsid w:val="00537840"/>
    <w:rsid w:val="00540A78"/>
    <w:rsid w:val="0055048C"/>
    <w:rsid w:val="005567FA"/>
    <w:rsid w:val="00557B4D"/>
    <w:rsid w:val="00557C6B"/>
    <w:rsid w:val="00557F7C"/>
    <w:rsid w:val="0056055B"/>
    <w:rsid w:val="0056471C"/>
    <w:rsid w:val="00567F8D"/>
    <w:rsid w:val="005705E1"/>
    <w:rsid w:val="00571DA4"/>
    <w:rsid w:val="0057225A"/>
    <w:rsid w:val="00572980"/>
    <w:rsid w:val="00574CFF"/>
    <w:rsid w:val="0057688D"/>
    <w:rsid w:val="0058142C"/>
    <w:rsid w:val="005845A6"/>
    <w:rsid w:val="00584A9B"/>
    <w:rsid w:val="00585202"/>
    <w:rsid w:val="00587A18"/>
    <w:rsid w:val="00594F45"/>
    <w:rsid w:val="005951C1"/>
    <w:rsid w:val="00595777"/>
    <w:rsid w:val="00597881"/>
    <w:rsid w:val="005A073A"/>
    <w:rsid w:val="005A2EA4"/>
    <w:rsid w:val="005B011A"/>
    <w:rsid w:val="005B15D5"/>
    <w:rsid w:val="005B4949"/>
    <w:rsid w:val="005C2BBC"/>
    <w:rsid w:val="005D32F6"/>
    <w:rsid w:val="005D36A5"/>
    <w:rsid w:val="005D60C8"/>
    <w:rsid w:val="005D671C"/>
    <w:rsid w:val="005D6FC5"/>
    <w:rsid w:val="005E1808"/>
    <w:rsid w:val="005E1B28"/>
    <w:rsid w:val="005E2EFD"/>
    <w:rsid w:val="005E44EB"/>
    <w:rsid w:val="005E74A5"/>
    <w:rsid w:val="005F0A6A"/>
    <w:rsid w:val="005F38DF"/>
    <w:rsid w:val="005F4EFF"/>
    <w:rsid w:val="005F651A"/>
    <w:rsid w:val="005F766E"/>
    <w:rsid w:val="005F7C90"/>
    <w:rsid w:val="006026AF"/>
    <w:rsid w:val="00604070"/>
    <w:rsid w:val="00604087"/>
    <w:rsid w:val="0060764E"/>
    <w:rsid w:val="00610F60"/>
    <w:rsid w:val="0061430F"/>
    <w:rsid w:val="006154D3"/>
    <w:rsid w:val="00623ADD"/>
    <w:rsid w:val="00624FF4"/>
    <w:rsid w:val="006276D6"/>
    <w:rsid w:val="006301AB"/>
    <w:rsid w:val="00633CED"/>
    <w:rsid w:val="00635D6B"/>
    <w:rsid w:val="00636247"/>
    <w:rsid w:val="006400C2"/>
    <w:rsid w:val="0064298A"/>
    <w:rsid w:val="006437F9"/>
    <w:rsid w:val="00645AC7"/>
    <w:rsid w:val="00645F95"/>
    <w:rsid w:val="00646C38"/>
    <w:rsid w:val="00651E1C"/>
    <w:rsid w:val="0065208E"/>
    <w:rsid w:val="006528C5"/>
    <w:rsid w:val="006544B2"/>
    <w:rsid w:val="00657773"/>
    <w:rsid w:val="00657A5F"/>
    <w:rsid w:val="00657A80"/>
    <w:rsid w:val="00661BFE"/>
    <w:rsid w:val="00662D61"/>
    <w:rsid w:val="00663896"/>
    <w:rsid w:val="00663A13"/>
    <w:rsid w:val="0066779E"/>
    <w:rsid w:val="00670196"/>
    <w:rsid w:val="0067205F"/>
    <w:rsid w:val="00672FF0"/>
    <w:rsid w:val="00673124"/>
    <w:rsid w:val="00674813"/>
    <w:rsid w:val="0068272A"/>
    <w:rsid w:val="006847C3"/>
    <w:rsid w:val="00686BD5"/>
    <w:rsid w:val="00693047"/>
    <w:rsid w:val="0069772C"/>
    <w:rsid w:val="006A0E65"/>
    <w:rsid w:val="006A5B12"/>
    <w:rsid w:val="006B577B"/>
    <w:rsid w:val="006B6AF5"/>
    <w:rsid w:val="006C27AD"/>
    <w:rsid w:val="006C61F6"/>
    <w:rsid w:val="006D0422"/>
    <w:rsid w:val="006D1382"/>
    <w:rsid w:val="006D1C14"/>
    <w:rsid w:val="006D232D"/>
    <w:rsid w:val="006D64D7"/>
    <w:rsid w:val="006E1C82"/>
    <w:rsid w:val="006E2FD9"/>
    <w:rsid w:val="006E577A"/>
    <w:rsid w:val="006E630A"/>
    <w:rsid w:val="006E673F"/>
    <w:rsid w:val="006F07C3"/>
    <w:rsid w:val="006F1EEF"/>
    <w:rsid w:val="006F3CBF"/>
    <w:rsid w:val="006F3E30"/>
    <w:rsid w:val="006F5A25"/>
    <w:rsid w:val="006F62E5"/>
    <w:rsid w:val="00706297"/>
    <w:rsid w:val="00706A0A"/>
    <w:rsid w:val="00706FF6"/>
    <w:rsid w:val="007137B9"/>
    <w:rsid w:val="00713928"/>
    <w:rsid w:val="00720F44"/>
    <w:rsid w:val="00722155"/>
    <w:rsid w:val="00723F88"/>
    <w:rsid w:val="00725E09"/>
    <w:rsid w:val="00727E8C"/>
    <w:rsid w:val="00730C20"/>
    <w:rsid w:val="00732371"/>
    <w:rsid w:val="00734699"/>
    <w:rsid w:val="007409EB"/>
    <w:rsid w:val="00740F39"/>
    <w:rsid w:val="00744393"/>
    <w:rsid w:val="007444D9"/>
    <w:rsid w:val="00747FC1"/>
    <w:rsid w:val="00755DC7"/>
    <w:rsid w:val="00760247"/>
    <w:rsid w:val="0076061D"/>
    <w:rsid w:val="00761467"/>
    <w:rsid w:val="00761DEC"/>
    <w:rsid w:val="00762BF0"/>
    <w:rsid w:val="0076345B"/>
    <w:rsid w:val="0076507C"/>
    <w:rsid w:val="007663BD"/>
    <w:rsid w:val="00767662"/>
    <w:rsid w:val="00774D25"/>
    <w:rsid w:val="007757D7"/>
    <w:rsid w:val="00776B32"/>
    <w:rsid w:val="00777868"/>
    <w:rsid w:val="00784B2C"/>
    <w:rsid w:val="007854C5"/>
    <w:rsid w:val="007858B3"/>
    <w:rsid w:val="00787114"/>
    <w:rsid w:val="00787A20"/>
    <w:rsid w:val="00787C38"/>
    <w:rsid w:val="00787C69"/>
    <w:rsid w:val="00792AB3"/>
    <w:rsid w:val="00793901"/>
    <w:rsid w:val="0079468E"/>
    <w:rsid w:val="00795054"/>
    <w:rsid w:val="00795922"/>
    <w:rsid w:val="00797C4F"/>
    <w:rsid w:val="007A0FCC"/>
    <w:rsid w:val="007A405D"/>
    <w:rsid w:val="007A6F33"/>
    <w:rsid w:val="007A77F9"/>
    <w:rsid w:val="007B0724"/>
    <w:rsid w:val="007B0BF8"/>
    <w:rsid w:val="007B6046"/>
    <w:rsid w:val="007B60FE"/>
    <w:rsid w:val="007B66EA"/>
    <w:rsid w:val="007B7AF8"/>
    <w:rsid w:val="007C0DF5"/>
    <w:rsid w:val="007C1ABA"/>
    <w:rsid w:val="007C434F"/>
    <w:rsid w:val="007C46E8"/>
    <w:rsid w:val="007C7611"/>
    <w:rsid w:val="007D4179"/>
    <w:rsid w:val="007D5EC5"/>
    <w:rsid w:val="007E5A43"/>
    <w:rsid w:val="007E5EB0"/>
    <w:rsid w:val="007E642A"/>
    <w:rsid w:val="007E726D"/>
    <w:rsid w:val="007F05B4"/>
    <w:rsid w:val="007F08AB"/>
    <w:rsid w:val="007F1231"/>
    <w:rsid w:val="007F1258"/>
    <w:rsid w:val="007F26F7"/>
    <w:rsid w:val="007F5B21"/>
    <w:rsid w:val="00800822"/>
    <w:rsid w:val="0080140B"/>
    <w:rsid w:val="00801A79"/>
    <w:rsid w:val="00803A48"/>
    <w:rsid w:val="00804D80"/>
    <w:rsid w:val="00804F31"/>
    <w:rsid w:val="00806CF8"/>
    <w:rsid w:val="008116C7"/>
    <w:rsid w:val="00815537"/>
    <w:rsid w:val="008175F7"/>
    <w:rsid w:val="008218D0"/>
    <w:rsid w:val="00821BF5"/>
    <w:rsid w:val="008222C2"/>
    <w:rsid w:val="00823628"/>
    <w:rsid w:val="00824A82"/>
    <w:rsid w:val="00826C5B"/>
    <w:rsid w:val="008276E8"/>
    <w:rsid w:val="00830034"/>
    <w:rsid w:val="008304F4"/>
    <w:rsid w:val="00831F54"/>
    <w:rsid w:val="008323DE"/>
    <w:rsid w:val="008445DA"/>
    <w:rsid w:val="00844B16"/>
    <w:rsid w:val="00845EAD"/>
    <w:rsid w:val="008462E0"/>
    <w:rsid w:val="00847D2D"/>
    <w:rsid w:val="008514F0"/>
    <w:rsid w:val="00851861"/>
    <w:rsid w:val="00853476"/>
    <w:rsid w:val="00853970"/>
    <w:rsid w:val="00855864"/>
    <w:rsid w:val="00860C38"/>
    <w:rsid w:val="00861FC7"/>
    <w:rsid w:val="00864D82"/>
    <w:rsid w:val="00865227"/>
    <w:rsid w:val="00865D98"/>
    <w:rsid w:val="00870DD3"/>
    <w:rsid w:val="0087299B"/>
    <w:rsid w:val="00875F54"/>
    <w:rsid w:val="00877324"/>
    <w:rsid w:val="0088194C"/>
    <w:rsid w:val="0088489A"/>
    <w:rsid w:val="008906D3"/>
    <w:rsid w:val="008927D2"/>
    <w:rsid w:val="00896AFD"/>
    <w:rsid w:val="00896F53"/>
    <w:rsid w:val="008A4F57"/>
    <w:rsid w:val="008A56AD"/>
    <w:rsid w:val="008A61E2"/>
    <w:rsid w:val="008A66B7"/>
    <w:rsid w:val="008B16FA"/>
    <w:rsid w:val="008B2CDA"/>
    <w:rsid w:val="008B64B2"/>
    <w:rsid w:val="008B7B9D"/>
    <w:rsid w:val="008C6BE2"/>
    <w:rsid w:val="008C73E9"/>
    <w:rsid w:val="008C7896"/>
    <w:rsid w:val="008D1218"/>
    <w:rsid w:val="008D3815"/>
    <w:rsid w:val="008E2F4B"/>
    <w:rsid w:val="008E54CE"/>
    <w:rsid w:val="008E57B6"/>
    <w:rsid w:val="008F3617"/>
    <w:rsid w:val="008F6F4B"/>
    <w:rsid w:val="009004D4"/>
    <w:rsid w:val="00901867"/>
    <w:rsid w:val="00902040"/>
    <w:rsid w:val="00903FF8"/>
    <w:rsid w:val="0090434B"/>
    <w:rsid w:val="00910FDA"/>
    <w:rsid w:val="00912594"/>
    <w:rsid w:val="00916661"/>
    <w:rsid w:val="009172F0"/>
    <w:rsid w:val="009202DF"/>
    <w:rsid w:val="0092436A"/>
    <w:rsid w:val="009306D6"/>
    <w:rsid w:val="0093571E"/>
    <w:rsid w:val="00941611"/>
    <w:rsid w:val="00942881"/>
    <w:rsid w:val="00947B5F"/>
    <w:rsid w:val="00947C7C"/>
    <w:rsid w:val="00951A3E"/>
    <w:rsid w:val="00953299"/>
    <w:rsid w:val="00956770"/>
    <w:rsid w:val="009609A9"/>
    <w:rsid w:val="009621BD"/>
    <w:rsid w:val="00965F51"/>
    <w:rsid w:val="0097094A"/>
    <w:rsid w:val="00970CB2"/>
    <w:rsid w:val="00973172"/>
    <w:rsid w:val="00977386"/>
    <w:rsid w:val="00981698"/>
    <w:rsid w:val="00981EF4"/>
    <w:rsid w:val="0098620D"/>
    <w:rsid w:val="009867D9"/>
    <w:rsid w:val="00993701"/>
    <w:rsid w:val="00993E30"/>
    <w:rsid w:val="009A124F"/>
    <w:rsid w:val="009A1AEB"/>
    <w:rsid w:val="009A3F92"/>
    <w:rsid w:val="009A6A7C"/>
    <w:rsid w:val="009A7BBF"/>
    <w:rsid w:val="009B2434"/>
    <w:rsid w:val="009B3663"/>
    <w:rsid w:val="009B40E0"/>
    <w:rsid w:val="009B4589"/>
    <w:rsid w:val="009B7283"/>
    <w:rsid w:val="009C156F"/>
    <w:rsid w:val="009C23F4"/>
    <w:rsid w:val="009C390D"/>
    <w:rsid w:val="009C3AB4"/>
    <w:rsid w:val="009C602B"/>
    <w:rsid w:val="009C6470"/>
    <w:rsid w:val="009C7FA6"/>
    <w:rsid w:val="009D01BE"/>
    <w:rsid w:val="009D04B9"/>
    <w:rsid w:val="009D349B"/>
    <w:rsid w:val="009E2B37"/>
    <w:rsid w:val="009E7388"/>
    <w:rsid w:val="009F0F30"/>
    <w:rsid w:val="009F2521"/>
    <w:rsid w:val="009F31B8"/>
    <w:rsid w:val="009F3AD7"/>
    <w:rsid w:val="009F45C5"/>
    <w:rsid w:val="009F6E75"/>
    <w:rsid w:val="009F78D6"/>
    <w:rsid w:val="00A01906"/>
    <w:rsid w:val="00A01E60"/>
    <w:rsid w:val="00A03FCF"/>
    <w:rsid w:val="00A06D14"/>
    <w:rsid w:val="00A07089"/>
    <w:rsid w:val="00A113B5"/>
    <w:rsid w:val="00A12699"/>
    <w:rsid w:val="00A16EF4"/>
    <w:rsid w:val="00A260F3"/>
    <w:rsid w:val="00A2740C"/>
    <w:rsid w:val="00A27885"/>
    <w:rsid w:val="00A41A83"/>
    <w:rsid w:val="00A4308A"/>
    <w:rsid w:val="00A43697"/>
    <w:rsid w:val="00A43726"/>
    <w:rsid w:val="00A43B9C"/>
    <w:rsid w:val="00A43F8E"/>
    <w:rsid w:val="00A47EBB"/>
    <w:rsid w:val="00A521A0"/>
    <w:rsid w:val="00A53151"/>
    <w:rsid w:val="00A531B7"/>
    <w:rsid w:val="00A5501F"/>
    <w:rsid w:val="00A55A30"/>
    <w:rsid w:val="00A55C35"/>
    <w:rsid w:val="00A6039A"/>
    <w:rsid w:val="00A606B2"/>
    <w:rsid w:val="00A62239"/>
    <w:rsid w:val="00A6253E"/>
    <w:rsid w:val="00A67502"/>
    <w:rsid w:val="00A70DF8"/>
    <w:rsid w:val="00A70EEC"/>
    <w:rsid w:val="00A75654"/>
    <w:rsid w:val="00A76FDA"/>
    <w:rsid w:val="00A80B8C"/>
    <w:rsid w:val="00A840FB"/>
    <w:rsid w:val="00A84F16"/>
    <w:rsid w:val="00A863E2"/>
    <w:rsid w:val="00A86FCA"/>
    <w:rsid w:val="00A904C3"/>
    <w:rsid w:val="00A91328"/>
    <w:rsid w:val="00A918ED"/>
    <w:rsid w:val="00A926D4"/>
    <w:rsid w:val="00A936D3"/>
    <w:rsid w:val="00A95859"/>
    <w:rsid w:val="00A958F5"/>
    <w:rsid w:val="00A9753E"/>
    <w:rsid w:val="00AA19B1"/>
    <w:rsid w:val="00AA36C9"/>
    <w:rsid w:val="00AA4575"/>
    <w:rsid w:val="00AA5033"/>
    <w:rsid w:val="00AA71B4"/>
    <w:rsid w:val="00AB20C1"/>
    <w:rsid w:val="00AC4125"/>
    <w:rsid w:val="00AC4401"/>
    <w:rsid w:val="00AC4EDF"/>
    <w:rsid w:val="00AC519C"/>
    <w:rsid w:val="00AC5837"/>
    <w:rsid w:val="00AC627B"/>
    <w:rsid w:val="00AC6E68"/>
    <w:rsid w:val="00AD0B4B"/>
    <w:rsid w:val="00AD27B8"/>
    <w:rsid w:val="00AD3493"/>
    <w:rsid w:val="00AD5A30"/>
    <w:rsid w:val="00AD5C18"/>
    <w:rsid w:val="00AD733E"/>
    <w:rsid w:val="00AE5E31"/>
    <w:rsid w:val="00AE6D58"/>
    <w:rsid w:val="00AF3CCC"/>
    <w:rsid w:val="00AF4C0E"/>
    <w:rsid w:val="00AF52F6"/>
    <w:rsid w:val="00AF66A3"/>
    <w:rsid w:val="00B002A4"/>
    <w:rsid w:val="00B058CB"/>
    <w:rsid w:val="00B1256A"/>
    <w:rsid w:val="00B1314A"/>
    <w:rsid w:val="00B1356E"/>
    <w:rsid w:val="00B138E5"/>
    <w:rsid w:val="00B1725A"/>
    <w:rsid w:val="00B20ED9"/>
    <w:rsid w:val="00B25B25"/>
    <w:rsid w:val="00B26E0E"/>
    <w:rsid w:val="00B31581"/>
    <w:rsid w:val="00B34E24"/>
    <w:rsid w:val="00B368BA"/>
    <w:rsid w:val="00B40FD3"/>
    <w:rsid w:val="00B41CB9"/>
    <w:rsid w:val="00B454C1"/>
    <w:rsid w:val="00B454DE"/>
    <w:rsid w:val="00B45D34"/>
    <w:rsid w:val="00B46A88"/>
    <w:rsid w:val="00B46CCC"/>
    <w:rsid w:val="00B51AEF"/>
    <w:rsid w:val="00B52459"/>
    <w:rsid w:val="00B54455"/>
    <w:rsid w:val="00B55116"/>
    <w:rsid w:val="00B55C6A"/>
    <w:rsid w:val="00B57628"/>
    <w:rsid w:val="00B5767D"/>
    <w:rsid w:val="00B60064"/>
    <w:rsid w:val="00B6070D"/>
    <w:rsid w:val="00B6182C"/>
    <w:rsid w:val="00B61D54"/>
    <w:rsid w:val="00B6347C"/>
    <w:rsid w:val="00B65EB4"/>
    <w:rsid w:val="00B661A9"/>
    <w:rsid w:val="00B66A67"/>
    <w:rsid w:val="00B66CF2"/>
    <w:rsid w:val="00B673AC"/>
    <w:rsid w:val="00B70947"/>
    <w:rsid w:val="00B7183A"/>
    <w:rsid w:val="00B71A20"/>
    <w:rsid w:val="00B72F81"/>
    <w:rsid w:val="00B7348A"/>
    <w:rsid w:val="00B735A7"/>
    <w:rsid w:val="00B737DC"/>
    <w:rsid w:val="00B73A0D"/>
    <w:rsid w:val="00B73F18"/>
    <w:rsid w:val="00B73F3B"/>
    <w:rsid w:val="00B7531E"/>
    <w:rsid w:val="00B832FE"/>
    <w:rsid w:val="00B83A49"/>
    <w:rsid w:val="00B84023"/>
    <w:rsid w:val="00B928E0"/>
    <w:rsid w:val="00B9545A"/>
    <w:rsid w:val="00B95F53"/>
    <w:rsid w:val="00BA12A1"/>
    <w:rsid w:val="00BA2B41"/>
    <w:rsid w:val="00BA47AB"/>
    <w:rsid w:val="00BA77A1"/>
    <w:rsid w:val="00BB06D9"/>
    <w:rsid w:val="00BB20C4"/>
    <w:rsid w:val="00BB225B"/>
    <w:rsid w:val="00BB4BB7"/>
    <w:rsid w:val="00BB6C26"/>
    <w:rsid w:val="00BC1DC7"/>
    <w:rsid w:val="00BC47BB"/>
    <w:rsid w:val="00BC5B77"/>
    <w:rsid w:val="00BC740E"/>
    <w:rsid w:val="00BD097B"/>
    <w:rsid w:val="00BD5210"/>
    <w:rsid w:val="00BD5734"/>
    <w:rsid w:val="00BD6718"/>
    <w:rsid w:val="00BE191E"/>
    <w:rsid w:val="00BE2EA0"/>
    <w:rsid w:val="00BE3EF0"/>
    <w:rsid w:val="00BE50D2"/>
    <w:rsid w:val="00BE56BD"/>
    <w:rsid w:val="00BE5B17"/>
    <w:rsid w:val="00BE7B7B"/>
    <w:rsid w:val="00BF23A6"/>
    <w:rsid w:val="00BF3032"/>
    <w:rsid w:val="00BF4ECD"/>
    <w:rsid w:val="00BF72EE"/>
    <w:rsid w:val="00C00AC9"/>
    <w:rsid w:val="00C015E0"/>
    <w:rsid w:val="00C02DC9"/>
    <w:rsid w:val="00C034D2"/>
    <w:rsid w:val="00C06B73"/>
    <w:rsid w:val="00C10DEB"/>
    <w:rsid w:val="00C117F1"/>
    <w:rsid w:val="00C1279D"/>
    <w:rsid w:val="00C15466"/>
    <w:rsid w:val="00C16D85"/>
    <w:rsid w:val="00C16F94"/>
    <w:rsid w:val="00C25007"/>
    <w:rsid w:val="00C25C7F"/>
    <w:rsid w:val="00C315DF"/>
    <w:rsid w:val="00C33517"/>
    <w:rsid w:val="00C34D67"/>
    <w:rsid w:val="00C3737A"/>
    <w:rsid w:val="00C404F6"/>
    <w:rsid w:val="00C4298C"/>
    <w:rsid w:val="00C54024"/>
    <w:rsid w:val="00C54663"/>
    <w:rsid w:val="00C56397"/>
    <w:rsid w:val="00C574A0"/>
    <w:rsid w:val="00C63540"/>
    <w:rsid w:val="00C64A9A"/>
    <w:rsid w:val="00C650D2"/>
    <w:rsid w:val="00C73A13"/>
    <w:rsid w:val="00C7406A"/>
    <w:rsid w:val="00C76996"/>
    <w:rsid w:val="00C7790C"/>
    <w:rsid w:val="00C80C92"/>
    <w:rsid w:val="00C814F6"/>
    <w:rsid w:val="00C8290B"/>
    <w:rsid w:val="00C83714"/>
    <w:rsid w:val="00C8674F"/>
    <w:rsid w:val="00C90B9E"/>
    <w:rsid w:val="00C93379"/>
    <w:rsid w:val="00C95EEA"/>
    <w:rsid w:val="00C96CCC"/>
    <w:rsid w:val="00CA01D6"/>
    <w:rsid w:val="00CA15FF"/>
    <w:rsid w:val="00CA1752"/>
    <w:rsid w:val="00CA557C"/>
    <w:rsid w:val="00CB1791"/>
    <w:rsid w:val="00CB1C63"/>
    <w:rsid w:val="00CB3D19"/>
    <w:rsid w:val="00CB460D"/>
    <w:rsid w:val="00CB4B85"/>
    <w:rsid w:val="00CB6426"/>
    <w:rsid w:val="00CB7930"/>
    <w:rsid w:val="00CC2BF8"/>
    <w:rsid w:val="00CC3BC2"/>
    <w:rsid w:val="00CC6211"/>
    <w:rsid w:val="00CC6FA7"/>
    <w:rsid w:val="00CC7DD2"/>
    <w:rsid w:val="00CD18AA"/>
    <w:rsid w:val="00CD21DE"/>
    <w:rsid w:val="00CD3574"/>
    <w:rsid w:val="00CE1572"/>
    <w:rsid w:val="00CE3E33"/>
    <w:rsid w:val="00CE5BE8"/>
    <w:rsid w:val="00CE771C"/>
    <w:rsid w:val="00CE798B"/>
    <w:rsid w:val="00CF22AE"/>
    <w:rsid w:val="00CF237D"/>
    <w:rsid w:val="00CF38EE"/>
    <w:rsid w:val="00CF3913"/>
    <w:rsid w:val="00CF453B"/>
    <w:rsid w:val="00CF70C4"/>
    <w:rsid w:val="00CF73BE"/>
    <w:rsid w:val="00D00787"/>
    <w:rsid w:val="00D06674"/>
    <w:rsid w:val="00D06A07"/>
    <w:rsid w:val="00D076D6"/>
    <w:rsid w:val="00D10026"/>
    <w:rsid w:val="00D11715"/>
    <w:rsid w:val="00D127EE"/>
    <w:rsid w:val="00D146BA"/>
    <w:rsid w:val="00D15C63"/>
    <w:rsid w:val="00D16418"/>
    <w:rsid w:val="00D17D59"/>
    <w:rsid w:val="00D20508"/>
    <w:rsid w:val="00D21540"/>
    <w:rsid w:val="00D22CA2"/>
    <w:rsid w:val="00D24308"/>
    <w:rsid w:val="00D24418"/>
    <w:rsid w:val="00D249CD"/>
    <w:rsid w:val="00D25B63"/>
    <w:rsid w:val="00D27CA4"/>
    <w:rsid w:val="00D315D7"/>
    <w:rsid w:val="00D33112"/>
    <w:rsid w:val="00D332EE"/>
    <w:rsid w:val="00D3408E"/>
    <w:rsid w:val="00D34339"/>
    <w:rsid w:val="00D34B71"/>
    <w:rsid w:val="00D35A3D"/>
    <w:rsid w:val="00D37537"/>
    <w:rsid w:val="00D41F14"/>
    <w:rsid w:val="00D46EA1"/>
    <w:rsid w:val="00D50CA3"/>
    <w:rsid w:val="00D561FB"/>
    <w:rsid w:val="00D56FC6"/>
    <w:rsid w:val="00D601FD"/>
    <w:rsid w:val="00D603D0"/>
    <w:rsid w:val="00D61A90"/>
    <w:rsid w:val="00D62C45"/>
    <w:rsid w:val="00D62E75"/>
    <w:rsid w:val="00D6465C"/>
    <w:rsid w:val="00D659AF"/>
    <w:rsid w:val="00D708C2"/>
    <w:rsid w:val="00D7120A"/>
    <w:rsid w:val="00D727A0"/>
    <w:rsid w:val="00D7355D"/>
    <w:rsid w:val="00D74002"/>
    <w:rsid w:val="00D84359"/>
    <w:rsid w:val="00D84C61"/>
    <w:rsid w:val="00D9004C"/>
    <w:rsid w:val="00D90CDB"/>
    <w:rsid w:val="00D914E8"/>
    <w:rsid w:val="00D91613"/>
    <w:rsid w:val="00D92AE3"/>
    <w:rsid w:val="00D932A5"/>
    <w:rsid w:val="00D935A3"/>
    <w:rsid w:val="00D94122"/>
    <w:rsid w:val="00D94F3D"/>
    <w:rsid w:val="00D96817"/>
    <w:rsid w:val="00DA075A"/>
    <w:rsid w:val="00DA172F"/>
    <w:rsid w:val="00DA2AC8"/>
    <w:rsid w:val="00DA3654"/>
    <w:rsid w:val="00DA6739"/>
    <w:rsid w:val="00DA7F2F"/>
    <w:rsid w:val="00DB0291"/>
    <w:rsid w:val="00DB13AE"/>
    <w:rsid w:val="00DB250F"/>
    <w:rsid w:val="00DB408F"/>
    <w:rsid w:val="00DB7BB3"/>
    <w:rsid w:val="00DC5D25"/>
    <w:rsid w:val="00DC71CA"/>
    <w:rsid w:val="00DD0085"/>
    <w:rsid w:val="00DD33E1"/>
    <w:rsid w:val="00DD4785"/>
    <w:rsid w:val="00DD576A"/>
    <w:rsid w:val="00DD674C"/>
    <w:rsid w:val="00DE0050"/>
    <w:rsid w:val="00DE1579"/>
    <w:rsid w:val="00DE186A"/>
    <w:rsid w:val="00DE1B40"/>
    <w:rsid w:val="00DE34F5"/>
    <w:rsid w:val="00DE3C1C"/>
    <w:rsid w:val="00DF432E"/>
    <w:rsid w:val="00E00583"/>
    <w:rsid w:val="00E056C2"/>
    <w:rsid w:val="00E07992"/>
    <w:rsid w:val="00E106E1"/>
    <w:rsid w:val="00E1191B"/>
    <w:rsid w:val="00E135BD"/>
    <w:rsid w:val="00E13BA0"/>
    <w:rsid w:val="00E161EE"/>
    <w:rsid w:val="00E20B60"/>
    <w:rsid w:val="00E2138E"/>
    <w:rsid w:val="00E26F83"/>
    <w:rsid w:val="00E30011"/>
    <w:rsid w:val="00E30B8D"/>
    <w:rsid w:val="00E311BA"/>
    <w:rsid w:val="00E325FB"/>
    <w:rsid w:val="00E33153"/>
    <w:rsid w:val="00E33D28"/>
    <w:rsid w:val="00E341C6"/>
    <w:rsid w:val="00E34F7C"/>
    <w:rsid w:val="00E40F13"/>
    <w:rsid w:val="00E40FC9"/>
    <w:rsid w:val="00E4541C"/>
    <w:rsid w:val="00E4551B"/>
    <w:rsid w:val="00E4568C"/>
    <w:rsid w:val="00E51BA1"/>
    <w:rsid w:val="00E541AB"/>
    <w:rsid w:val="00E56D1C"/>
    <w:rsid w:val="00E60697"/>
    <w:rsid w:val="00E64685"/>
    <w:rsid w:val="00E65DF8"/>
    <w:rsid w:val="00E74843"/>
    <w:rsid w:val="00E87CE8"/>
    <w:rsid w:val="00E91971"/>
    <w:rsid w:val="00E93A83"/>
    <w:rsid w:val="00E93AE9"/>
    <w:rsid w:val="00E96363"/>
    <w:rsid w:val="00E9729C"/>
    <w:rsid w:val="00EA03E7"/>
    <w:rsid w:val="00EB0D94"/>
    <w:rsid w:val="00EB0E51"/>
    <w:rsid w:val="00EB174C"/>
    <w:rsid w:val="00EC3B27"/>
    <w:rsid w:val="00EC3C29"/>
    <w:rsid w:val="00EC5B6A"/>
    <w:rsid w:val="00ED0A15"/>
    <w:rsid w:val="00ED17CA"/>
    <w:rsid w:val="00ED1ACF"/>
    <w:rsid w:val="00ED482E"/>
    <w:rsid w:val="00ED5082"/>
    <w:rsid w:val="00ED56EB"/>
    <w:rsid w:val="00ED7A4F"/>
    <w:rsid w:val="00ED7E79"/>
    <w:rsid w:val="00EE6964"/>
    <w:rsid w:val="00EE6D91"/>
    <w:rsid w:val="00EE78D7"/>
    <w:rsid w:val="00EF0832"/>
    <w:rsid w:val="00EF2FBB"/>
    <w:rsid w:val="00EF34F8"/>
    <w:rsid w:val="00EF4D15"/>
    <w:rsid w:val="00F00867"/>
    <w:rsid w:val="00F01449"/>
    <w:rsid w:val="00F0246F"/>
    <w:rsid w:val="00F06422"/>
    <w:rsid w:val="00F06583"/>
    <w:rsid w:val="00F108AA"/>
    <w:rsid w:val="00F11A7B"/>
    <w:rsid w:val="00F13CDD"/>
    <w:rsid w:val="00F13E4D"/>
    <w:rsid w:val="00F2127B"/>
    <w:rsid w:val="00F219B3"/>
    <w:rsid w:val="00F21A39"/>
    <w:rsid w:val="00F22778"/>
    <w:rsid w:val="00F22E3C"/>
    <w:rsid w:val="00F262BF"/>
    <w:rsid w:val="00F31CDB"/>
    <w:rsid w:val="00F349C5"/>
    <w:rsid w:val="00F356EC"/>
    <w:rsid w:val="00F37220"/>
    <w:rsid w:val="00F400D2"/>
    <w:rsid w:val="00F4143C"/>
    <w:rsid w:val="00F41878"/>
    <w:rsid w:val="00F41CE7"/>
    <w:rsid w:val="00F4365D"/>
    <w:rsid w:val="00F439E4"/>
    <w:rsid w:val="00F4472F"/>
    <w:rsid w:val="00F53174"/>
    <w:rsid w:val="00F54A87"/>
    <w:rsid w:val="00F612A4"/>
    <w:rsid w:val="00F61824"/>
    <w:rsid w:val="00F6448F"/>
    <w:rsid w:val="00F65DCC"/>
    <w:rsid w:val="00F70A5E"/>
    <w:rsid w:val="00F72804"/>
    <w:rsid w:val="00F74DC8"/>
    <w:rsid w:val="00F76A3A"/>
    <w:rsid w:val="00F77937"/>
    <w:rsid w:val="00F77D36"/>
    <w:rsid w:val="00F77F96"/>
    <w:rsid w:val="00F813E7"/>
    <w:rsid w:val="00F90AB9"/>
    <w:rsid w:val="00F90AD8"/>
    <w:rsid w:val="00F90F19"/>
    <w:rsid w:val="00F91CBB"/>
    <w:rsid w:val="00F9435F"/>
    <w:rsid w:val="00F9508E"/>
    <w:rsid w:val="00FA361C"/>
    <w:rsid w:val="00FA3CB1"/>
    <w:rsid w:val="00FA3DB8"/>
    <w:rsid w:val="00FA4183"/>
    <w:rsid w:val="00FA7B40"/>
    <w:rsid w:val="00FA7EAA"/>
    <w:rsid w:val="00FB1241"/>
    <w:rsid w:val="00FB284D"/>
    <w:rsid w:val="00FB2CE5"/>
    <w:rsid w:val="00FB2FA0"/>
    <w:rsid w:val="00FC01FB"/>
    <w:rsid w:val="00FC028C"/>
    <w:rsid w:val="00FC1180"/>
    <w:rsid w:val="00FC2B0A"/>
    <w:rsid w:val="00FC32A7"/>
    <w:rsid w:val="00FC43AF"/>
    <w:rsid w:val="00FC6016"/>
    <w:rsid w:val="00FC7EAA"/>
    <w:rsid w:val="00FD13E9"/>
    <w:rsid w:val="00FD144A"/>
    <w:rsid w:val="00FD4EAA"/>
    <w:rsid w:val="00FD7A7D"/>
    <w:rsid w:val="00FD7CE7"/>
    <w:rsid w:val="00FE1289"/>
    <w:rsid w:val="00FE228F"/>
    <w:rsid w:val="00FE40FD"/>
    <w:rsid w:val="00FE5DB0"/>
    <w:rsid w:val="00FE651D"/>
    <w:rsid w:val="00FE6AA0"/>
    <w:rsid w:val="00FF556C"/>
    <w:rsid w:val="00FF6FB4"/>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0737D2"/>
    <w:rsid w:val="08B90EB7"/>
    <w:rsid w:val="08C4413A"/>
    <w:rsid w:val="09CB7265"/>
    <w:rsid w:val="09EE6CA0"/>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2860AA7"/>
    <w:rsid w:val="132D577D"/>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CA638D"/>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95030C"/>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2F07E2"/>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9335C0"/>
    <w:rsid w:val="54A37382"/>
    <w:rsid w:val="54BB3E9C"/>
    <w:rsid w:val="54BD10F9"/>
    <w:rsid w:val="56872A22"/>
    <w:rsid w:val="57014CA6"/>
    <w:rsid w:val="579748CE"/>
    <w:rsid w:val="57A34451"/>
    <w:rsid w:val="57C11CAC"/>
    <w:rsid w:val="58C61E79"/>
    <w:rsid w:val="59170F82"/>
    <w:rsid w:val="59CF042F"/>
    <w:rsid w:val="5A3431DE"/>
    <w:rsid w:val="5A3F302F"/>
    <w:rsid w:val="5AAB5107"/>
    <w:rsid w:val="5AE96334"/>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7763E0"/>
    <w:rsid w:val="719F67A9"/>
    <w:rsid w:val="71A039CA"/>
    <w:rsid w:val="72720DA8"/>
    <w:rsid w:val="728237ED"/>
    <w:rsid w:val="74A92964"/>
    <w:rsid w:val="751A48A4"/>
    <w:rsid w:val="752D2605"/>
    <w:rsid w:val="76037B74"/>
    <w:rsid w:val="78650DEF"/>
    <w:rsid w:val="788E737B"/>
    <w:rsid w:val="78D55489"/>
    <w:rsid w:val="78D93E53"/>
    <w:rsid w:val="78DD2BDC"/>
    <w:rsid w:val="79D305F5"/>
    <w:rsid w:val="7A3331F8"/>
    <w:rsid w:val="7AF156D3"/>
    <w:rsid w:val="7B793006"/>
    <w:rsid w:val="7BD35234"/>
    <w:rsid w:val="7C4161AE"/>
    <w:rsid w:val="7D4A641F"/>
    <w:rsid w:val="7D8A0E59"/>
    <w:rsid w:val="7D994AF3"/>
    <w:rsid w:val="7DB6029F"/>
    <w:rsid w:val="7DF72A58"/>
    <w:rsid w:val="7E2A21C6"/>
    <w:rsid w:val="7E2D2649"/>
    <w:rsid w:val="7EE96562"/>
    <w:rsid w:val="7F0432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tabs>
        <w:tab w:val="left" w:pos="1440"/>
      </w:tabs>
      <w:spacing w:before="340" w:after="330" w:line="576" w:lineRule="auto"/>
      <w:ind w:left="432" w:hanging="432"/>
      <w:outlineLvl w:val="0"/>
    </w:pPr>
    <w:rPr>
      <w:b/>
      <w:bCs/>
      <w:kern w:val="44"/>
      <w:sz w:val="44"/>
      <w:szCs w:val="44"/>
    </w:rPr>
  </w:style>
  <w:style w:type="paragraph" w:styleId="4">
    <w:name w:val="heading 2"/>
    <w:basedOn w:val="1"/>
    <w:next w:val="1"/>
    <w:link w:val="120"/>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84"/>
    <w:qFormat/>
    <w:uiPriority w:val="0"/>
    <w:pPr>
      <w:keepNext/>
      <w:keepLines/>
      <w:spacing w:before="260" w:after="260" w:line="416" w:lineRule="auto"/>
      <w:outlineLvl w:val="2"/>
    </w:pPr>
    <w:rPr>
      <w:b/>
      <w:bCs/>
      <w:sz w:val="32"/>
      <w:szCs w:val="32"/>
    </w:rPr>
  </w:style>
  <w:style w:type="paragraph" w:styleId="6">
    <w:name w:val="heading 4"/>
    <w:basedOn w:val="1"/>
    <w:next w:val="1"/>
    <w:link w:val="110"/>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40"/>
    <w:qFormat/>
    <w:uiPriority w:val="0"/>
    <w:pPr>
      <w:keepNext/>
      <w:keepLines/>
      <w:tabs>
        <w:tab w:val="left" w:pos="1008"/>
      </w:tabs>
      <w:spacing w:before="280" w:after="290" w:line="372" w:lineRule="auto"/>
      <w:ind w:left="1008" w:hanging="1008"/>
      <w:outlineLvl w:val="4"/>
    </w:pPr>
    <w:rPr>
      <w:b/>
      <w:sz w:val="28"/>
      <w:szCs w:val="20"/>
    </w:rPr>
  </w:style>
  <w:style w:type="paragraph" w:styleId="8">
    <w:name w:val="heading 6"/>
    <w:basedOn w:val="1"/>
    <w:next w:val="1"/>
    <w:link w:val="186"/>
    <w:qFormat/>
    <w:uiPriority w:val="0"/>
    <w:pPr>
      <w:keepNext/>
      <w:keepLines/>
      <w:tabs>
        <w:tab w:val="left" w:pos="1152"/>
      </w:tabs>
      <w:spacing w:before="240" w:after="64" w:line="317" w:lineRule="auto"/>
      <w:ind w:left="1152" w:hanging="1152"/>
      <w:outlineLvl w:val="5"/>
    </w:pPr>
    <w:rPr>
      <w:rFonts w:ascii="Arial" w:hAnsi="Arial" w:eastAsia="黑体"/>
      <w:b/>
      <w:sz w:val="24"/>
      <w:szCs w:val="20"/>
    </w:rPr>
  </w:style>
  <w:style w:type="paragraph" w:styleId="9">
    <w:name w:val="heading 7"/>
    <w:basedOn w:val="1"/>
    <w:next w:val="1"/>
    <w:link w:val="167"/>
    <w:qFormat/>
    <w:uiPriority w:val="0"/>
    <w:pPr>
      <w:keepNext/>
      <w:keepLines/>
      <w:tabs>
        <w:tab w:val="left" w:pos="1296"/>
      </w:tabs>
      <w:spacing w:before="240" w:after="64" w:line="317" w:lineRule="auto"/>
      <w:ind w:left="1296" w:hanging="1296"/>
      <w:outlineLvl w:val="6"/>
    </w:pPr>
    <w:rPr>
      <w:b/>
      <w:sz w:val="24"/>
      <w:szCs w:val="20"/>
    </w:rPr>
  </w:style>
  <w:style w:type="paragraph" w:styleId="10">
    <w:name w:val="heading 8"/>
    <w:basedOn w:val="1"/>
    <w:next w:val="1"/>
    <w:link w:val="153"/>
    <w:qFormat/>
    <w:uiPriority w:val="0"/>
    <w:pPr>
      <w:keepNext/>
      <w:keepLines/>
      <w:tabs>
        <w:tab w:val="left" w:pos="1440"/>
      </w:tabs>
      <w:spacing w:before="240" w:after="64" w:line="317" w:lineRule="auto"/>
      <w:ind w:left="1440" w:hanging="1440"/>
      <w:outlineLvl w:val="7"/>
    </w:pPr>
    <w:rPr>
      <w:rFonts w:ascii="Arial" w:hAnsi="Arial" w:eastAsia="黑体"/>
      <w:sz w:val="24"/>
      <w:szCs w:val="20"/>
    </w:rPr>
  </w:style>
  <w:style w:type="paragraph" w:styleId="11">
    <w:name w:val="heading 9"/>
    <w:basedOn w:val="1"/>
    <w:next w:val="1"/>
    <w:link w:val="88"/>
    <w:qFormat/>
    <w:uiPriority w:val="0"/>
    <w:pPr>
      <w:keepNext/>
      <w:keepLines/>
      <w:tabs>
        <w:tab w:val="left" w:pos="1584"/>
      </w:tabs>
      <w:spacing w:before="240" w:after="64" w:line="317" w:lineRule="auto"/>
      <w:ind w:left="1584" w:hanging="1584"/>
      <w:outlineLvl w:val="8"/>
    </w:pPr>
    <w:rPr>
      <w:rFonts w:ascii="Arial" w:hAnsi="Arial" w:eastAsia="黑体"/>
      <w:szCs w:val="20"/>
    </w:rPr>
  </w:style>
  <w:style w:type="character" w:default="1" w:styleId="75">
    <w:name w:val="Default Paragraph Font"/>
    <w:semiHidden/>
    <w:unhideWhenUsed/>
    <w:uiPriority w:val="1"/>
  </w:style>
  <w:style w:type="table" w:default="1" w:styleId="73">
    <w:name w:val="Normal Table"/>
    <w:semiHidden/>
    <w:unhideWhenUsed/>
    <w:uiPriority w:val="99"/>
    <w:tblPr>
      <w:tblCellMar>
        <w:top w:w="0" w:type="dxa"/>
        <w:left w:w="108" w:type="dxa"/>
        <w:bottom w:w="0" w:type="dxa"/>
        <w:right w:w="108" w:type="dxa"/>
      </w:tblCellMar>
    </w:tblPr>
  </w:style>
  <w:style w:type="paragraph" w:styleId="2">
    <w:name w:val="macro"/>
    <w:link w:val="117"/>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toc 7"/>
    <w:basedOn w:val="1"/>
    <w:next w:val="1"/>
    <w:qFormat/>
    <w:uiPriority w:val="39"/>
    <w:pPr>
      <w:ind w:left="1260"/>
      <w:jc w:val="left"/>
    </w:pPr>
    <w:rPr>
      <w:sz w:val="18"/>
      <w:szCs w:val="18"/>
    </w:rPr>
  </w:style>
  <w:style w:type="paragraph" w:styleId="13">
    <w:name w:val="List Number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14">
    <w:name w:val="table of authorities"/>
    <w:basedOn w:val="1"/>
    <w:next w:val="1"/>
    <w:semiHidden/>
    <w:qFormat/>
    <w:uiPriority w:val="0"/>
    <w:pPr>
      <w:spacing w:line="480" w:lineRule="exact"/>
      <w:ind w:left="420" w:leftChars="200" w:firstLine="200" w:firstLineChars="200"/>
      <w:jc w:val="left"/>
    </w:pPr>
    <w:rPr>
      <w:color w:val="7030A0"/>
      <w:sz w:val="24"/>
    </w:rPr>
  </w:style>
  <w:style w:type="paragraph" w:styleId="15">
    <w:name w:val="List Bullet 4"/>
    <w:basedOn w:val="1"/>
    <w:qFormat/>
    <w:uiPriority w:val="0"/>
    <w:pPr>
      <w:tabs>
        <w:tab w:val="left" w:pos="1620"/>
      </w:tabs>
      <w:spacing w:line="360" w:lineRule="auto"/>
      <w:ind w:left="1620" w:hanging="360"/>
      <w:jc w:val="left"/>
    </w:pPr>
    <w:rPr>
      <w:rFonts w:ascii="宋体" w:hAnsi="宋体"/>
      <w:color w:val="7030A0"/>
      <w:sz w:val="24"/>
      <w:szCs w:val="20"/>
    </w:rPr>
  </w:style>
  <w:style w:type="paragraph" w:styleId="16">
    <w:name w:val="index 8"/>
    <w:basedOn w:val="1"/>
    <w:next w:val="1"/>
    <w:semiHidden/>
    <w:qFormat/>
    <w:uiPriority w:val="0"/>
    <w:pPr>
      <w:spacing w:line="480" w:lineRule="exact"/>
      <w:ind w:left="1400" w:leftChars="1400" w:firstLine="200" w:firstLineChars="200"/>
      <w:jc w:val="left"/>
    </w:pPr>
    <w:rPr>
      <w:color w:val="7030A0"/>
      <w:sz w:val="24"/>
    </w:rPr>
  </w:style>
  <w:style w:type="paragraph" w:styleId="17">
    <w:name w:val="List 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18">
    <w:name w:val="Normal Indent"/>
    <w:basedOn w:val="1"/>
    <w:link w:val="106"/>
    <w:qFormat/>
    <w:uiPriority w:val="99"/>
    <w:pPr>
      <w:autoSpaceDE w:val="0"/>
      <w:autoSpaceDN w:val="0"/>
      <w:adjustRightInd w:val="0"/>
      <w:spacing w:line="360" w:lineRule="atLeast"/>
      <w:ind w:firstLine="420"/>
      <w:textAlignment w:val="baseline"/>
    </w:pPr>
    <w:rPr>
      <w:rFonts w:ascii="宋体"/>
      <w:kern w:val="0"/>
      <w:sz w:val="24"/>
      <w:szCs w:val="20"/>
    </w:rPr>
  </w:style>
  <w:style w:type="paragraph" w:styleId="19">
    <w:name w:val="caption"/>
    <w:basedOn w:val="1"/>
    <w:next w:val="1"/>
    <w:link w:val="138"/>
    <w:qFormat/>
    <w:uiPriority w:val="0"/>
    <w:pPr>
      <w:ind w:firstLine="6290" w:firstLineChars="2282"/>
    </w:pPr>
    <w:rPr>
      <w:b/>
      <w:bCs/>
      <w:color w:val="000080"/>
      <w:sz w:val="28"/>
    </w:rPr>
  </w:style>
  <w:style w:type="paragraph" w:styleId="20">
    <w:name w:val="index 5"/>
    <w:basedOn w:val="1"/>
    <w:next w:val="1"/>
    <w:semiHidden/>
    <w:qFormat/>
    <w:uiPriority w:val="0"/>
    <w:pPr>
      <w:spacing w:line="480" w:lineRule="exact"/>
      <w:ind w:left="800" w:leftChars="800" w:firstLine="200" w:firstLineChars="200"/>
      <w:jc w:val="left"/>
    </w:pPr>
    <w:rPr>
      <w:color w:val="7030A0"/>
      <w:sz w:val="24"/>
    </w:rPr>
  </w:style>
  <w:style w:type="paragraph" w:styleId="21">
    <w:name w:val="List 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styleId="22">
    <w:name w:val="Document Map"/>
    <w:basedOn w:val="1"/>
    <w:link w:val="187"/>
    <w:unhideWhenUsed/>
    <w:qFormat/>
    <w:uiPriority w:val="0"/>
    <w:rPr>
      <w:rFonts w:ascii="宋体"/>
      <w:sz w:val="18"/>
      <w:szCs w:val="18"/>
    </w:rPr>
  </w:style>
  <w:style w:type="paragraph" w:styleId="23">
    <w:name w:val="toa heading"/>
    <w:basedOn w:val="1"/>
    <w:next w:val="1"/>
    <w:qFormat/>
    <w:uiPriority w:val="0"/>
    <w:pPr>
      <w:spacing w:before="120"/>
    </w:pPr>
    <w:rPr>
      <w:rFonts w:ascii="Arial" w:hAnsi="Arial" w:cs="Arial"/>
      <w:sz w:val="24"/>
    </w:rPr>
  </w:style>
  <w:style w:type="paragraph" w:styleId="24">
    <w:name w:val="annotation text"/>
    <w:basedOn w:val="1"/>
    <w:link w:val="96"/>
    <w:qFormat/>
    <w:uiPriority w:val="99"/>
    <w:pPr>
      <w:jc w:val="left"/>
    </w:pPr>
  </w:style>
  <w:style w:type="paragraph" w:styleId="25">
    <w:name w:val="index 6"/>
    <w:basedOn w:val="1"/>
    <w:next w:val="1"/>
    <w:semiHidden/>
    <w:qFormat/>
    <w:uiPriority w:val="0"/>
    <w:pPr>
      <w:spacing w:line="480" w:lineRule="exact"/>
      <w:ind w:left="1000" w:leftChars="1000" w:firstLine="200" w:firstLineChars="200"/>
      <w:jc w:val="left"/>
    </w:pPr>
    <w:rPr>
      <w:color w:val="7030A0"/>
      <w:sz w:val="24"/>
    </w:rPr>
  </w:style>
  <w:style w:type="paragraph" w:styleId="26">
    <w:name w:val="Salutation"/>
    <w:basedOn w:val="1"/>
    <w:next w:val="1"/>
    <w:link w:val="89"/>
    <w:qFormat/>
    <w:uiPriority w:val="0"/>
    <w:rPr>
      <w:sz w:val="24"/>
      <w:szCs w:val="20"/>
    </w:rPr>
  </w:style>
  <w:style w:type="paragraph" w:styleId="27">
    <w:name w:val="Body Text 3"/>
    <w:basedOn w:val="1"/>
    <w:link w:val="103"/>
    <w:qFormat/>
    <w:uiPriority w:val="0"/>
    <w:pPr>
      <w:spacing w:after="120"/>
    </w:pPr>
    <w:rPr>
      <w:sz w:val="16"/>
      <w:szCs w:val="16"/>
    </w:rPr>
  </w:style>
  <w:style w:type="paragraph" w:styleId="28">
    <w:name w:val="List Bullet 3"/>
    <w:basedOn w:val="1"/>
    <w:qFormat/>
    <w:uiPriority w:val="0"/>
    <w:pPr>
      <w:tabs>
        <w:tab w:val="left" w:pos="775"/>
      </w:tabs>
      <w:spacing w:line="360" w:lineRule="auto"/>
      <w:ind w:left="775" w:hanging="360"/>
    </w:pPr>
    <w:rPr>
      <w:kern w:val="0"/>
    </w:rPr>
  </w:style>
  <w:style w:type="paragraph" w:styleId="29">
    <w:name w:val="Body Text"/>
    <w:basedOn w:val="1"/>
    <w:link w:val="156"/>
    <w:qFormat/>
    <w:uiPriority w:val="0"/>
    <w:pPr>
      <w:spacing w:line="360" w:lineRule="auto"/>
    </w:pPr>
    <w:rPr>
      <w:sz w:val="24"/>
      <w:szCs w:val="20"/>
    </w:rPr>
  </w:style>
  <w:style w:type="paragraph" w:styleId="30">
    <w:name w:val="Body Text Indent"/>
    <w:basedOn w:val="1"/>
    <w:link w:val="175"/>
    <w:qFormat/>
    <w:uiPriority w:val="0"/>
    <w:pPr>
      <w:spacing w:line="360" w:lineRule="auto"/>
    </w:pPr>
    <w:rPr>
      <w:rFonts w:ascii="宋体"/>
      <w:szCs w:val="20"/>
    </w:rPr>
  </w:style>
  <w:style w:type="paragraph" w:styleId="31">
    <w:name w:val="List Number 3"/>
    <w:basedOn w:val="1"/>
    <w:qFormat/>
    <w:uiPriority w:val="0"/>
    <w:pPr>
      <w:tabs>
        <w:tab w:val="left" w:pos="1200"/>
      </w:tabs>
      <w:spacing w:line="360" w:lineRule="auto"/>
      <w:ind w:left="1200" w:hanging="360"/>
      <w:jc w:val="left"/>
    </w:pPr>
    <w:rPr>
      <w:rFonts w:ascii="宋体" w:hAnsi="宋体"/>
      <w:color w:val="7030A0"/>
      <w:sz w:val="24"/>
      <w:szCs w:val="20"/>
    </w:rPr>
  </w:style>
  <w:style w:type="paragraph" w:styleId="32">
    <w:name w:val="List 2"/>
    <w:basedOn w:val="1"/>
    <w:qFormat/>
    <w:uiPriority w:val="0"/>
    <w:pPr>
      <w:widowControl/>
      <w:ind w:left="840" w:hanging="420"/>
      <w:jc w:val="left"/>
    </w:pPr>
    <w:rPr>
      <w:rFonts w:ascii="宋体"/>
      <w:kern w:val="0"/>
      <w:sz w:val="22"/>
      <w:szCs w:val="20"/>
    </w:rPr>
  </w:style>
  <w:style w:type="paragraph" w:styleId="33">
    <w:name w:val="List Continue"/>
    <w:basedOn w:val="1"/>
    <w:qFormat/>
    <w:uiPriority w:val="0"/>
    <w:pPr>
      <w:widowControl/>
      <w:spacing w:after="120"/>
      <w:ind w:left="420"/>
      <w:jc w:val="left"/>
    </w:pPr>
    <w:rPr>
      <w:rFonts w:ascii="宋体"/>
      <w:kern w:val="0"/>
      <w:sz w:val="22"/>
      <w:szCs w:val="20"/>
    </w:rPr>
  </w:style>
  <w:style w:type="paragraph" w:styleId="34">
    <w:name w:val="Block Text"/>
    <w:basedOn w:val="1"/>
    <w:qFormat/>
    <w:uiPriority w:val="0"/>
    <w:pPr>
      <w:tabs>
        <w:tab w:val="left" w:pos="8364"/>
      </w:tabs>
      <w:ind w:left="840" w:right="-57" w:hanging="300"/>
    </w:pPr>
    <w:rPr>
      <w:rFonts w:ascii="宋体"/>
      <w:szCs w:val="20"/>
    </w:rPr>
  </w:style>
  <w:style w:type="paragraph" w:styleId="35">
    <w:name w:val="List Bullet 2"/>
    <w:basedOn w:val="1"/>
    <w:qFormat/>
    <w:uiPriority w:val="0"/>
    <w:pPr>
      <w:tabs>
        <w:tab w:val="left" w:pos="780"/>
      </w:tabs>
      <w:spacing w:line="360" w:lineRule="auto"/>
      <w:ind w:left="780" w:hanging="360"/>
      <w:jc w:val="left"/>
    </w:pPr>
    <w:rPr>
      <w:rFonts w:ascii="宋体" w:hAnsi="宋体"/>
      <w:color w:val="7030A0"/>
      <w:sz w:val="24"/>
      <w:szCs w:val="20"/>
    </w:rPr>
  </w:style>
  <w:style w:type="paragraph" w:styleId="36">
    <w:name w:val="index 4"/>
    <w:basedOn w:val="1"/>
    <w:next w:val="1"/>
    <w:qFormat/>
    <w:uiPriority w:val="0"/>
    <w:pPr>
      <w:spacing w:line="480" w:lineRule="exact"/>
      <w:ind w:left="600" w:leftChars="600" w:firstLine="200" w:firstLineChars="200"/>
      <w:jc w:val="left"/>
    </w:pPr>
    <w:rPr>
      <w:color w:val="7030A0"/>
      <w:sz w:val="24"/>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tabs>
        <w:tab w:val="left" w:pos="400"/>
        <w:tab w:val="left" w:pos="576"/>
        <w:tab w:val="right" w:leader="dot" w:pos="8778"/>
      </w:tabs>
      <w:ind w:left="10"/>
      <w:jc w:val="center"/>
    </w:pPr>
    <w:rPr>
      <w:rFonts w:ascii="宋体" w:hAnsi="宋体"/>
      <w:b/>
      <w:iCs/>
      <w:sz w:val="24"/>
    </w:rPr>
  </w:style>
  <w:style w:type="paragraph" w:styleId="39">
    <w:name w:val="Plain Text"/>
    <w:basedOn w:val="1"/>
    <w:link w:val="127"/>
    <w:unhideWhenUsed/>
    <w:qFormat/>
    <w:uiPriority w:val="0"/>
    <w:rPr>
      <w:rFonts w:ascii="宋体" w:hAnsi="Courier New" w:cs="Courier New"/>
      <w:szCs w:val="21"/>
    </w:rPr>
  </w:style>
  <w:style w:type="paragraph" w:styleId="40">
    <w:name w:val="List Bullet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41">
    <w:name w:val="List Number 4"/>
    <w:basedOn w:val="1"/>
    <w:qFormat/>
    <w:uiPriority w:val="0"/>
    <w:pPr>
      <w:tabs>
        <w:tab w:val="left" w:pos="1620"/>
      </w:tabs>
      <w:spacing w:line="360" w:lineRule="auto"/>
      <w:ind w:left="1620" w:hanging="360"/>
    </w:pPr>
    <w:rPr>
      <w:rFonts w:ascii="宋体" w:hAnsi="宋体"/>
      <w:sz w:val="24"/>
      <w:szCs w:val="20"/>
    </w:rPr>
  </w:style>
  <w:style w:type="paragraph" w:styleId="42">
    <w:name w:val="toc 8"/>
    <w:basedOn w:val="1"/>
    <w:next w:val="1"/>
    <w:qFormat/>
    <w:uiPriority w:val="39"/>
    <w:pPr>
      <w:ind w:left="1470"/>
      <w:jc w:val="left"/>
    </w:pPr>
    <w:rPr>
      <w:sz w:val="18"/>
      <w:szCs w:val="18"/>
    </w:rPr>
  </w:style>
  <w:style w:type="paragraph" w:styleId="43">
    <w:name w:val="index 3"/>
    <w:basedOn w:val="1"/>
    <w:next w:val="1"/>
    <w:semiHidden/>
    <w:qFormat/>
    <w:uiPriority w:val="0"/>
    <w:pPr>
      <w:spacing w:line="480" w:lineRule="exact"/>
      <w:ind w:left="400" w:leftChars="400" w:firstLine="200" w:firstLineChars="200"/>
      <w:jc w:val="left"/>
    </w:pPr>
    <w:rPr>
      <w:color w:val="7030A0"/>
      <w:sz w:val="24"/>
    </w:rPr>
  </w:style>
  <w:style w:type="paragraph" w:styleId="44">
    <w:name w:val="Date"/>
    <w:basedOn w:val="1"/>
    <w:next w:val="1"/>
    <w:link w:val="137"/>
    <w:qFormat/>
    <w:uiPriority w:val="0"/>
    <w:pPr>
      <w:autoSpaceDE w:val="0"/>
      <w:autoSpaceDN w:val="0"/>
      <w:adjustRightInd w:val="0"/>
      <w:textAlignment w:val="baseline"/>
    </w:pPr>
    <w:rPr>
      <w:rFonts w:eastAsia="楷体_GB2312"/>
      <w:sz w:val="30"/>
      <w:szCs w:val="20"/>
    </w:rPr>
  </w:style>
  <w:style w:type="paragraph" w:styleId="45">
    <w:name w:val="Body Text Indent 2"/>
    <w:basedOn w:val="1"/>
    <w:link w:val="133"/>
    <w:qFormat/>
    <w:uiPriority w:val="0"/>
    <w:pPr>
      <w:spacing w:after="120" w:line="480" w:lineRule="auto"/>
      <w:ind w:left="420" w:leftChars="200"/>
    </w:pPr>
    <w:rPr>
      <w:szCs w:val="20"/>
    </w:rPr>
  </w:style>
  <w:style w:type="paragraph" w:styleId="46">
    <w:name w:val="endnote text"/>
    <w:basedOn w:val="1"/>
    <w:link w:val="118"/>
    <w:qFormat/>
    <w:uiPriority w:val="0"/>
    <w:pPr>
      <w:snapToGrid w:val="0"/>
      <w:spacing w:line="500" w:lineRule="exact"/>
      <w:jc w:val="left"/>
    </w:pPr>
    <w:rPr>
      <w:kern w:val="0"/>
    </w:rPr>
  </w:style>
  <w:style w:type="paragraph" w:styleId="47">
    <w:name w:val="Balloon Text"/>
    <w:basedOn w:val="1"/>
    <w:link w:val="179"/>
    <w:unhideWhenUsed/>
    <w:qFormat/>
    <w:uiPriority w:val="0"/>
    <w:rPr>
      <w:sz w:val="18"/>
      <w:szCs w:val="18"/>
    </w:rPr>
  </w:style>
  <w:style w:type="paragraph" w:styleId="48">
    <w:name w:val="footer"/>
    <w:basedOn w:val="1"/>
    <w:link w:val="181"/>
    <w:unhideWhenUsed/>
    <w:qFormat/>
    <w:uiPriority w:val="99"/>
    <w:pPr>
      <w:tabs>
        <w:tab w:val="center" w:pos="4153"/>
        <w:tab w:val="right" w:pos="8306"/>
      </w:tabs>
      <w:snapToGrid w:val="0"/>
      <w:jc w:val="left"/>
    </w:pPr>
    <w:rPr>
      <w:sz w:val="18"/>
      <w:szCs w:val="18"/>
    </w:rPr>
  </w:style>
  <w:style w:type="paragraph" w:styleId="49">
    <w:name w:val="header"/>
    <w:basedOn w:val="1"/>
    <w:link w:val="150"/>
    <w:unhideWhenUsed/>
    <w:qFormat/>
    <w:uiPriority w:val="0"/>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iCs/>
      <w:caps/>
      <w:kern w:val="0"/>
      <w:sz w:val="36"/>
      <w:szCs w:val="36"/>
    </w:rPr>
  </w:style>
  <w:style w:type="paragraph" w:styleId="51">
    <w:name w:val="toc 4"/>
    <w:basedOn w:val="1"/>
    <w:next w:val="1"/>
    <w:qFormat/>
    <w:uiPriority w:val="39"/>
    <w:pPr>
      <w:ind w:left="630"/>
      <w:jc w:val="left"/>
    </w:pPr>
    <w:rPr>
      <w:sz w:val="18"/>
      <w:szCs w:val="18"/>
    </w:rPr>
  </w:style>
  <w:style w:type="paragraph" w:styleId="52">
    <w:name w:val="index heading"/>
    <w:basedOn w:val="1"/>
    <w:next w:val="53"/>
    <w:qFormat/>
    <w:uiPriority w:val="0"/>
  </w:style>
  <w:style w:type="paragraph" w:styleId="53">
    <w:name w:val="index 1"/>
    <w:basedOn w:val="1"/>
    <w:next w:val="1"/>
    <w:qFormat/>
    <w:uiPriority w:val="0"/>
    <w:pPr>
      <w:spacing w:line="360" w:lineRule="auto"/>
      <w:ind w:left="1149" w:leftChars="547"/>
    </w:pPr>
    <w:rPr>
      <w:szCs w:val="20"/>
    </w:rPr>
  </w:style>
  <w:style w:type="paragraph" w:styleId="54">
    <w:name w:val="List Number 5"/>
    <w:basedOn w:val="1"/>
    <w:qFormat/>
    <w:uiPriority w:val="0"/>
    <w:pPr>
      <w:tabs>
        <w:tab w:val="left" w:pos="2040"/>
      </w:tabs>
      <w:spacing w:line="360" w:lineRule="auto"/>
      <w:ind w:left="2040" w:hanging="360"/>
      <w:jc w:val="left"/>
    </w:pPr>
    <w:rPr>
      <w:rFonts w:ascii="宋体" w:hAnsi="宋体"/>
      <w:color w:val="7030A0"/>
      <w:sz w:val="24"/>
      <w:szCs w:val="20"/>
    </w:rPr>
  </w:style>
  <w:style w:type="paragraph" w:styleId="55">
    <w:name w:val="List"/>
    <w:basedOn w:val="1"/>
    <w:qFormat/>
    <w:uiPriority w:val="0"/>
    <w:pPr>
      <w:ind w:left="200" w:hanging="200" w:hangingChars="200"/>
    </w:pPr>
    <w:rPr>
      <w:szCs w:val="20"/>
    </w:rPr>
  </w:style>
  <w:style w:type="paragraph" w:styleId="56">
    <w:name w:val="footnote text"/>
    <w:basedOn w:val="1"/>
    <w:link w:val="90"/>
    <w:qFormat/>
    <w:uiPriority w:val="0"/>
    <w:pPr>
      <w:adjustRightInd w:val="0"/>
      <w:spacing w:line="312" w:lineRule="atLeast"/>
      <w:jc w:val="left"/>
      <w:textAlignment w:val="baseline"/>
    </w:pPr>
    <w:rPr>
      <w:kern w:val="0"/>
      <w:sz w:val="18"/>
      <w:szCs w:val="20"/>
    </w:rPr>
  </w:style>
  <w:style w:type="paragraph" w:styleId="57">
    <w:name w:val="toc 6"/>
    <w:basedOn w:val="1"/>
    <w:next w:val="1"/>
    <w:qFormat/>
    <w:uiPriority w:val="39"/>
    <w:pPr>
      <w:ind w:left="1050"/>
      <w:jc w:val="left"/>
    </w:pPr>
    <w:rPr>
      <w:sz w:val="18"/>
      <w:szCs w:val="18"/>
    </w:rPr>
  </w:style>
  <w:style w:type="paragraph" w:styleId="58">
    <w:name w:val="Body Text Indent 3"/>
    <w:basedOn w:val="1"/>
    <w:link w:val="113"/>
    <w:qFormat/>
    <w:uiPriority w:val="0"/>
    <w:pPr>
      <w:ind w:left="1260" w:leftChars="600"/>
    </w:pPr>
    <w:rPr>
      <w:szCs w:val="20"/>
    </w:rPr>
  </w:style>
  <w:style w:type="paragraph" w:styleId="59">
    <w:name w:val="index 7"/>
    <w:basedOn w:val="1"/>
    <w:next w:val="1"/>
    <w:semiHidden/>
    <w:qFormat/>
    <w:uiPriority w:val="0"/>
    <w:pPr>
      <w:spacing w:line="480" w:lineRule="exact"/>
      <w:ind w:left="1200" w:leftChars="1200" w:firstLine="200" w:firstLineChars="200"/>
      <w:jc w:val="left"/>
    </w:pPr>
    <w:rPr>
      <w:color w:val="7030A0"/>
      <w:sz w:val="24"/>
    </w:rPr>
  </w:style>
  <w:style w:type="paragraph" w:styleId="60">
    <w:name w:val="index 9"/>
    <w:basedOn w:val="1"/>
    <w:next w:val="1"/>
    <w:semiHidden/>
    <w:qFormat/>
    <w:uiPriority w:val="0"/>
    <w:pPr>
      <w:spacing w:line="480" w:lineRule="exact"/>
      <w:ind w:left="1600" w:leftChars="1600" w:firstLine="200" w:firstLineChars="200"/>
      <w:jc w:val="left"/>
    </w:pPr>
    <w:rPr>
      <w:color w:val="7030A0"/>
      <w:sz w:val="24"/>
    </w:rPr>
  </w:style>
  <w:style w:type="paragraph" w:styleId="61">
    <w:name w:val="table of figures"/>
    <w:basedOn w:val="1"/>
    <w:next w:val="1"/>
    <w:qFormat/>
    <w:uiPriority w:val="0"/>
    <w:pPr>
      <w:spacing w:line="480" w:lineRule="exact"/>
      <w:ind w:left="200" w:leftChars="200" w:hanging="200" w:hangingChars="200"/>
      <w:jc w:val="left"/>
    </w:pPr>
    <w:rPr>
      <w:color w:val="7030A0"/>
      <w:sz w:val="24"/>
    </w:rPr>
  </w:style>
  <w:style w:type="paragraph" w:styleId="62">
    <w:name w:val="toc 2"/>
    <w:basedOn w:val="1"/>
    <w:next w:val="1"/>
    <w:qFormat/>
    <w:uiPriority w:val="39"/>
    <w:pPr>
      <w:tabs>
        <w:tab w:val="right" w:leader="dot" w:pos="8778"/>
      </w:tabs>
      <w:ind w:left="23" w:leftChars="9" w:hanging="4" w:hangingChars="2"/>
      <w:jc w:val="left"/>
    </w:pPr>
    <w:rPr>
      <w:smallCaps/>
      <w:sz w:val="20"/>
      <w:szCs w:val="20"/>
    </w:rPr>
  </w:style>
  <w:style w:type="paragraph" w:styleId="63">
    <w:name w:val="toc 9"/>
    <w:basedOn w:val="1"/>
    <w:next w:val="1"/>
    <w:qFormat/>
    <w:uiPriority w:val="39"/>
    <w:pPr>
      <w:ind w:left="1680"/>
      <w:jc w:val="left"/>
    </w:pPr>
    <w:rPr>
      <w:sz w:val="18"/>
      <w:szCs w:val="18"/>
    </w:rPr>
  </w:style>
  <w:style w:type="paragraph" w:styleId="64">
    <w:name w:val="Body Text 2"/>
    <w:basedOn w:val="1"/>
    <w:link w:val="121"/>
    <w:qFormat/>
    <w:uiPriority w:val="0"/>
    <w:pPr>
      <w:spacing w:after="120" w:line="480" w:lineRule="auto"/>
    </w:pPr>
    <w:rPr>
      <w:szCs w:val="20"/>
    </w:rPr>
  </w:style>
  <w:style w:type="paragraph" w:styleId="65">
    <w:name w:val="Message Header"/>
    <w:basedOn w:val="1"/>
    <w:link w:val="12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rPr>
  </w:style>
  <w:style w:type="paragraph" w:styleId="66">
    <w:name w:val="HTML Preformatted"/>
    <w:basedOn w:val="1"/>
    <w:link w:val="1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kern w:val="0"/>
      <w:szCs w:val="21"/>
    </w:rPr>
  </w:style>
  <w:style w:type="paragraph" w:styleId="6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68">
    <w:name w:val="index 2"/>
    <w:basedOn w:val="1"/>
    <w:next w:val="1"/>
    <w:semiHidden/>
    <w:qFormat/>
    <w:uiPriority w:val="0"/>
    <w:pPr>
      <w:spacing w:line="480" w:lineRule="exact"/>
      <w:ind w:left="200" w:leftChars="200" w:firstLine="200" w:firstLineChars="200"/>
      <w:jc w:val="left"/>
    </w:pPr>
    <w:rPr>
      <w:color w:val="7030A0"/>
      <w:sz w:val="24"/>
    </w:rPr>
  </w:style>
  <w:style w:type="paragraph" w:styleId="69">
    <w:name w:val="Title"/>
    <w:basedOn w:val="1"/>
    <w:link w:val="135"/>
    <w:qFormat/>
    <w:uiPriority w:val="0"/>
    <w:pPr>
      <w:widowControl/>
      <w:spacing w:before="240" w:after="60"/>
      <w:jc w:val="center"/>
      <w:outlineLvl w:val="0"/>
    </w:pPr>
    <w:rPr>
      <w:rFonts w:ascii="Arial" w:hAnsi="Arial" w:eastAsia="楷体_GB2312"/>
      <w:b/>
      <w:kern w:val="0"/>
      <w:sz w:val="32"/>
      <w:szCs w:val="20"/>
    </w:rPr>
  </w:style>
  <w:style w:type="paragraph" w:styleId="70">
    <w:name w:val="annotation subject"/>
    <w:basedOn w:val="24"/>
    <w:next w:val="24"/>
    <w:link w:val="95"/>
    <w:unhideWhenUsed/>
    <w:qFormat/>
    <w:uiPriority w:val="0"/>
    <w:rPr>
      <w:b/>
      <w:bCs/>
    </w:rPr>
  </w:style>
  <w:style w:type="paragraph" w:styleId="71">
    <w:name w:val="Body Text First Indent"/>
    <w:basedOn w:val="1"/>
    <w:link w:val="155"/>
    <w:qFormat/>
    <w:uiPriority w:val="0"/>
    <w:pPr>
      <w:tabs>
        <w:tab w:val="left" w:pos="360"/>
      </w:tabs>
      <w:spacing w:line="220" w:lineRule="exact"/>
      <w:ind w:left="360" w:hanging="360" w:firstLineChars="200"/>
      <w:jc w:val="left"/>
    </w:pPr>
    <w:rPr>
      <w:color w:val="7030A0"/>
    </w:rPr>
  </w:style>
  <w:style w:type="paragraph" w:styleId="72">
    <w:name w:val="Body Text First Indent 2"/>
    <w:basedOn w:val="30"/>
    <w:link w:val="146"/>
    <w:qFormat/>
    <w:uiPriority w:val="0"/>
    <w:pPr>
      <w:spacing w:after="120" w:line="240" w:lineRule="auto"/>
      <w:ind w:left="420" w:leftChars="200" w:firstLine="200" w:firstLineChars="200"/>
      <w:jc w:val="left"/>
    </w:pPr>
    <w:rPr>
      <w:rFonts w:hAnsi="宋体"/>
      <w:szCs w:val="24"/>
    </w:rPr>
  </w:style>
  <w:style w:type="table" w:styleId="74">
    <w:name w:val="Table Grid"/>
    <w:basedOn w:val="7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6">
    <w:name w:val="Strong"/>
    <w:qFormat/>
    <w:uiPriority w:val="0"/>
    <w:rPr>
      <w:b/>
      <w:bCs/>
    </w:rPr>
  </w:style>
  <w:style w:type="character" w:styleId="77">
    <w:name w:val="endnote reference"/>
    <w:qFormat/>
    <w:uiPriority w:val="0"/>
    <w:rPr>
      <w:vertAlign w:val="superscript"/>
    </w:rPr>
  </w:style>
  <w:style w:type="character" w:styleId="78">
    <w:name w:val="page number"/>
    <w:basedOn w:val="75"/>
    <w:qFormat/>
    <w:uiPriority w:val="0"/>
  </w:style>
  <w:style w:type="character" w:styleId="79">
    <w:name w:val="FollowedHyperlink"/>
    <w:basedOn w:val="75"/>
    <w:unhideWhenUsed/>
    <w:qFormat/>
    <w:uiPriority w:val="99"/>
    <w:rPr>
      <w:color w:val="800080"/>
      <w:u w:val="single"/>
    </w:rPr>
  </w:style>
  <w:style w:type="character" w:styleId="80">
    <w:name w:val="HTML Typewriter"/>
    <w:qFormat/>
    <w:uiPriority w:val="0"/>
    <w:rPr>
      <w:rFonts w:ascii="黑体" w:hAnsi="Courier New" w:eastAsia="黑体" w:cs="Courier New"/>
      <w:sz w:val="20"/>
      <w:szCs w:val="20"/>
    </w:rPr>
  </w:style>
  <w:style w:type="character" w:styleId="81">
    <w:name w:val="Hyperlink"/>
    <w:basedOn w:val="75"/>
    <w:unhideWhenUsed/>
    <w:qFormat/>
    <w:uiPriority w:val="99"/>
    <w:rPr>
      <w:color w:val="0000FF"/>
      <w:u w:val="single"/>
    </w:rPr>
  </w:style>
  <w:style w:type="character" w:styleId="82">
    <w:name w:val="annotation reference"/>
    <w:basedOn w:val="75"/>
    <w:qFormat/>
    <w:uiPriority w:val="99"/>
    <w:rPr>
      <w:sz w:val="21"/>
      <w:szCs w:val="21"/>
    </w:rPr>
  </w:style>
  <w:style w:type="character" w:styleId="83">
    <w:name w:val="footnote reference"/>
    <w:qFormat/>
    <w:uiPriority w:val="0"/>
    <w:rPr>
      <w:vertAlign w:val="superscript"/>
    </w:rPr>
  </w:style>
  <w:style w:type="paragraph" w:customStyle="1" w:styleId="84">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85">
    <w:name w:val="标题4"/>
    <w:basedOn w:val="1"/>
    <w:next w:val="1"/>
    <w:qFormat/>
    <w:uiPriority w:val="0"/>
    <w:pPr>
      <w:keepNext/>
      <w:spacing w:line="360" w:lineRule="auto"/>
      <w:ind w:firstLine="200" w:firstLineChars="200"/>
      <w:jc w:val="left"/>
      <w:outlineLvl w:val="3"/>
    </w:pPr>
    <w:rPr>
      <w:b/>
      <w:kern w:val="0"/>
      <w:sz w:val="30"/>
    </w:rPr>
  </w:style>
  <w:style w:type="character" w:customStyle="1" w:styleId="86">
    <w:name w:val="四级标题格式 Char"/>
    <w:link w:val="87"/>
    <w:qFormat/>
    <w:uiPriority w:val="0"/>
    <w:rPr>
      <w:rFonts w:ascii="Times New Roman" w:hAnsi="Times New Roman" w:eastAsia="黑体"/>
      <w:bCs/>
      <w:kern w:val="2"/>
      <w:sz w:val="28"/>
      <w:szCs w:val="28"/>
    </w:rPr>
  </w:style>
  <w:style w:type="paragraph" w:customStyle="1" w:styleId="87">
    <w:name w:val="四级标题格式"/>
    <w:basedOn w:val="6"/>
    <w:link w:val="86"/>
    <w:qFormat/>
    <w:uiPriority w:val="0"/>
    <w:pPr>
      <w:keepNext w:val="0"/>
      <w:keepLines w:val="0"/>
      <w:spacing w:before="0" w:afterLines="100" w:line="240" w:lineRule="auto"/>
      <w:jc w:val="left"/>
    </w:pPr>
    <w:rPr>
      <w:rFonts w:ascii="Times New Roman" w:hAnsi="Times New Roman" w:eastAsia="黑体"/>
      <w:b w:val="0"/>
    </w:rPr>
  </w:style>
  <w:style w:type="character" w:customStyle="1" w:styleId="88">
    <w:name w:val="标题 9 字符"/>
    <w:basedOn w:val="75"/>
    <w:link w:val="11"/>
    <w:qFormat/>
    <w:uiPriority w:val="0"/>
    <w:rPr>
      <w:rFonts w:ascii="Arial" w:hAnsi="Arial" w:eastAsia="黑体"/>
      <w:kern w:val="2"/>
      <w:sz w:val="21"/>
    </w:rPr>
  </w:style>
  <w:style w:type="character" w:customStyle="1" w:styleId="89">
    <w:name w:val="称呼 字符"/>
    <w:basedOn w:val="75"/>
    <w:link w:val="26"/>
    <w:qFormat/>
    <w:uiPriority w:val="0"/>
    <w:rPr>
      <w:rFonts w:ascii="Times New Roman" w:hAnsi="Times New Roman"/>
      <w:kern w:val="2"/>
      <w:sz w:val="24"/>
    </w:rPr>
  </w:style>
  <w:style w:type="character" w:customStyle="1" w:styleId="90">
    <w:name w:val="脚注文本 字符"/>
    <w:basedOn w:val="75"/>
    <w:link w:val="56"/>
    <w:qFormat/>
    <w:uiPriority w:val="0"/>
    <w:rPr>
      <w:rFonts w:ascii="Times New Roman" w:hAnsi="Times New Roman"/>
      <w:sz w:val="18"/>
    </w:rPr>
  </w:style>
  <w:style w:type="character" w:customStyle="1" w:styleId="91">
    <w:name w:val="标题 5 Char1"/>
    <w:qFormat/>
    <w:uiPriority w:val="0"/>
    <w:rPr>
      <w:rFonts w:ascii="Times New Roman" w:hAnsi="Times New Roman"/>
      <w:b/>
      <w:kern w:val="2"/>
      <w:sz w:val="28"/>
    </w:rPr>
  </w:style>
  <w:style w:type="character" w:customStyle="1" w:styleId="92">
    <w:name w:val="样式 标题 31.1条标题1.1.1二级节名h3Heading 3 - oldheading 3H3H31H3... Char Char"/>
    <w:qFormat/>
    <w:uiPriority w:val="0"/>
    <w:rPr>
      <w:rFonts w:ascii="宋体" w:hAnsi="宋体" w:eastAsia="黑体"/>
      <w:kern w:val="2"/>
      <w:sz w:val="24"/>
      <w:szCs w:val="21"/>
    </w:rPr>
  </w:style>
  <w:style w:type="character" w:customStyle="1" w:styleId="93">
    <w:name w:val="标题3 Char"/>
    <w:link w:val="94"/>
    <w:qFormat/>
    <w:uiPriority w:val="0"/>
    <w:rPr>
      <w:rFonts w:ascii="Times New Roman" w:hAnsi="Times New Roman"/>
      <w:sz w:val="24"/>
    </w:rPr>
  </w:style>
  <w:style w:type="paragraph" w:customStyle="1" w:styleId="94">
    <w:name w:val="标题3"/>
    <w:basedOn w:val="5"/>
    <w:link w:val="93"/>
    <w:qFormat/>
    <w:uiPriority w:val="0"/>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95">
    <w:name w:val="批注主题 字符"/>
    <w:basedOn w:val="96"/>
    <w:link w:val="70"/>
    <w:qFormat/>
    <w:uiPriority w:val="0"/>
    <w:rPr>
      <w:rFonts w:ascii="Times New Roman" w:hAnsi="Times New Roman" w:eastAsia="宋体" w:cs="Times New Roman"/>
      <w:b/>
      <w:bCs/>
      <w:kern w:val="2"/>
      <w:sz w:val="21"/>
      <w:szCs w:val="24"/>
    </w:rPr>
  </w:style>
  <w:style w:type="character" w:customStyle="1" w:styleId="96">
    <w:name w:val="批注文字 字符"/>
    <w:basedOn w:val="75"/>
    <w:link w:val="24"/>
    <w:qFormat/>
    <w:uiPriority w:val="99"/>
    <w:rPr>
      <w:rFonts w:ascii="Times New Roman" w:hAnsi="Times New Roman" w:eastAsia="宋体" w:cs="Times New Roman"/>
      <w:szCs w:val="24"/>
    </w:rPr>
  </w:style>
  <w:style w:type="character" w:customStyle="1" w:styleId="97">
    <w:name w:val="selected"/>
    <w:basedOn w:val="75"/>
    <w:qFormat/>
    <w:uiPriority w:val="0"/>
    <w:rPr>
      <w:shd w:val="clear" w:color="auto" w:fill="B00006"/>
    </w:rPr>
  </w:style>
  <w:style w:type="character" w:customStyle="1" w:styleId="98">
    <w:name w:val="样式 宋体 行距: 固定值 24 磅 Char"/>
    <w:link w:val="99"/>
    <w:qFormat/>
    <w:uiPriority w:val="0"/>
    <w:rPr>
      <w:rFonts w:ascii="宋体" w:hAnsi="Times New Roman"/>
      <w:color w:val="7030A0"/>
      <w:kern w:val="2"/>
      <w:sz w:val="28"/>
    </w:rPr>
  </w:style>
  <w:style w:type="paragraph" w:customStyle="1" w:styleId="99">
    <w:name w:val="样式 宋体 行距: 固定值 24 磅"/>
    <w:basedOn w:val="1"/>
    <w:link w:val="98"/>
    <w:qFormat/>
    <w:uiPriority w:val="0"/>
    <w:pPr>
      <w:spacing w:line="480" w:lineRule="exact"/>
      <w:ind w:firstLine="585" w:firstLineChars="200"/>
      <w:jc w:val="left"/>
    </w:pPr>
    <w:rPr>
      <w:rFonts w:ascii="宋体"/>
      <w:color w:val="7030A0"/>
      <w:sz w:val="28"/>
      <w:szCs w:val="20"/>
    </w:rPr>
  </w:style>
  <w:style w:type="character" w:customStyle="1" w:styleId="100">
    <w:name w:val="样式 首行缩进:  2 字符 Char1"/>
    <w:link w:val="101"/>
    <w:qFormat/>
    <w:uiPriority w:val="0"/>
    <w:rPr>
      <w:rFonts w:ascii="Times New Roman" w:hAnsi="Times New Roman"/>
      <w:color w:val="7030A0"/>
      <w:kern w:val="2"/>
      <w:sz w:val="24"/>
    </w:rPr>
  </w:style>
  <w:style w:type="paragraph" w:customStyle="1" w:styleId="101">
    <w:name w:val="样式 首行缩进:  2 字符"/>
    <w:basedOn w:val="1"/>
    <w:link w:val="100"/>
    <w:qFormat/>
    <w:uiPriority w:val="0"/>
    <w:pPr>
      <w:spacing w:line="480" w:lineRule="exact"/>
      <w:ind w:firstLine="480" w:firstLineChars="200"/>
      <w:jc w:val="left"/>
    </w:pPr>
    <w:rPr>
      <w:color w:val="7030A0"/>
      <w:sz w:val="24"/>
      <w:szCs w:val="20"/>
    </w:rPr>
  </w:style>
  <w:style w:type="character" w:customStyle="1" w:styleId="102">
    <w:name w:val="日期 Char1"/>
    <w:basedOn w:val="75"/>
    <w:semiHidden/>
    <w:qFormat/>
    <w:uiPriority w:val="99"/>
    <w:rPr>
      <w:rFonts w:ascii="Times New Roman" w:hAnsi="Times New Roman"/>
      <w:kern w:val="2"/>
      <w:sz w:val="21"/>
      <w:szCs w:val="24"/>
    </w:rPr>
  </w:style>
  <w:style w:type="character" w:customStyle="1" w:styleId="103">
    <w:name w:val="正文文本 3 字符"/>
    <w:basedOn w:val="75"/>
    <w:link w:val="27"/>
    <w:qFormat/>
    <w:uiPriority w:val="0"/>
    <w:rPr>
      <w:rFonts w:ascii="Times New Roman" w:hAnsi="Times New Roman"/>
      <w:kern w:val="2"/>
      <w:sz w:val="16"/>
      <w:szCs w:val="16"/>
    </w:rPr>
  </w:style>
  <w:style w:type="character" w:customStyle="1" w:styleId="104">
    <w:name w:val="正文－wjnew Char Char"/>
    <w:link w:val="105"/>
    <w:qFormat/>
    <w:uiPriority w:val="0"/>
    <w:rPr>
      <w:rFonts w:ascii="宋体" w:cs="宋体"/>
      <w:kern w:val="2"/>
      <w:sz w:val="21"/>
      <w:szCs w:val="21"/>
    </w:rPr>
  </w:style>
  <w:style w:type="paragraph" w:customStyle="1" w:styleId="105">
    <w:name w:val="正文－wjnew"/>
    <w:basedOn w:val="1"/>
    <w:link w:val="104"/>
    <w:qFormat/>
    <w:uiPriority w:val="0"/>
    <w:pPr>
      <w:adjustRightInd w:val="0"/>
      <w:snapToGrid w:val="0"/>
      <w:spacing w:line="360" w:lineRule="auto"/>
      <w:ind w:firstLine="420"/>
    </w:pPr>
    <w:rPr>
      <w:rFonts w:ascii="宋体"/>
      <w:szCs w:val="21"/>
    </w:rPr>
  </w:style>
  <w:style w:type="character" w:customStyle="1" w:styleId="106">
    <w:name w:val="正文缩进 字符"/>
    <w:link w:val="18"/>
    <w:qFormat/>
    <w:uiPriority w:val="99"/>
    <w:rPr>
      <w:rFonts w:ascii="宋体" w:hAnsi="Times New Roman"/>
      <w:sz w:val="24"/>
    </w:rPr>
  </w:style>
  <w:style w:type="character" w:customStyle="1" w:styleId="107">
    <w:name w:val="标题 4 Char1"/>
    <w:qFormat/>
    <w:uiPriority w:val="0"/>
    <w:rPr>
      <w:rFonts w:ascii="宋体" w:hAnsi="宋体"/>
      <w:b/>
      <w:bCs/>
      <w:kern w:val="2"/>
      <w:sz w:val="21"/>
    </w:rPr>
  </w:style>
  <w:style w:type="character" w:customStyle="1" w:styleId="108">
    <w:name w:val="(1) Char Char"/>
    <w:link w:val="109"/>
    <w:qFormat/>
    <w:uiPriority w:val="0"/>
    <w:rPr>
      <w:rFonts w:ascii="宋体" w:hAnsi="宋体"/>
      <w:kern w:val="2"/>
      <w:sz w:val="24"/>
      <w:szCs w:val="24"/>
    </w:rPr>
  </w:style>
  <w:style w:type="paragraph" w:customStyle="1" w:styleId="109">
    <w:name w:val="(1)"/>
    <w:basedOn w:val="1"/>
    <w:next w:val="1"/>
    <w:link w:val="108"/>
    <w:qFormat/>
    <w:uiPriority w:val="0"/>
    <w:pPr>
      <w:tabs>
        <w:tab w:val="left" w:pos="813"/>
      </w:tabs>
      <w:spacing w:line="360" w:lineRule="auto"/>
      <w:ind w:left="813" w:hanging="567"/>
    </w:pPr>
    <w:rPr>
      <w:rFonts w:ascii="宋体" w:hAnsi="宋体"/>
      <w:sz w:val="24"/>
    </w:rPr>
  </w:style>
  <w:style w:type="character" w:customStyle="1" w:styleId="110">
    <w:name w:val="标题 4 字符"/>
    <w:basedOn w:val="75"/>
    <w:link w:val="6"/>
    <w:qFormat/>
    <w:uiPriority w:val="0"/>
    <w:rPr>
      <w:rFonts w:ascii="Cambria" w:hAnsi="Cambria" w:eastAsia="宋体" w:cs="Times New Roman"/>
      <w:b/>
      <w:bCs/>
      <w:kern w:val="2"/>
      <w:sz w:val="28"/>
      <w:szCs w:val="28"/>
    </w:rPr>
  </w:style>
  <w:style w:type="character" w:customStyle="1" w:styleId="111">
    <w:name w:val="样式 标题 2标题 1.1head:2#2 headlinehheadlineS&amp;R2ERMH2Head 2 +... Char Char"/>
    <w:qFormat/>
    <w:uiPriority w:val="0"/>
    <w:rPr>
      <w:rFonts w:ascii="Arial" w:hAnsi="Arial" w:eastAsia="宋体"/>
      <w:b/>
      <w:bCs/>
      <w:sz w:val="24"/>
      <w:lang w:val="en-US" w:eastAsia="zh-CN" w:bidi="ar-SA"/>
    </w:rPr>
  </w:style>
  <w:style w:type="character" w:customStyle="1" w:styleId="112">
    <w:name w:val="樣式 標題 3 + (中文) MS Gothic 10.5 點 Char Char Char Char Char Char Char Char"/>
    <w:qFormat/>
    <w:uiPriority w:val="0"/>
    <w:rPr>
      <w:rFonts w:hAnsi="PMingLiU" w:eastAsia="MS Gothic"/>
      <w:snapToGrid w:val="0"/>
      <w:kern w:val="2"/>
      <w:sz w:val="24"/>
      <w:lang w:val="en-AU" w:eastAsia="zh-TW"/>
    </w:rPr>
  </w:style>
  <w:style w:type="character" w:customStyle="1" w:styleId="113">
    <w:name w:val="正文文本缩进 3 字符"/>
    <w:basedOn w:val="75"/>
    <w:link w:val="58"/>
    <w:qFormat/>
    <w:uiPriority w:val="0"/>
    <w:rPr>
      <w:rFonts w:ascii="Times New Roman" w:hAnsi="Times New Roman"/>
      <w:kern w:val="2"/>
      <w:sz w:val="21"/>
    </w:rPr>
  </w:style>
  <w:style w:type="character" w:customStyle="1" w:styleId="114">
    <w:name w:val="正文 BJ15 Char Char"/>
    <w:link w:val="115"/>
    <w:qFormat/>
    <w:uiPriority w:val="0"/>
    <w:rPr>
      <w:rFonts w:ascii="Times New Roman" w:hAnsi="Times New Roman"/>
      <w:kern w:val="2"/>
      <w:sz w:val="24"/>
      <w:szCs w:val="24"/>
    </w:rPr>
  </w:style>
  <w:style w:type="paragraph" w:customStyle="1" w:styleId="115">
    <w:name w:val="正文 BJ15"/>
    <w:basedOn w:val="1"/>
    <w:link w:val="114"/>
    <w:qFormat/>
    <w:uiPriority w:val="0"/>
    <w:pPr>
      <w:adjustRightInd w:val="0"/>
      <w:snapToGrid w:val="0"/>
      <w:spacing w:line="360" w:lineRule="auto"/>
      <w:ind w:firstLine="200" w:firstLineChars="200"/>
      <w:jc w:val="left"/>
    </w:pPr>
    <w:rPr>
      <w:sz w:val="24"/>
    </w:rPr>
  </w:style>
  <w:style w:type="character" w:customStyle="1" w:styleId="116">
    <w:name w:val="纯文本 Char Char"/>
    <w:qFormat/>
    <w:uiPriority w:val="0"/>
    <w:rPr>
      <w:rFonts w:ascii="宋体" w:hAnsi="Courier New" w:eastAsia="宋体" w:cs="Century"/>
      <w:kern w:val="2"/>
      <w:sz w:val="21"/>
      <w:szCs w:val="21"/>
      <w:lang w:val="en-US" w:eastAsia="zh-CN" w:bidi="ar-SA"/>
    </w:rPr>
  </w:style>
  <w:style w:type="character" w:customStyle="1" w:styleId="117">
    <w:name w:val="宏文本 字符"/>
    <w:basedOn w:val="75"/>
    <w:link w:val="2"/>
    <w:semiHidden/>
    <w:qFormat/>
    <w:uiPriority w:val="0"/>
    <w:rPr>
      <w:rFonts w:ascii="Courier New" w:hAnsi="Courier New" w:cs="Courier New"/>
      <w:kern w:val="2"/>
      <w:sz w:val="24"/>
      <w:szCs w:val="24"/>
      <w:lang w:val="en-US" w:eastAsia="zh-CN" w:bidi="ar-SA"/>
    </w:rPr>
  </w:style>
  <w:style w:type="character" w:customStyle="1" w:styleId="118">
    <w:name w:val="尾注文本 字符"/>
    <w:basedOn w:val="75"/>
    <w:link w:val="46"/>
    <w:qFormat/>
    <w:uiPriority w:val="0"/>
    <w:rPr>
      <w:rFonts w:ascii="Times New Roman" w:hAnsi="Times New Roman"/>
      <w:sz w:val="21"/>
      <w:szCs w:val="24"/>
    </w:rPr>
  </w:style>
  <w:style w:type="character" w:customStyle="1" w:styleId="119">
    <w:name w:val="样式 楷体_GB2312 二号 加粗 Char"/>
    <w:qFormat/>
    <w:uiPriority w:val="0"/>
    <w:rPr>
      <w:rFonts w:ascii="楷体_GB2312" w:hAnsi="Arial" w:eastAsia="楷体_GB2312" w:cs="Arial"/>
      <w:b/>
      <w:kern w:val="2"/>
      <w:sz w:val="44"/>
      <w:szCs w:val="24"/>
      <w:lang w:val="en-US" w:eastAsia="zh-CN" w:bidi="ar-SA"/>
    </w:rPr>
  </w:style>
  <w:style w:type="character" w:customStyle="1" w:styleId="120">
    <w:name w:val="标题 2 字符"/>
    <w:basedOn w:val="75"/>
    <w:link w:val="4"/>
    <w:qFormat/>
    <w:uiPriority w:val="0"/>
    <w:rPr>
      <w:rFonts w:ascii="Arial" w:hAnsi="Arial" w:eastAsia="黑体"/>
      <w:b/>
      <w:bCs/>
      <w:kern w:val="2"/>
      <w:sz w:val="32"/>
      <w:szCs w:val="32"/>
    </w:rPr>
  </w:style>
  <w:style w:type="character" w:customStyle="1" w:styleId="121">
    <w:name w:val="正文文本 2 字符"/>
    <w:basedOn w:val="75"/>
    <w:link w:val="64"/>
    <w:qFormat/>
    <w:uiPriority w:val="0"/>
    <w:rPr>
      <w:rFonts w:ascii="Times New Roman" w:hAnsi="Times New Roman"/>
      <w:kern w:val="2"/>
      <w:sz w:val="21"/>
    </w:rPr>
  </w:style>
  <w:style w:type="character" w:customStyle="1" w:styleId="122">
    <w:name w:val="1.1 Char"/>
    <w:qFormat/>
    <w:uiPriority w:val="0"/>
    <w:rPr>
      <w:rFonts w:ascii="宋体" w:eastAsia="宋体"/>
      <w:b/>
      <w:bCs/>
      <w:kern w:val="2"/>
      <w:sz w:val="24"/>
      <w:szCs w:val="32"/>
      <w:lang w:val="en-US" w:eastAsia="zh-CN" w:bidi="ar-SA"/>
    </w:rPr>
  </w:style>
  <w:style w:type="character" w:customStyle="1" w:styleId="123">
    <w:name w:val="正文文本 Char1"/>
    <w:qFormat/>
    <w:uiPriority w:val="0"/>
    <w:rPr>
      <w:rFonts w:ascii="Times New Roman" w:hAnsi="Times New Roman"/>
      <w:kern w:val="2"/>
      <w:sz w:val="24"/>
    </w:rPr>
  </w:style>
  <w:style w:type="character" w:customStyle="1" w:styleId="124">
    <w:name w:val="普通文字 Char Char"/>
    <w:qFormat/>
    <w:uiPriority w:val="0"/>
    <w:rPr>
      <w:rFonts w:ascii="宋体" w:hAnsi="Courier New" w:eastAsia="宋体"/>
      <w:kern w:val="2"/>
      <w:sz w:val="21"/>
      <w:lang w:val="en-US" w:eastAsia="zh-CN" w:bidi="ar-SA"/>
    </w:rPr>
  </w:style>
  <w:style w:type="character" w:customStyle="1" w:styleId="125">
    <w:name w:val="信息标题 字符"/>
    <w:basedOn w:val="75"/>
    <w:link w:val="65"/>
    <w:qFormat/>
    <w:uiPriority w:val="0"/>
    <w:rPr>
      <w:rFonts w:ascii="Arial" w:hAnsi="Arial" w:cs="Arial"/>
      <w:color w:val="7030A0"/>
      <w:kern w:val="2"/>
      <w:sz w:val="24"/>
      <w:szCs w:val="24"/>
      <w:shd w:val="pct20" w:color="auto" w:fill="auto"/>
    </w:rPr>
  </w:style>
  <w:style w:type="character" w:customStyle="1" w:styleId="126">
    <w:name w:val="样式 二号 红色 边框:: (单实线 自动设置  0.5 磅 行宽)"/>
    <w:qFormat/>
    <w:uiPriority w:val="0"/>
    <w:rPr>
      <w:rFonts w:eastAsia="宋体"/>
      <w:color w:val="0000FF"/>
      <w:sz w:val="44"/>
      <w:bdr w:val="single" w:color="0000FF" w:sz="4" w:space="0"/>
    </w:rPr>
  </w:style>
  <w:style w:type="character" w:customStyle="1" w:styleId="127">
    <w:name w:val="纯文本 字符"/>
    <w:basedOn w:val="75"/>
    <w:link w:val="39"/>
    <w:qFormat/>
    <w:uiPriority w:val="0"/>
    <w:rPr>
      <w:rFonts w:ascii="宋体" w:hAnsi="Courier New" w:cs="Courier New"/>
      <w:kern w:val="2"/>
      <w:sz w:val="21"/>
      <w:szCs w:val="21"/>
    </w:rPr>
  </w:style>
  <w:style w:type="character" w:customStyle="1" w:styleId="128">
    <w:name w:val="displayarti"/>
    <w:basedOn w:val="75"/>
    <w:qFormat/>
    <w:uiPriority w:val="0"/>
    <w:rPr>
      <w:color w:val="FFFFFF"/>
      <w:shd w:val="clear" w:color="auto" w:fill="A00000"/>
    </w:rPr>
  </w:style>
  <w:style w:type="character" w:customStyle="1" w:styleId="129">
    <w:name w:val="正文－zlb Char Char"/>
    <w:link w:val="130"/>
    <w:qFormat/>
    <w:uiPriority w:val="0"/>
    <w:rPr>
      <w:rFonts w:ascii="宋体" w:cs="宋体"/>
      <w:kern w:val="2"/>
      <w:sz w:val="24"/>
      <w:szCs w:val="24"/>
    </w:rPr>
  </w:style>
  <w:style w:type="paragraph" w:customStyle="1" w:styleId="130">
    <w:name w:val="正文－zlb"/>
    <w:basedOn w:val="1"/>
    <w:link w:val="129"/>
    <w:qFormat/>
    <w:uiPriority w:val="0"/>
    <w:pPr>
      <w:adjustRightInd w:val="0"/>
      <w:snapToGrid w:val="0"/>
      <w:spacing w:line="360" w:lineRule="auto"/>
      <w:ind w:firstLine="420"/>
    </w:pPr>
    <w:rPr>
      <w:rFonts w:ascii="宋体"/>
      <w:sz w:val="24"/>
    </w:rPr>
  </w:style>
  <w:style w:type="character" w:customStyle="1" w:styleId="131">
    <w:name w:val="Char Char11"/>
    <w:qFormat/>
    <w:uiPriority w:val="0"/>
    <w:rPr>
      <w:rFonts w:eastAsia="宋体"/>
      <w:b/>
      <w:bCs/>
      <w:kern w:val="2"/>
      <w:sz w:val="24"/>
      <w:szCs w:val="24"/>
      <w:lang w:val="en-US" w:eastAsia="zh-CN" w:bidi="ar-SA"/>
    </w:rPr>
  </w:style>
  <w:style w:type="character" w:customStyle="1" w:styleId="132">
    <w:name w:val="正文（首行缩进两字） Char"/>
    <w:qFormat/>
    <w:uiPriority w:val="0"/>
    <w:rPr>
      <w:rFonts w:eastAsia="宋体"/>
      <w:sz w:val="32"/>
      <w:lang w:val="en-US" w:eastAsia="zh-CN" w:bidi="ar-SA"/>
    </w:rPr>
  </w:style>
  <w:style w:type="character" w:customStyle="1" w:styleId="133">
    <w:name w:val="正文文本缩进 2 字符"/>
    <w:basedOn w:val="75"/>
    <w:link w:val="45"/>
    <w:qFormat/>
    <w:uiPriority w:val="0"/>
    <w:rPr>
      <w:rFonts w:ascii="Times New Roman" w:hAnsi="Times New Roman"/>
      <w:kern w:val="2"/>
      <w:sz w:val="21"/>
    </w:rPr>
  </w:style>
  <w:style w:type="character" w:customStyle="1" w:styleId="134">
    <w:name w:val="正文文本缩进 Char"/>
    <w:basedOn w:val="75"/>
    <w:qFormat/>
    <w:uiPriority w:val="0"/>
    <w:rPr>
      <w:rFonts w:ascii="Times New Roman" w:hAnsi="Times New Roman"/>
      <w:kern w:val="2"/>
      <w:sz w:val="21"/>
      <w:szCs w:val="24"/>
    </w:rPr>
  </w:style>
  <w:style w:type="character" w:customStyle="1" w:styleId="135">
    <w:name w:val="标题 字符"/>
    <w:basedOn w:val="75"/>
    <w:link w:val="69"/>
    <w:qFormat/>
    <w:uiPriority w:val="0"/>
    <w:rPr>
      <w:rFonts w:ascii="Arial" w:hAnsi="Arial" w:eastAsia="楷体_GB2312"/>
      <w:b/>
      <w:sz w:val="32"/>
    </w:rPr>
  </w:style>
  <w:style w:type="character" w:customStyle="1" w:styleId="136">
    <w:name w:val="b Char"/>
    <w:qFormat/>
    <w:uiPriority w:val="0"/>
    <w:rPr>
      <w:rFonts w:eastAsia="宋体"/>
      <w:b/>
      <w:bCs/>
      <w:kern w:val="2"/>
      <w:sz w:val="28"/>
      <w:szCs w:val="28"/>
      <w:lang w:val="en-US" w:eastAsia="zh-CN" w:bidi="ar-SA"/>
    </w:rPr>
  </w:style>
  <w:style w:type="character" w:customStyle="1" w:styleId="137">
    <w:name w:val="日期 字符"/>
    <w:link w:val="44"/>
    <w:qFormat/>
    <w:uiPriority w:val="0"/>
    <w:rPr>
      <w:rFonts w:eastAsia="楷体_GB2312"/>
      <w:kern w:val="2"/>
      <w:sz w:val="30"/>
    </w:rPr>
  </w:style>
  <w:style w:type="character" w:customStyle="1" w:styleId="138">
    <w:name w:val="题注 字符"/>
    <w:link w:val="19"/>
    <w:qFormat/>
    <w:uiPriority w:val="0"/>
    <w:rPr>
      <w:rFonts w:ascii="Times New Roman" w:hAnsi="Times New Roman"/>
      <w:b/>
      <w:bCs/>
      <w:color w:val="000080"/>
      <w:kern w:val="2"/>
      <w:sz w:val="28"/>
      <w:szCs w:val="24"/>
    </w:rPr>
  </w:style>
  <w:style w:type="character" w:customStyle="1" w:styleId="139">
    <w:name w:val="正文段落格式 Char Char"/>
    <w:qFormat/>
    <w:uiPriority w:val="0"/>
    <w:rPr>
      <w:rFonts w:cs="宋体"/>
      <w:color w:val="7030A0"/>
      <w:kern w:val="2"/>
      <w:sz w:val="24"/>
    </w:rPr>
  </w:style>
  <w:style w:type="character" w:customStyle="1" w:styleId="140">
    <w:name w:val="标题 5 字符"/>
    <w:basedOn w:val="75"/>
    <w:link w:val="7"/>
    <w:semiHidden/>
    <w:qFormat/>
    <w:uiPriority w:val="9"/>
    <w:rPr>
      <w:rFonts w:ascii="Times New Roman" w:hAnsi="Times New Roman"/>
      <w:b/>
      <w:bCs/>
      <w:kern w:val="2"/>
      <w:sz w:val="28"/>
      <w:szCs w:val="28"/>
    </w:rPr>
  </w:style>
  <w:style w:type="character" w:customStyle="1" w:styleId="141">
    <w:name w:val="图表标题 BJ8 Char Char"/>
    <w:link w:val="142"/>
    <w:qFormat/>
    <w:uiPriority w:val="0"/>
    <w:rPr>
      <w:rFonts w:ascii="Times New Roman" w:hAnsi="Times New Roman" w:eastAsia="黑体"/>
      <w:kern w:val="2"/>
      <w:sz w:val="24"/>
    </w:rPr>
  </w:style>
  <w:style w:type="paragraph" w:customStyle="1" w:styleId="142">
    <w:name w:val="图表标题 BJ8"/>
    <w:basedOn w:val="1"/>
    <w:link w:val="141"/>
    <w:qFormat/>
    <w:uiPriority w:val="0"/>
    <w:pPr>
      <w:adjustRightInd w:val="0"/>
      <w:snapToGrid w:val="0"/>
      <w:ind w:firstLine="200" w:firstLineChars="200"/>
      <w:jc w:val="center"/>
    </w:pPr>
    <w:rPr>
      <w:rFonts w:eastAsia="黑体"/>
      <w:sz w:val="24"/>
      <w:szCs w:val="20"/>
    </w:rPr>
  </w:style>
  <w:style w:type="character" w:customStyle="1" w:styleId="143">
    <w:name w:val="应答文本 Char Char"/>
    <w:qFormat/>
    <w:uiPriority w:val="0"/>
    <w:rPr>
      <w:rFonts w:ascii="Arial" w:hAnsi="Arial" w:eastAsia="楷体_GB2312" w:cs="宋体"/>
      <w:spacing w:val="10"/>
      <w:sz w:val="21"/>
      <w:lang w:val="en-US" w:eastAsia="zh-CN" w:bidi="ar-SA"/>
    </w:rPr>
  </w:style>
  <w:style w:type="character" w:customStyle="1" w:styleId="144">
    <w:name w:val="列表框2 Char"/>
    <w:link w:val="145"/>
    <w:qFormat/>
    <w:uiPriority w:val="0"/>
    <w:rPr>
      <w:snapToGrid w:val="0"/>
      <w:color w:val="7030A0"/>
      <w:spacing w:val="10"/>
      <w:sz w:val="24"/>
      <w:szCs w:val="24"/>
    </w:rPr>
  </w:style>
  <w:style w:type="paragraph" w:customStyle="1" w:styleId="145">
    <w:name w:val="列表框2"/>
    <w:basedOn w:val="1"/>
    <w:link w:val="144"/>
    <w:qFormat/>
    <w:uiPriority w:val="0"/>
    <w:pPr>
      <w:tabs>
        <w:tab w:val="left" w:pos="360"/>
        <w:tab w:val="left" w:pos="1628"/>
        <w:tab w:val="left" w:pos="2086"/>
      </w:tabs>
      <w:adjustRightInd w:val="0"/>
      <w:snapToGrid w:val="0"/>
      <w:ind w:left="1748" w:right="210" w:rightChars="100" w:hanging="434" w:firstLineChars="200"/>
      <w:jc w:val="left"/>
    </w:pPr>
    <w:rPr>
      <w:snapToGrid w:val="0"/>
      <w:color w:val="7030A0"/>
      <w:spacing w:val="10"/>
      <w:kern w:val="0"/>
      <w:sz w:val="24"/>
    </w:rPr>
  </w:style>
  <w:style w:type="character" w:customStyle="1" w:styleId="146">
    <w:name w:val="正文文本首行缩进 2 字符"/>
    <w:basedOn w:val="134"/>
    <w:link w:val="72"/>
    <w:qFormat/>
    <w:uiPriority w:val="0"/>
    <w:rPr>
      <w:rFonts w:ascii="宋体" w:hAnsi="宋体"/>
      <w:kern w:val="2"/>
      <w:sz w:val="21"/>
      <w:szCs w:val="24"/>
    </w:rPr>
  </w:style>
  <w:style w:type="character" w:customStyle="1" w:styleId="147">
    <w:name w:val="sub-dash Char"/>
    <w:qFormat/>
    <w:uiPriority w:val="0"/>
    <w:rPr>
      <w:rFonts w:ascii="Arial" w:hAnsi="Arial" w:eastAsia="黑体"/>
      <w:b/>
      <w:bCs/>
      <w:kern w:val="2"/>
      <w:sz w:val="24"/>
      <w:szCs w:val="24"/>
      <w:lang w:val="en-US" w:eastAsia="zh-CN" w:bidi="ar-SA"/>
    </w:rPr>
  </w:style>
  <w:style w:type="character" w:customStyle="1" w:styleId="148">
    <w:name w:val="五级标题格式 Char"/>
    <w:link w:val="149"/>
    <w:qFormat/>
    <w:uiPriority w:val="0"/>
    <w:rPr>
      <w:rFonts w:ascii="Times New Roman" w:hAnsi="Times New Roman"/>
      <w:b/>
      <w:bCs/>
      <w:kern w:val="2"/>
      <w:sz w:val="24"/>
      <w:szCs w:val="28"/>
    </w:rPr>
  </w:style>
  <w:style w:type="paragraph" w:customStyle="1" w:styleId="149">
    <w:name w:val="五级标题格式"/>
    <w:basedOn w:val="7"/>
    <w:link w:val="148"/>
    <w:qFormat/>
    <w:uiPriority w:val="0"/>
    <w:pPr>
      <w:keepNext w:val="0"/>
      <w:keepLines w:val="0"/>
      <w:tabs>
        <w:tab w:val="clear" w:pos="1008"/>
      </w:tabs>
      <w:spacing w:before="0" w:afterLines="50" w:line="240" w:lineRule="auto"/>
      <w:ind w:left="0" w:firstLine="0"/>
      <w:jc w:val="left"/>
    </w:pPr>
    <w:rPr>
      <w:bCs/>
      <w:sz w:val="24"/>
      <w:szCs w:val="28"/>
    </w:rPr>
  </w:style>
  <w:style w:type="character" w:customStyle="1" w:styleId="150">
    <w:name w:val="页眉 字符"/>
    <w:basedOn w:val="75"/>
    <w:link w:val="49"/>
    <w:qFormat/>
    <w:uiPriority w:val="0"/>
    <w:rPr>
      <w:rFonts w:ascii="Times New Roman" w:hAnsi="Times New Roman"/>
      <w:kern w:val="2"/>
      <w:sz w:val="18"/>
      <w:szCs w:val="18"/>
    </w:rPr>
  </w:style>
  <w:style w:type="character" w:customStyle="1" w:styleId="151">
    <w:name w:val="Char Char111"/>
    <w:qFormat/>
    <w:uiPriority w:val="0"/>
    <w:rPr>
      <w:rFonts w:eastAsia="宋体"/>
      <w:b/>
      <w:bCs/>
      <w:kern w:val="2"/>
      <w:sz w:val="24"/>
      <w:szCs w:val="24"/>
      <w:lang w:val="en-US" w:eastAsia="zh-CN" w:bidi="ar-SA"/>
    </w:rPr>
  </w:style>
  <w:style w:type="character" w:customStyle="1" w:styleId="152">
    <w:name w:val="表格文字图表文字 Char Char"/>
    <w:qFormat/>
    <w:uiPriority w:val="0"/>
    <w:rPr>
      <w:color w:val="7030A0"/>
      <w:kern w:val="2"/>
      <w:sz w:val="21"/>
    </w:rPr>
  </w:style>
  <w:style w:type="character" w:customStyle="1" w:styleId="153">
    <w:name w:val="标题 8 字符"/>
    <w:basedOn w:val="75"/>
    <w:link w:val="10"/>
    <w:qFormat/>
    <w:uiPriority w:val="0"/>
    <w:rPr>
      <w:rFonts w:ascii="Arial" w:hAnsi="Arial" w:eastAsia="黑体"/>
      <w:kern w:val="2"/>
      <w:sz w:val="24"/>
    </w:rPr>
  </w:style>
  <w:style w:type="character" w:customStyle="1" w:styleId="154">
    <w:name w:val="占位符文本1"/>
    <w:basedOn w:val="75"/>
    <w:semiHidden/>
    <w:qFormat/>
    <w:uiPriority w:val="99"/>
    <w:rPr>
      <w:color w:val="808080"/>
    </w:rPr>
  </w:style>
  <w:style w:type="character" w:customStyle="1" w:styleId="155">
    <w:name w:val="正文文本首行缩进 字符"/>
    <w:basedOn w:val="156"/>
    <w:link w:val="71"/>
    <w:qFormat/>
    <w:uiPriority w:val="0"/>
    <w:rPr>
      <w:rFonts w:ascii="Times New Roman" w:hAnsi="Times New Roman"/>
      <w:color w:val="7030A0"/>
      <w:kern w:val="2"/>
      <w:sz w:val="21"/>
      <w:szCs w:val="24"/>
    </w:rPr>
  </w:style>
  <w:style w:type="character" w:customStyle="1" w:styleId="156">
    <w:name w:val="正文文本 字符"/>
    <w:basedOn w:val="75"/>
    <w:link w:val="29"/>
    <w:qFormat/>
    <w:uiPriority w:val="0"/>
    <w:rPr>
      <w:rFonts w:ascii="Times New Roman" w:hAnsi="Times New Roman"/>
      <w:kern w:val="2"/>
      <w:sz w:val="21"/>
      <w:szCs w:val="24"/>
    </w:rPr>
  </w:style>
  <w:style w:type="character" w:customStyle="1" w:styleId="157">
    <w:name w:val="正文段落格式 Char"/>
    <w:link w:val="158"/>
    <w:qFormat/>
    <w:uiPriority w:val="0"/>
    <w:rPr>
      <w:rFonts w:ascii="Times New Roman" w:hAnsi="Times New Roman"/>
      <w:color w:val="7030A0"/>
      <w:kern w:val="2"/>
      <w:sz w:val="24"/>
    </w:rPr>
  </w:style>
  <w:style w:type="paragraph" w:customStyle="1" w:styleId="158">
    <w:name w:val="正文段落格式"/>
    <w:basedOn w:val="101"/>
    <w:link w:val="157"/>
    <w:qFormat/>
    <w:uiPriority w:val="0"/>
    <w:pPr>
      <w:spacing w:afterLines="50" w:line="336" w:lineRule="auto"/>
    </w:pPr>
  </w:style>
  <w:style w:type="character" w:customStyle="1" w:styleId="159">
    <w:name w:val="表格文字 BJ8 Char Char"/>
    <w:link w:val="160"/>
    <w:qFormat/>
    <w:uiPriority w:val="0"/>
    <w:rPr>
      <w:rFonts w:ascii="Times New Roman" w:hAnsi="Times New Roman"/>
      <w:kern w:val="2"/>
      <w:sz w:val="21"/>
      <w:szCs w:val="21"/>
    </w:rPr>
  </w:style>
  <w:style w:type="paragraph" w:customStyle="1" w:styleId="160">
    <w:name w:val="表格文字 BJ8"/>
    <w:basedOn w:val="1"/>
    <w:link w:val="159"/>
    <w:qFormat/>
    <w:uiPriority w:val="0"/>
    <w:pPr>
      <w:adjustRightInd w:val="0"/>
      <w:snapToGrid w:val="0"/>
      <w:spacing w:line="400" w:lineRule="exact"/>
      <w:ind w:firstLine="200" w:firstLineChars="200"/>
      <w:jc w:val="center"/>
    </w:pPr>
    <w:rPr>
      <w:szCs w:val="21"/>
    </w:rPr>
  </w:style>
  <w:style w:type="character" w:customStyle="1" w:styleId="161">
    <w:name w:val="gpa"/>
    <w:basedOn w:val="75"/>
    <w:qFormat/>
    <w:uiPriority w:val="0"/>
    <w:rPr>
      <w:rFonts w:ascii="Arial" w:hAnsi="Arial" w:cs="Arial"/>
      <w:sz w:val="12"/>
      <w:szCs w:val="12"/>
    </w:rPr>
  </w:style>
  <w:style w:type="character" w:customStyle="1" w:styleId="162">
    <w:name w:val="样式 标题 31.1条标题1.1.1二级节名h3Heading 3 - oldheading 3H3H31H3... Char"/>
    <w:link w:val="163"/>
    <w:qFormat/>
    <w:uiPriority w:val="0"/>
    <w:rPr>
      <w:rFonts w:ascii="宋体" w:hAnsi="宋体" w:eastAsia="黑体"/>
      <w:kern w:val="2"/>
      <w:sz w:val="24"/>
      <w:szCs w:val="21"/>
    </w:rPr>
  </w:style>
  <w:style w:type="paragraph" w:customStyle="1" w:styleId="163">
    <w:name w:val="样式 标题 31.1条标题1.1.1二级节名h3Heading 3 - oldheading 3H3H31H3..."/>
    <w:basedOn w:val="5"/>
    <w:link w:val="162"/>
    <w:qFormat/>
    <w:uiPriority w:val="0"/>
    <w:pPr>
      <w:keepNext w:val="0"/>
      <w:keepLines w:val="0"/>
      <w:spacing w:before="240" w:after="120" w:line="480" w:lineRule="exact"/>
      <w:jc w:val="left"/>
    </w:pPr>
    <w:rPr>
      <w:rFonts w:ascii="宋体" w:hAnsi="宋体" w:eastAsia="黑体"/>
      <w:b w:val="0"/>
      <w:bCs w:val="0"/>
      <w:sz w:val="24"/>
      <w:szCs w:val="21"/>
    </w:rPr>
  </w:style>
  <w:style w:type="character" w:customStyle="1" w:styleId="164">
    <w:name w:val="标题2 Char Char"/>
    <w:link w:val="165"/>
    <w:qFormat/>
    <w:uiPriority w:val="0"/>
    <w:rPr>
      <w:rFonts w:ascii="宋体" w:hAnsi="Times New Roman"/>
      <w:b/>
      <w:color w:val="92D050"/>
      <w:kern w:val="44"/>
      <w:sz w:val="30"/>
    </w:rPr>
  </w:style>
  <w:style w:type="paragraph" w:customStyle="1" w:styleId="165">
    <w:name w:val="标题2"/>
    <w:basedOn w:val="3"/>
    <w:link w:val="164"/>
    <w:qFormat/>
    <w:uiPriority w:val="0"/>
    <w:pPr>
      <w:spacing w:before="0" w:after="0" w:line="312" w:lineRule="auto"/>
      <w:ind w:left="0" w:firstLine="0"/>
      <w:jc w:val="center"/>
    </w:pPr>
    <w:rPr>
      <w:rFonts w:ascii="宋体"/>
      <w:bCs w:val="0"/>
      <w:color w:val="92D050"/>
      <w:sz w:val="30"/>
      <w:szCs w:val="20"/>
    </w:rPr>
  </w:style>
  <w:style w:type="character" w:customStyle="1" w:styleId="166">
    <w:name w:val="Char Char2"/>
    <w:qFormat/>
    <w:uiPriority w:val="0"/>
    <w:rPr>
      <w:rFonts w:eastAsia="仿宋_GB2312"/>
      <w:kern w:val="2"/>
      <w:sz w:val="28"/>
      <w:lang w:val="en-US" w:eastAsia="zh-CN" w:bidi="ar-SA"/>
    </w:rPr>
  </w:style>
  <w:style w:type="character" w:customStyle="1" w:styleId="167">
    <w:name w:val="标题 7 字符"/>
    <w:basedOn w:val="75"/>
    <w:link w:val="9"/>
    <w:qFormat/>
    <w:uiPriority w:val="0"/>
    <w:rPr>
      <w:rFonts w:ascii="Times New Roman" w:hAnsi="Times New Roman"/>
      <w:b/>
      <w:kern w:val="2"/>
      <w:sz w:val="24"/>
    </w:rPr>
  </w:style>
  <w:style w:type="character" w:customStyle="1" w:styleId="168">
    <w:name w:val="2 headline Char Char"/>
    <w:qFormat/>
    <w:uiPriority w:val="0"/>
    <w:rPr>
      <w:rFonts w:eastAsia="黑体"/>
      <w:bCs/>
      <w:kern w:val="2"/>
      <w:sz w:val="28"/>
      <w:szCs w:val="28"/>
      <w:lang w:val="en-US" w:eastAsia="zh-CN" w:bidi="ar-SA"/>
    </w:rPr>
  </w:style>
  <w:style w:type="character" w:customStyle="1" w:styleId="169">
    <w:name w:val="正文 QD3 Char Char"/>
    <w:link w:val="170"/>
    <w:qFormat/>
    <w:uiPriority w:val="0"/>
    <w:rPr>
      <w:rFonts w:ascii="Times New Roman" w:hAnsi="Times New Roman"/>
      <w:kern w:val="2"/>
      <w:sz w:val="24"/>
      <w:szCs w:val="24"/>
    </w:rPr>
  </w:style>
  <w:style w:type="paragraph" w:customStyle="1" w:styleId="170">
    <w:name w:val="正文 QD3"/>
    <w:basedOn w:val="1"/>
    <w:link w:val="169"/>
    <w:qFormat/>
    <w:uiPriority w:val="0"/>
    <w:pPr>
      <w:adjustRightInd w:val="0"/>
      <w:snapToGrid w:val="0"/>
      <w:spacing w:line="360" w:lineRule="auto"/>
      <w:ind w:firstLine="200" w:firstLineChars="200"/>
      <w:jc w:val="left"/>
    </w:pPr>
    <w:rPr>
      <w:sz w:val="24"/>
    </w:rPr>
  </w:style>
  <w:style w:type="character" w:customStyle="1" w:styleId="171">
    <w:name w:val="正文 BJ8 Char Char"/>
    <w:link w:val="172"/>
    <w:qFormat/>
    <w:uiPriority w:val="0"/>
    <w:rPr>
      <w:rFonts w:ascii="Times New Roman" w:hAnsi="Times New Roman"/>
      <w:color w:val="7030A0"/>
      <w:kern w:val="2"/>
      <w:sz w:val="24"/>
      <w:szCs w:val="24"/>
    </w:rPr>
  </w:style>
  <w:style w:type="paragraph" w:customStyle="1" w:styleId="172">
    <w:name w:val="正文 BJ8"/>
    <w:basedOn w:val="1"/>
    <w:link w:val="171"/>
    <w:qFormat/>
    <w:uiPriority w:val="0"/>
    <w:pPr>
      <w:adjustRightInd w:val="0"/>
      <w:snapToGrid w:val="0"/>
      <w:spacing w:line="360" w:lineRule="auto"/>
      <w:ind w:firstLine="200" w:firstLineChars="200"/>
      <w:jc w:val="left"/>
    </w:pPr>
    <w:rPr>
      <w:color w:val="7030A0"/>
      <w:sz w:val="24"/>
    </w:rPr>
  </w:style>
  <w:style w:type="character" w:customStyle="1" w:styleId="173">
    <w:name w:val="书籍标题1"/>
    <w:qFormat/>
    <w:uiPriority w:val="33"/>
    <w:rPr>
      <w:b/>
      <w:bCs/>
      <w:smallCaps/>
      <w:spacing w:val="5"/>
    </w:rPr>
  </w:style>
  <w:style w:type="character" w:customStyle="1" w:styleId="174">
    <w:name w:val="Char Char8"/>
    <w:qFormat/>
    <w:uiPriority w:val="0"/>
    <w:rPr>
      <w:rFonts w:eastAsia="宋体"/>
      <w:kern w:val="2"/>
      <w:sz w:val="21"/>
      <w:lang w:val="en-US" w:eastAsia="zh-CN" w:bidi="ar-SA"/>
    </w:rPr>
  </w:style>
  <w:style w:type="character" w:customStyle="1" w:styleId="175">
    <w:name w:val="正文文本缩进 字符"/>
    <w:link w:val="30"/>
    <w:qFormat/>
    <w:uiPriority w:val="0"/>
    <w:rPr>
      <w:rFonts w:ascii="宋体" w:hAnsi="Times New Roman"/>
      <w:kern w:val="2"/>
      <w:sz w:val="21"/>
    </w:rPr>
  </w:style>
  <w:style w:type="character" w:customStyle="1" w:styleId="176">
    <w:name w:val="正文1 Char"/>
    <w:link w:val="177"/>
    <w:qFormat/>
    <w:uiPriority w:val="0"/>
    <w:rPr>
      <w:rFonts w:ascii="Times New Roman" w:hAnsi="Times New Roman"/>
      <w:kern w:val="2"/>
      <w:sz w:val="24"/>
    </w:rPr>
  </w:style>
  <w:style w:type="paragraph" w:customStyle="1" w:styleId="177">
    <w:name w:val="正文1"/>
    <w:basedOn w:val="1"/>
    <w:link w:val="176"/>
    <w:qFormat/>
    <w:uiPriority w:val="0"/>
    <w:pPr>
      <w:tabs>
        <w:tab w:val="left" w:pos="720"/>
        <w:tab w:val="right" w:pos="1191"/>
      </w:tabs>
      <w:spacing w:line="360" w:lineRule="auto"/>
      <w:ind w:left="720" w:hanging="360"/>
    </w:pPr>
    <w:rPr>
      <w:sz w:val="24"/>
      <w:szCs w:val="20"/>
    </w:rPr>
  </w:style>
  <w:style w:type="character" w:customStyle="1" w:styleId="178">
    <w:name w:val="HTML 预设格式 字符"/>
    <w:basedOn w:val="75"/>
    <w:link w:val="66"/>
    <w:qFormat/>
    <w:uiPriority w:val="99"/>
    <w:rPr>
      <w:rFonts w:ascii="Arial" w:hAnsi="Arial"/>
      <w:sz w:val="21"/>
      <w:szCs w:val="21"/>
    </w:rPr>
  </w:style>
  <w:style w:type="character" w:customStyle="1" w:styleId="179">
    <w:name w:val="批注框文本 字符"/>
    <w:basedOn w:val="75"/>
    <w:link w:val="47"/>
    <w:qFormat/>
    <w:uiPriority w:val="0"/>
    <w:rPr>
      <w:rFonts w:ascii="Times New Roman" w:hAnsi="Times New Roman" w:eastAsia="宋体" w:cs="Times New Roman"/>
      <w:sz w:val="18"/>
      <w:szCs w:val="18"/>
    </w:rPr>
  </w:style>
  <w:style w:type="character" w:customStyle="1" w:styleId="180">
    <w:name w:val="正文1 Char Char"/>
    <w:qFormat/>
    <w:uiPriority w:val="0"/>
    <w:rPr>
      <w:rFonts w:ascii="宋体" w:hAnsi="宋体"/>
      <w:kern w:val="10"/>
      <w:sz w:val="21"/>
      <w:szCs w:val="24"/>
    </w:rPr>
  </w:style>
  <w:style w:type="character" w:customStyle="1" w:styleId="181">
    <w:name w:val="页脚 字符"/>
    <w:basedOn w:val="75"/>
    <w:link w:val="48"/>
    <w:qFormat/>
    <w:uiPriority w:val="99"/>
    <w:rPr>
      <w:rFonts w:ascii="Times New Roman" w:hAnsi="Times New Roman"/>
      <w:kern w:val="2"/>
      <w:sz w:val="18"/>
      <w:szCs w:val="18"/>
    </w:rPr>
  </w:style>
  <w:style w:type="character" w:customStyle="1" w:styleId="182">
    <w:name w:val="列表框2 Char Char"/>
    <w:qFormat/>
    <w:uiPriority w:val="0"/>
    <w:rPr>
      <w:snapToGrid/>
      <w:color w:val="7030A0"/>
      <w:spacing w:val="10"/>
      <w:sz w:val="24"/>
      <w:szCs w:val="24"/>
    </w:rPr>
  </w:style>
  <w:style w:type="character" w:customStyle="1" w:styleId="183">
    <w:name w:val="标题3 Char Char"/>
    <w:qFormat/>
    <w:uiPriority w:val="0"/>
    <w:rPr>
      <w:rFonts w:ascii="宋体" w:hAnsi="宋体"/>
      <w:b/>
      <w:bCs/>
      <w:color w:val="92D050"/>
      <w:kern w:val="44"/>
      <w:sz w:val="24"/>
      <w:szCs w:val="21"/>
    </w:rPr>
  </w:style>
  <w:style w:type="character" w:customStyle="1" w:styleId="184">
    <w:name w:val="标题 3 字符"/>
    <w:basedOn w:val="75"/>
    <w:link w:val="5"/>
    <w:qFormat/>
    <w:uiPriority w:val="0"/>
    <w:rPr>
      <w:rFonts w:ascii="Times New Roman" w:hAnsi="Times New Roman"/>
      <w:b/>
      <w:bCs/>
      <w:kern w:val="2"/>
      <w:sz w:val="32"/>
      <w:szCs w:val="32"/>
    </w:rPr>
  </w:style>
  <w:style w:type="character" w:customStyle="1" w:styleId="185">
    <w:name w:val="标题 1 字符"/>
    <w:basedOn w:val="75"/>
    <w:link w:val="3"/>
    <w:qFormat/>
    <w:uiPriority w:val="0"/>
    <w:rPr>
      <w:rFonts w:ascii="Times New Roman" w:hAnsi="Times New Roman"/>
      <w:b/>
      <w:bCs/>
      <w:kern w:val="44"/>
      <w:sz w:val="44"/>
      <w:szCs w:val="44"/>
    </w:rPr>
  </w:style>
  <w:style w:type="character" w:customStyle="1" w:styleId="186">
    <w:name w:val="标题 6 字符"/>
    <w:basedOn w:val="75"/>
    <w:link w:val="8"/>
    <w:qFormat/>
    <w:uiPriority w:val="0"/>
    <w:rPr>
      <w:rFonts w:ascii="Arial" w:hAnsi="Arial" w:eastAsia="黑体"/>
      <w:b/>
      <w:kern w:val="2"/>
      <w:sz w:val="24"/>
    </w:rPr>
  </w:style>
  <w:style w:type="character" w:customStyle="1" w:styleId="187">
    <w:name w:val="文档结构图 字符"/>
    <w:basedOn w:val="75"/>
    <w:link w:val="22"/>
    <w:qFormat/>
    <w:uiPriority w:val="0"/>
    <w:rPr>
      <w:rFonts w:ascii="宋体" w:hAnsi="Times New Roman" w:eastAsia="宋体" w:cs="Times New Roman"/>
      <w:sz w:val="18"/>
      <w:szCs w:val="18"/>
    </w:rPr>
  </w:style>
  <w:style w:type="character" w:customStyle="1" w:styleId="188">
    <w:name w:val="样式 宋体 行距: 固定值 24 磅 Char Char"/>
    <w:qFormat/>
    <w:uiPriority w:val="0"/>
    <w:rPr>
      <w:rFonts w:ascii="宋体" w:cs="宋体"/>
      <w:color w:val="7030A0"/>
      <w:kern w:val="2"/>
      <w:sz w:val="28"/>
    </w:rPr>
  </w:style>
  <w:style w:type="character" w:customStyle="1" w:styleId="189">
    <w:name w:val="样式 Char Char"/>
    <w:link w:val="190"/>
    <w:qFormat/>
    <w:uiPriority w:val="0"/>
    <w:rPr>
      <w:rFonts w:ascii="宋体" w:hAnsi="宋体" w:cs="宋体"/>
      <w:sz w:val="24"/>
      <w:szCs w:val="24"/>
      <w:lang w:val="en-US" w:eastAsia="zh-CN" w:bidi="ar-SA"/>
    </w:rPr>
  </w:style>
  <w:style w:type="paragraph" w:customStyle="1" w:styleId="190">
    <w:name w:val="样式"/>
    <w:link w:val="189"/>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1">
    <w:name w:val="无编号正文 Char Char"/>
    <w:link w:val="192"/>
    <w:qFormat/>
    <w:uiPriority w:val="0"/>
    <w:rPr>
      <w:rFonts w:ascii="宋体" w:hAnsi="宋体"/>
      <w:sz w:val="24"/>
      <w:szCs w:val="24"/>
    </w:rPr>
  </w:style>
  <w:style w:type="paragraph" w:customStyle="1" w:styleId="192">
    <w:name w:val="无编号正文"/>
    <w:basedOn w:val="29"/>
    <w:next w:val="1"/>
    <w:link w:val="191"/>
    <w:qFormat/>
    <w:uiPriority w:val="0"/>
    <w:pPr>
      <w:ind w:left="200" w:leftChars="200" w:firstLine="200" w:firstLineChars="200"/>
    </w:pPr>
    <w:rPr>
      <w:rFonts w:ascii="宋体" w:hAnsi="宋体"/>
      <w:kern w:val="0"/>
      <w:szCs w:val="24"/>
    </w:rPr>
  </w:style>
  <w:style w:type="character" w:customStyle="1" w:styleId="193">
    <w:name w:val="表图名称 Char Char"/>
    <w:link w:val="194"/>
    <w:qFormat/>
    <w:uiPriority w:val="0"/>
    <w:rPr>
      <w:rFonts w:ascii="黑体" w:hAnsi="宋体" w:eastAsia="黑体"/>
      <w:kern w:val="2"/>
      <w:sz w:val="24"/>
      <w:szCs w:val="24"/>
      <w:lang w:val="en-US" w:eastAsia="zh-CN" w:bidi="ar-SA"/>
    </w:rPr>
  </w:style>
  <w:style w:type="paragraph" w:customStyle="1" w:styleId="194">
    <w:name w:val="表图名称"/>
    <w:link w:val="193"/>
    <w:qFormat/>
    <w:uiPriority w:val="0"/>
    <w:pPr>
      <w:widowControl w:val="0"/>
      <w:tabs>
        <w:tab w:val="left" w:pos="6120"/>
        <w:tab w:val="left" w:pos="13784"/>
      </w:tabs>
      <w:adjustRightInd w:val="0"/>
      <w:snapToGrid w:val="0"/>
      <w:spacing w:line="360" w:lineRule="auto"/>
      <w:jc w:val="center"/>
    </w:pPr>
    <w:rPr>
      <w:rFonts w:ascii="黑体" w:hAnsi="宋体" w:eastAsia="黑体" w:cs="Times New Roman"/>
      <w:kern w:val="2"/>
      <w:sz w:val="24"/>
      <w:szCs w:val="24"/>
      <w:lang w:val="en-US" w:eastAsia="zh-CN" w:bidi="ar-SA"/>
    </w:rPr>
  </w:style>
  <w:style w:type="character" w:customStyle="1" w:styleId="195">
    <w:name w:val="列表框1 Char Char"/>
    <w:qFormat/>
    <w:uiPriority w:val="0"/>
    <w:rPr>
      <w:rFonts w:ascii="Arial" w:hAnsi="Arial" w:eastAsia="楷体_GB2312" w:cs="Arial"/>
      <w:spacing w:val="10"/>
      <w:sz w:val="21"/>
      <w:lang w:val="en-US" w:eastAsia="zh-CN" w:bidi="ar-SA"/>
    </w:rPr>
  </w:style>
  <w:style w:type="character" w:customStyle="1" w:styleId="196">
    <w:name w:val="表格文字图表文字 Char"/>
    <w:link w:val="197"/>
    <w:qFormat/>
    <w:uiPriority w:val="0"/>
    <w:rPr>
      <w:rFonts w:ascii="Times New Roman" w:hAnsi="Times New Roman"/>
      <w:color w:val="7030A0"/>
      <w:kern w:val="2"/>
      <w:sz w:val="21"/>
    </w:rPr>
  </w:style>
  <w:style w:type="paragraph" w:customStyle="1" w:styleId="197">
    <w:name w:val="表格文字图表文字"/>
    <w:basedOn w:val="1"/>
    <w:link w:val="196"/>
    <w:qFormat/>
    <w:uiPriority w:val="0"/>
    <w:pPr>
      <w:snapToGrid w:val="0"/>
      <w:ind w:firstLine="200" w:firstLineChars="200"/>
      <w:jc w:val="center"/>
    </w:pPr>
    <w:rPr>
      <w:color w:val="7030A0"/>
      <w:szCs w:val="20"/>
    </w:rPr>
  </w:style>
  <w:style w:type="character" w:customStyle="1" w:styleId="198">
    <w:name w:val="批注文字 Char1"/>
    <w:semiHidden/>
    <w:qFormat/>
    <w:uiPriority w:val="0"/>
    <w:rPr>
      <w:kern w:val="2"/>
      <w:sz w:val="24"/>
      <w:szCs w:val="24"/>
    </w:rPr>
  </w:style>
  <w:style w:type="paragraph" w:customStyle="1" w:styleId="199">
    <w:name w:val="xl51"/>
    <w:basedOn w:val="1"/>
    <w:qFormat/>
    <w:uiPriority w:val="0"/>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200">
    <w:name w:val="通用"/>
    <w:basedOn w:val="1"/>
    <w:qFormat/>
    <w:uiPriority w:val="0"/>
    <w:pPr>
      <w:spacing w:line="360" w:lineRule="auto"/>
      <w:ind w:left="840" w:leftChars="400"/>
    </w:pPr>
    <w:rPr>
      <w:rFonts w:ascii="宋体" w:hAnsi="宋体"/>
      <w:szCs w:val="20"/>
    </w:rPr>
  </w:style>
  <w:style w:type="paragraph" w:customStyle="1" w:styleId="201">
    <w:name w:val="样式 目录 1 + 首行缩进:  2 字符"/>
    <w:basedOn w:val="1"/>
    <w:qFormat/>
    <w:uiPriority w:val="0"/>
    <w:pPr>
      <w:adjustRightInd w:val="0"/>
      <w:snapToGrid w:val="0"/>
      <w:spacing w:line="360" w:lineRule="auto"/>
      <w:ind w:firstLine="200" w:firstLineChars="200"/>
      <w:jc w:val="center"/>
    </w:pPr>
    <w:rPr>
      <w:rFonts w:cs="宋体"/>
      <w:b/>
      <w:bCs/>
      <w:caps/>
      <w:color w:val="7030A0"/>
      <w:sz w:val="30"/>
      <w:szCs w:val="28"/>
    </w:rPr>
  </w:style>
  <w:style w:type="paragraph" w:customStyle="1" w:styleId="202">
    <w:name w:val="1"/>
    <w:basedOn w:val="1"/>
    <w:next w:val="64"/>
    <w:qFormat/>
    <w:uiPriority w:val="0"/>
    <w:pPr>
      <w:spacing w:after="120" w:line="480" w:lineRule="auto"/>
      <w:ind w:firstLine="200" w:firstLineChars="200"/>
      <w:jc w:val="left"/>
    </w:pPr>
    <w:rPr>
      <w:color w:val="7030A0"/>
    </w:rPr>
  </w:style>
  <w:style w:type="paragraph" w:customStyle="1" w:styleId="20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04">
    <w:name w:val="Footer First"/>
    <w:basedOn w:val="48"/>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205">
    <w:name w:val="zhengwen"/>
    <w:basedOn w:val="1"/>
    <w:qFormat/>
    <w:uiPriority w:val="0"/>
    <w:pPr>
      <w:tabs>
        <w:tab w:val="left" w:pos="1077"/>
      </w:tabs>
      <w:adjustRightInd w:val="0"/>
      <w:snapToGrid w:val="0"/>
      <w:spacing w:line="520" w:lineRule="exact"/>
      <w:ind w:left="1077" w:firstLine="200" w:firstLineChars="200"/>
      <w:jc w:val="left"/>
    </w:pPr>
    <w:rPr>
      <w:bCs/>
      <w:color w:val="7030A0"/>
      <w:sz w:val="28"/>
    </w:rPr>
  </w:style>
  <w:style w:type="paragraph" w:customStyle="1" w:styleId="206">
    <w:name w:val="样式 宋体 行距: 1.5 倍行距"/>
    <w:basedOn w:val="1"/>
    <w:qFormat/>
    <w:uiPriority w:val="0"/>
    <w:pPr>
      <w:ind w:firstLine="200" w:firstLineChars="200"/>
      <w:jc w:val="left"/>
    </w:pPr>
    <w:rPr>
      <w:rFonts w:ascii="宋体" w:hAnsi="宋体"/>
      <w:color w:val="7030A0"/>
      <w:szCs w:val="20"/>
    </w:rPr>
  </w:style>
  <w:style w:type="paragraph" w:customStyle="1" w:styleId="207">
    <w:name w:val="样式 左侧:  2 字符 段前: 0.5 行"/>
    <w:basedOn w:val="1"/>
    <w:qFormat/>
    <w:uiPriority w:val="0"/>
    <w:pPr>
      <w:spacing w:beforeLines="50"/>
      <w:ind w:firstLine="200" w:firstLineChars="200"/>
    </w:pPr>
    <w:rPr>
      <w:rFonts w:ascii="宋体" w:cs="宋体"/>
      <w:sz w:val="24"/>
      <w:szCs w:val="20"/>
    </w:rPr>
  </w:style>
  <w:style w:type="paragraph" w:customStyle="1" w:styleId="208">
    <w:name w:val="八级正文格式"/>
    <w:basedOn w:val="158"/>
    <w:qFormat/>
    <w:uiPriority w:val="0"/>
    <w:pPr>
      <w:spacing w:after="120"/>
      <w:ind w:firstLine="0" w:firstLineChars="0"/>
    </w:pPr>
  </w:style>
  <w:style w:type="paragraph" w:customStyle="1" w:styleId="20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Cs w:val="21"/>
    </w:rPr>
  </w:style>
  <w:style w:type="paragraph" w:customStyle="1" w:styleId="210">
    <w:name w:val="样式 样式 列表框 Char Char Char Char Char + 段后: 0.5 行 + 左侧:  6 字符 首行缩进..."/>
    <w:basedOn w:val="211"/>
    <w:qFormat/>
    <w:uiPriority w:val="0"/>
    <w:pPr>
      <w:tabs>
        <w:tab w:val="left" w:pos="420"/>
        <w:tab w:val="left" w:pos="2297"/>
      </w:tabs>
      <w:ind w:left="2297" w:leftChars="0" w:hanging="420" w:firstLineChars="0"/>
    </w:pPr>
  </w:style>
  <w:style w:type="paragraph" w:customStyle="1" w:styleId="211">
    <w:name w:val="样式 列表框 Char Char Char Char Char + 段后: 0.5 行"/>
    <w:basedOn w:val="212"/>
    <w:qFormat/>
    <w:uiPriority w:val="0"/>
    <w:pPr>
      <w:tabs>
        <w:tab w:val="left" w:pos="420"/>
      </w:tabs>
      <w:spacing w:after="156"/>
    </w:pPr>
    <w:rPr>
      <w:szCs w:val="20"/>
    </w:rPr>
  </w:style>
  <w:style w:type="paragraph" w:customStyle="1" w:styleId="212">
    <w:name w:val="正常文本 Char Char Char Char Char Char Char Char Char Char Char Char Char Char"/>
    <w:basedOn w:val="1"/>
    <w:qFormat/>
    <w:uiPriority w:val="0"/>
    <w:pPr>
      <w:spacing w:afterLines="50" w:line="320" w:lineRule="exact"/>
      <w:ind w:left="600" w:leftChars="600" w:firstLine="208" w:firstLineChars="208"/>
      <w:jc w:val="left"/>
    </w:pPr>
    <w:rPr>
      <w:rFonts w:ascii="宋体" w:hAnsi="宋体" w:eastAsia="楷体_GB2312"/>
      <w:color w:val="7030A0"/>
      <w:szCs w:val="18"/>
    </w:rPr>
  </w:style>
  <w:style w:type="paragraph" w:customStyle="1" w:styleId="21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14">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2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216">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7">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218">
    <w:name w:val="正文文本缩进 21"/>
    <w:basedOn w:val="1"/>
    <w:qFormat/>
    <w:uiPriority w:val="0"/>
    <w:pPr>
      <w:autoSpaceDE w:val="0"/>
      <w:autoSpaceDN w:val="0"/>
      <w:adjustRightInd w:val="0"/>
      <w:spacing w:line="360" w:lineRule="auto"/>
      <w:ind w:firstLine="360" w:firstLineChars="200"/>
      <w:jc w:val="left"/>
      <w:textAlignment w:val="baseline"/>
    </w:pPr>
    <w:rPr>
      <w:rFonts w:ascii="宋体"/>
      <w:color w:val="7030A0"/>
      <w:sz w:val="24"/>
      <w:szCs w:val="20"/>
    </w:rPr>
  </w:style>
  <w:style w:type="paragraph" w:customStyle="1" w:styleId="219">
    <w:name w:val="批注框文本1"/>
    <w:basedOn w:val="1"/>
    <w:qFormat/>
    <w:uiPriority w:val="0"/>
    <w:rPr>
      <w:sz w:val="16"/>
      <w:szCs w:val="16"/>
    </w:rPr>
  </w:style>
  <w:style w:type="paragraph" w:customStyle="1" w:styleId="220">
    <w:name w:val="*"/>
    <w:basedOn w:val="1"/>
    <w:qFormat/>
    <w:uiPriority w:val="0"/>
    <w:pPr>
      <w:spacing w:line="360" w:lineRule="auto"/>
    </w:pPr>
    <w:rPr>
      <w:rFonts w:ascii="宋体" w:hAnsi="宋体"/>
      <w:kern w:val="0"/>
      <w:sz w:val="24"/>
    </w:rPr>
  </w:style>
  <w:style w:type="paragraph" w:customStyle="1" w:styleId="22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22">
    <w:name w:val="表格标题"/>
    <w:basedOn w:val="7"/>
    <w:qFormat/>
    <w:uiPriority w:val="0"/>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223">
    <w:name w:val="七级标题格式"/>
    <w:basedOn w:val="1"/>
    <w:qFormat/>
    <w:uiPriority w:val="0"/>
    <w:pPr>
      <w:spacing w:afterLines="50" w:line="336" w:lineRule="auto"/>
      <w:ind w:firstLine="200" w:firstLineChars="200"/>
      <w:jc w:val="left"/>
      <w:outlineLvl w:val="6"/>
    </w:pPr>
    <w:rPr>
      <w:color w:val="7030A0"/>
      <w:sz w:val="24"/>
    </w:rPr>
  </w:style>
  <w:style w:type="paragraph" w:customStyle="1" w:styleId="224">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25">
    <w:name w:val="表格文字"/>
    <w:basedOn w:val="197"/>
    <w:qFormat/>
    <w:uiPriority w:val="0"/>
  </w:style>
  <w:style w:type="paragraph" w:customStyle="1" w:styleId="226">
    <w:name w:val="二级标题格式"/>
    <w:basedOn w:val="4"/>
    <w:qFormat/>
    <w:uiPriority w:val="0"/>
    <w:pPr>
      <w:keepNext w:val="0"/>
      <w:keepLines w:val="0"/>
      <w:spacing w:before="0" w:afterLines="100" w:line="240" w:lineRule="auto"/>
      <w:jc w:val="left"/>
    </w:pPr>
    <w:rPr>
      <w:rFonts w:ascii="Times New Roman" w:hAnsi="Times New Roman"/>
      <w:b w:val="0"/>
      <w:color w:val="C00000"/>
      <w:sz w:val="28"/>
      <w:szCs w:val="28"/>
    </w:rPr>
  </w:style>
  <w:style w:type="paragraph" w:customStyle="1" w:styleId="227">
    <w:name w:val="样式 标题 1标题 1 1编号标题1标题1 + 宋体 加粗"/>
    <w:basedOn w:val="3"/>
    <w:qFormat/>
    <w:uiPriority w:val="0"/>
    <w:pPr>
      <w:keepNext w:val="0"/>
      <w:tabs>
        <w:tab w:val="left" w:pos="2340"/>
        <w:tab w:val="clear" w:pos="1440"/>
      </w:tabs>
      <w:spacing w:before="240" w:afterLines="50" w:line="360" w:lineRule="exact"/>
      <w:ind w:left="1304" w:hanging="1304"/>
      <w:jc w:val="left"/>
    </w:pPr>
    <w:rPr>
      <w:rFonts w:ascii="宋体" w:hAnsi="宋体" w:cs="Arial"/>
      <w:sz w:val="28"/>
      <w:szCs w:val="28"/>
    </w:rPr>
  </w:style>
  <w:style w:type="paragraph" w:customStyle="1" w:styleId="2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29">
    <w:name w:val="列表框 Char Char Char Char Char"/>
    <w:basedOn w:val="212"/>
    <w:next w:val="212"/>
    <w:qFormat/>
    <w:uiPriority w:val="0"/>
    <w:pPr>
      <w:tabs>
        <w:tab w:val="left" w:pos="450"/>
        <w:tab w:val="left" w:pos="874"/>
      </w:tabs>
      <w:adjustRightInd w:val="0"/>
      <w:snapToGrid w:val="0"/>
      <w:ind w:left="874" w:leftChars="0" w:right="-5" w:rightChars="-5" w:hanging="420" w:firstLineChars="0"/>
    </w:pPr>
    <w:rPr>
      <w:rFonts w:ascii="Times New Roman" w:hAnsi="Times New Roman"/>
      <w:szCs w:val="21"/>
    </w:rPr>
  </w:style>
  <w:style w:type="paragraph" w:customStyle="1" w:styleId="23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23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33">
    <w:name w:val="Sprechblasentext"/>
    <w:basedOn w:val="1"/>
    <w:qFormat/>
    <w:uiPriority w:val="0"/>
    <w:pPr>
      <w:spacing w:line="300" w:lineRule="atLeast"/>
      <w:ind w:firstLine="709"/>
    </w:pPr>
    <w:rPr>
      <w:rFonts w:ascii="Tahoma" w:hAnsi="Tahoma" w:cs="Tahoma"/>
      <w:sz w:val="16"/>
      <w:szCs w:val="16"/>
    </w:rPr>
  </w:style>
  <w:style w:type="paragraph" w:customStyle="1" w:styleId="234">
    <w:name w:val="p0"/>
    <w:basedOn w:val="1"/>
    <w:qFormat/>
    <w:uiPriority w:val="0"/>
    <w:pPr>
      <w:widowControl/>
    </w:pPr>
    <w:rPr>
      <w:kern w:val="0"/>
      <w:szCs w:val="21"/>
    </w:rPr>
  </w:style>
  <w:style w:type="paragraph" w:customStyle="1" w:styleId="235">
    <w:name w:val="样式 样式 标题 3 + 段前: 1 行 段后: 0.5 行 + 段前: 1 行 段后: 0.5 行"/>
    <w:basedOn w:val="1"/>
    <w:qFormat/>
    <w:uiPriority w:val="0"/>
    <w:pPr>
      <w:keepNext/>
      <w:keepLines/>
      <w:spacing w:beforeLines="100" w:afterLines="50"/>
      <w:ind w:firstLine="200" w:firstLineChars="200"/>
      <w:jc w:val="left"/>
      <w:outlineLvl w:val="2"/>
    </w:pPr>
    <w:rPr>
      <w:rFonts w:eastAsia="黑体" w:cs="宋体"/>
      <w:bCs/>
      <w:color w:val="7030A0"/>
      <w:sz w:val="22"/>
      <w:szCs w:val="22"/>
    </w:rPr>
  </w:style>
  <w:style w:type="paragraph" w:customStyle="1" w:styleId="236">
    <w:name w:val="表格正文"/>
    <w:basedOn w:val="1"/>
    <w:next w:val="1"/>
    <w:qFormat/>
    <w:uiPriority w:val="0"/>
    <w:pPr>
      <w:adjustRightInd w:val="0"/>
      <w:snapToGrid w:val="0"/>
      <w:jc w:val="center"/>
    </w:pPr>
    <w:rPr>
      <w:color w:val="548DD4"/>
    </w:rPr>
  </w:style>
  <w:style w:type="paragraph" w:customStyle="1" w:styleId="237">
    <w:name w:val="样式1"/>
    <w:basedOn w:val="49"/>
    <w:next w:val="1"/>
    <w:qFormat/>
    <w:uiPriority w:val="0"/>
    <w:pPr>
      <w:jc w:val="left"/>
    </w:pPr>
  </w:style>
  <w:style w:type="paragraph" w:customStyle="1" w:styleId="238">
    <w:name w:val="_Style 1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0">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41">
    <w:name w:val="Body text 1"/>
    <w:basedOn w:val="1"/>
    <w:qFormat/>
    <w:uiPriority w:val="0"/>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242">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43">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kern w:val="0"/>
      <w:szCs w:val="21"/>
    </w:rPr>
  </w:style>
  <w:style w:type="paragraph" w:customStyle="1" w:styleId="245">
    <w:name w:val="默认段落字体 Para Char Char Char Char Char Char Char"/>
    <w:basedOn w:val="1"/>
    <w:qFormat/>
    <w:uiPriority w:val="0"/>
    <w:pPr>
      <w:tabs>
        <w:tab w:val="left" w:pos="4665"/>
        <w:tab w:val="left" w:pos="8970"/>
      </w:tabs>
      <w:ind w:firstLine="400"/>
    </w:pPr>
    <w:rPr>
      <w:szCs w:val="20"/>
    </w:rPr>
  </w:style>
  <w:style w:type="paragraph" w:customStyle="1" w:styleId="246">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247">
    <w:name w:val="xl40"/>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248">
    <w:name w:val="招标文件》"/>
    <w:basedOn w:val="249"/>
    <w:qFormat/>
    <w:uiPriority w:val="0"/>
    <w:pPr>
      <w:tabs>
        <w:tab w:val="left" w:pos="560"/>
      </w:tabs>
      <w:ind w:left="200" w:firstLine="0" w:firstLineChars="0"/>
    </w:pPr>
  </w:style>
  <w:style w:type="paragraph" w:customStyle="1" w:styleId="24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50">
    <w:name w:val="Numbered List"/>
    <w:basedOn w:val="49"/>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251">
    <w:name w:val="列出段落1"/>
    <w:basedOn w:val="1"/>
    <w:qFormat/>
    <w:uiPriority w:val="34"/>
    <w:pPr>
      <w:ind w:firstLine="420" w:firstLineChars="200"/>
    </w:pPr>
    <w:rPr>
      <w:szCs w:val="20"/>
    </w:rPr>
  </w:style>
  <w:style w:type="paragraph" w:customStyle="1" w:styleId="25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53">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54">
    <w:name w:val="xl52"/>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5">
    <w:name w:val="正文3"/>
    <w:qFormat/>
    <w:uiPriority w:val="0"/>
    <w:pPr>
      <w:spacing w:line="400" w:lineRule="exact"/>
      <w:ind w:firstLine="200" w:firstLineChars="200"/>
      <w:jc w:val="both"/>
    </w:pPr>
    <w:rPr>
      <w:rFonts w:ascii="Times New Roman" w:hAnsi="Times New Roman" w:eastAsia="宋体" w:cs="Times New Roman"/>
      <w:kern w:val="2"/>
      <w:sz w:val="24"/>
      <w:lang w:val="en-US" w:eastAsia="zh-CN" w:bidi="ar-SA"/>
    </w:rPr>
  </w:style>
  <w:style w:type="paragraph" w:customStyle="1" w:styleId="256">
    <w:name w:val="Char1 Char Char1 Char Char Char Char Char Char"/>
    <w:basedOn w:val="1"/>
    <w:qFormat/>
    <w:uiPriority w:val="0"/>
  </w:style>
  <w:style w:type="paragraph" w:customStyle="1" w:styleId="257">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8">
    <w:name w:val="样式 标题 5 + 右侧:  -0.18 字符"/>
    <w:basedOn w:val="1"/>
    <w:qFormat/>
    <w:uiPriority w:val="0"/>
    <w:pPr>
      <w:tabs>
        <w:tab w:val="left" w:pos="1008"/>
      </w:tabs>
      <w:ind w:left="1134" w:hanging="1134"/>
    </w:pPr>
  </w:style>
  <w:style w:type="paragraph" w:customStyle="1" w:styleId="259">
    <w:name w:val="xl24"/>
    <w:basedOn w:val="1"/>
    <w:qFormat/>
    <w:uiPriority w:val="0"/>
    <w:pPr>
      <w:widowControl/>
      <w:spacing w:before="100" w:beforeAutospacing="1" w:after="100" w:afterAutospacing="1"/>
      <w:jc w:val="left"/>
    </w:pPr>
    <w:rPr>
      <w:kern w:val="0"/>
      <w:sz w:val="24"/>
    </w:rPr>
  </w:style>
  <w:style w:type="paragraph" w:customStyle="1" w:styleId="260">
    <w:name w:val="xl28"/>
    <w:basedOn w:val="1"/>
    <w:qFormat/>
    <w:uiPriority w:val="0"/>
    <w:pPr>
      <w:widowControl/>
      <w:spacing w:before="100" w:beforeAutospacing="1" w:after="100" w:afterAutospacing="1"/>
      <w:jc w:val="center"/>
    </w:pPr>
    <w:rPr>
      <w:kern w:val="0"/>
      <w:sz w:val="24"/>
    </w:rPr>
  </w:style>
  <w:style w:type="paragraph" w:customStyle="1" w:styleId="261">
    <w:name w:val="默认段落字体 Para Char Char Char Char"/>
    <w:basedOn w:val="1"/>
    <w:qFormat/>
    <w:uiPriority w:val="0"/>
    <w:rPr>
      <w:szCs w:val="20"/>
    </w:rPr>
  </w:style>
  <w:style w:type="paragraph" w:customStyle="1" w:styleId="262">
    <w:name w:val="註解方塊文字"/>
    <w:basedOn w:val="1"/>
    <w:qFormat/>
    <w:uiPriority w:val="0"/>
    <w:pPr>
      <w:widowControl/>
      <w:jc w:val="left"/>
    </w:pPr>
    <w:rPr>
      <w:rFonts w:ascii="Arial" w:hAnsi="Arial" w:eastAsia="PMingLiU"/>
      <w:kern w:val="0"/>
      <w:sz w:val="18"/>
      <w:szCs w:val="18"/>
      <w:lang w:eastAsia="zh-HK"/>
    </w:rPr>
  </w:style>
  <w:style w:type="paragraph" w:customStyle="1" w:styleId="263">
    <w:name w:val="标题四"/>
    <w:basedOn w:val="264"/>
    <w:semiHidden/>
    <w:qFormat/>
    <w:uiPriority w:val="0"/>
    <w:pPr>
      <w:tabs>
        <w:tab w:val="left" w:pos="0"/>
      </w:tabs>
      <w:spacing w:line="360" w:lineRule="auto"/>
      <w:ind w:left="0"/>
    </w:pPr>
    <w:rPr>
      <w:rFonts w:ascii="Tahoma" w:hAnsi="Tahoma"/>
      <w:sz w:val="24"/>
      <w:szCs w:val="24"/>
    </w:rPr>
  </w:style>
  <w:style w:type="paragraph" w:customStyle="1" w:styleId="264">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65">
    <w:name w:val="font5"/>
    <w:basedOn w:val="1"/>
    <w:qFormat/>
    <w:uiPriority w:val="0"/>
    <w:pPr>
      <w:widowControl/>
      <w:spacing w:before="100" w:beforeAutospacing="1" w:after="100" w:afterAutospacing="1"/>
      <w:jc w:val="left"/>
    </w:pPr>
    <w:rPr>
      <w:b/>
      <w:bCs/>
      <w:kern w:val="0"/>
      <w:sz w:val="22"/>
      <w:szCs w:val="22"/>
    </w:rPr>
  </w:style>
  <w:style w:type="paragraph" w:customStyle="1" w:styleId="266">
    <w:name w:val="Char Char Char Char Char"/>
    <w:basedOn w:val="1"/>
    <w:qFormat/>
    <w:uiPriority w:val="0"/>
    <w:pPr>
      <w:ind w:firstLine="200" w:firstLineChars="200"/>
      <w:jc w:val="left"/>
    </w:pPr>
    <w:rPr>
      <w:rFonts w:ascii="Tahoma" w:hAnsi="Tahoma"/>
      <w:color w:val="7030A0"/>
      <w:sz w:val="24"/>
      <w:szCs w:val="20"/>
    </w:rPr>
  </w:style>
  <w:style w:type="paragraph" w:customStyle="1" w:styleId="26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68">
    <w:name w:val="样式 标题 4 + 段前: 自动"/>
    <w:basedOn w:val="6"/>
    <w:qFormat/>
    <w:uiPriority w:val="0"/>
    <w:pPr>
      <w:tabs>
        <w:tab w:val="left" w:pos="1062"/>
      </w:tabs>
      <w:spacing w:beforeLines="50" w:after="0" w:line="400" w:lineRule="exact"/>
      <w:ind w:left="1062" w:hanging="864"/>
    </w:pPr>
    <w:rPr>
      <w:rFonts w:ascii="宋体" w:hAnsi="Arial" w:cs="宋体"/>
      <w:sz w:val="24"/>
      <w:szCs w:val="24"/>
    </w:rPr>
  </w:style>
  <w:style w:type="paragraph" w:customStyle="1" w:styleId="269">
    <w:name w:val="顺序编号-zlb"/>
    <w:basedOn w:val="270"/>
    <w:qFormat/>
    <w:uiPriority w:val="0"/>
    <w:pPr>
      <w:tabs>
        <w:tab w:val="left" w:pos="0"/>
      </w:tabs>
      <w:ind w:firstLine="425"/>
      <w:outlineLvl w:val="8"/>
    </w:pPr>
  </w:style>
  <w:style w:type="paragraph" w:customStyle="1" w:styleId="270">
    <w:name w:val="级别4"/>
    <w:basedOn w:val="271"/>
    <w:uiPriority w:val="0"/>
    <w:pPr>
      <w:tabs>
        <w:tab w:val="left" w:pos="0"/>
      </w:tabs>
      <w:outlineLvl w:val="3"/>
    </w:pPr>
    <w:rPr>
      <w:b w:val="0"/>
      <w:kern w:val="0"/>
    </w:rPr>
  </w:style>
  <w:style w:type="paragraph" w:customStyle="1" w:styleId="271">
    <w:name w:val="级别2"/>
    <w:basedOn w:val="3"/>
    <w:qFormat/>
    <w:uiPriority w:val="0"/>
    <w:pPr>
      <w:keepNext w:val="0"/>
      <w:keepLines w:val="0"/>
      <w:tabs>
        <w:tab w:val="left" w:pos="0"/>
        <w:tab w:val="clear" w:pos="1440"/>
      </w:tabs>
      <w:adjustRightInd w:val="0"/>
      <w:snapToGrid w:val="0"/>
      <w:spacing w:before="0" w:after="0" w:line="360" w:lineRule="auto"/>
      <w:ind w:left="0" w:firstLine="0"/>
      <w:outlineLvl w:val="1"/>
    </w:pPr>
    <w:rPr>
      <w:rFonts w:ascii="宋体" w:hAnsi="宋体"/>
      <w:bCs w:val="0"/>
      <w:sz w:val="24"/>
      <w:szCs w:val="24"/>
    </w:rPr>
  </w:style>
  <w:style w:type="paragraph" w:customStyle="1" w:styleId="27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73">
    <w:name w:val="专用"/>
    <w:basedOn w:val="1"/>
    <w:qFormat/>
    <w:uiPriority w:val="0"/>
    <w:pPr>
      <w:spacing w:afterLines="100"/>
      <w:ind w:left="838" w:hanging="838" w:hangingChars="262"/>
    </w:pPr>
    <w:rPr>
      <w:rFonts w:ascii="宋体"/>
      <w:b/>
      <w:color w:val="000000"/>
      <w:sz w:val="32"/>
      <w:szCs w:val="20"/>
    </w:rPr>
  </w:style>
  <w:style w:type="paragraph" w:customStyle="1" w:styleId="274">
    <w:name w:val="xl56"/>
    <w:basedOn w:val="1"/>
    <w:qFormat/>
    <w:uiPriority w:val="0"/>
    <w:pPr>
      <w:widowControl/>
      <w:pBdr>
        <w:top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5">
    <w:name w:val="llp2"/>
    <w:basedOn w:val="1"/>
    <w:qFormat/>
    <w:uiPriority w:val="0"/>
    <w:pPr>
      <w:spacing w:beforeLines="100" w:afterLines="100" w:line="240" w:lineRule="atLeast"/>
      <w:ind w:firstLine="200" w:firstLineChars="200"/>
      <w:jc w:val="left"/>
      <w:outlineLvl w:val="1"/>
    </w:pPr>
    <w:rPr>
      <w:rFonts w:eastAsia="黑体"/>
      <w:color w:val="7030A0"/>
      <w:sz w:val="32"/>
      <w:szCs w:val="32"/>
    </w:rPr>
  </w:style>
  <w:style w:type="paragraph" w:customStyle="1" w:styleId="276">
    <w:name w:val="Sub title 1"/>
    <w:basedOn w:val="257"/>
    <w:qFormat/>
    <w:uiPriority w:val="0"/>
    <w:pPr>
      <w:tabs>
        <w:tab w:val="left" w:pos="1304"/>
      </w:tabs>
      <w:ind w:left="1304" w:hanging="170"/>
    </w:pPr>
    <w:rPr>
      <w:color w:val="auto"/>
    </w:rPr>
  </w:style>
  <w:style w:type="paragraph" w:customStyle="1" w:styleId="277">
    <w:name w:val="xl47"/>
    <w:basedOn w:val="1"/>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78">
    <w:name w:val="样式 样式 首行缩进:  2 字符 + 首行缩进:  2 字符"/>
    <w:basedOn w:val="1"/>
    <w:qFormat/>
    <w:uiPriority w:val="0"/>
    <w:pPr>
      <w:spacing w:line="360" w:lineRule="auto"/>
      <w:ind w:firstLine="200" w:firstLineChars="200"/>
      <w:jc w:val="left"/>
    </w:pPr>
    <w:rPr>
      <w:rFonts w:cs="宋体"/>
      <w:color w:val="7030A0"/>
      <w:szCs w:val="20"/>
    </w:rPr>
  </w:style>
  <w:style w:type="paragraph" w:customStyle="1" w:styleId="279">
    <w:name w:val="正缩2字符"/>
    <w:basedOn w:val="1"/>
    <w:qFormat/>
    <w:uiPriority w:val="0"/>
    <w:pPr>
      <w:spacing w:line="480" w:lineRule="exact"/>
      <w:ind w:firstLine="200" w:firstLineChars="200"/>
    </w:pPr>
    <w:rPr>
      <w:sz w:val="24"/>
    </w:rPr>
  </w:style>
  <w:style w:type="paragraph" w:customStyle="1" w:styleId="280">
    <w:name w:val="招标文件1.1.1.1"/>
    <w:basedOn w:val="1"/>
    <w:qFormat/>
    <w:uiPriority w:val="0"/>
    <w:pPr>
      <w:spacing w:before="120" w:after="120" w:line="480" w:lineRule="exact"/>
      <w:ind w:left="200" w:firstLine="200" w:firstLineChars="200"/>
      <w:jc w:val="left"/>
      <w:outlineLvl w:val="4"/>
    </w:pPr>
    <w:rPr>
      <w:rFonts w:ascii="宋体"/>
      <w:b/>
      <w:color w:val="7030A0"/>
      <w:spacing w:val="10"/>
      <w:w w:val="95"/>
    </w:rPr>
  </w:style>
  <w:style w:type="paragraph" w:customStyle="1" w:styleId="281">
    <w:name w:val="样式 样式 宋体 小四 左侧:  1.85 厘米 段前: 11.15 磅 段后: 11.15 磅 + 图案: 清除 (白色)"/>
    <w:basedOn w:val="1"/>
    <w:qFormat/>
    <w:uiPriority w:val="0"/>
    <w:pPr>
      <w:snapToGrid w:val="0"/>
      <w:ind w:left="1049" w:firstLine="200" w:firstLineChars="200"/>
      <w:jc w:val="left"/>
    </w:pPr>
    <w:rPr>
      <w:color w:val="7030A0"/>
      <w:sz w:val="24"/>
      <w:shd w:val="clear" w:color="auto" w:fill="FFFFFF"/>
    </w:rPr>
  </w:style>
  <w:style w:type="paragraph" w:customStyle="1" w:styleId="282">
    <w:name w:val="标书正文1"/>
    <w:basedOn w:val="1"/>
    <w:qFormat/>
    <w:uiPriority w:val="0"/>
    <w:pPr>
      <w:tabs>
        <w:tab w:val="left" w:pos="1438"/>
      </w:tabs>
      <w:spacing w:before="100" w:after="100" w:line="360" w:lineRule="auto"/>
      <w:ind w:left="1438" w:hanging="720"/>
    </w:pPr>
    <w:rPr>
      <w:rFonts w:ascii="宋体" w:hAnsi="宋体"/>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4">
    <w:name w:val="级别3"/>
    <w:basedOn w:val="271"/>
    <w:qFormat/>
    <w:uiPriority w:val="0"/>
    <w:pPr>
      <w:ind w:firstLine="425"/>
      <w:outlineLvl w:val="2"/>
    </w:pPr>
    <w:rPr>
      <w:b w:val="0"/>
    </w:rPr>
  </w:style>
  <w:style w:type="paragraph" w:customStyle="1" w:styleId="285">
    <w:name w:val="招标文件1）"/>
    <w:uiPriority w:val="0"/>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286">
    <w:name w:val="样式 标题 3列表编号33 bulletb23 bullet1b1213 bullet2b2223 bul...2"/>
    <w:basedOn w:val="1"/>
    <w:qFormat/>
    <w:uiPriority w:val="0"/>
    <w:pPr>
      <w:ind w:left="1320" w:hanging="420" w:firstLineChars="200"/>
      <w:jc w:val="left"/>
    </w:pPr>
    <w:rPr>
      <w:color w:val="7030A0"/>
    </w:rPr>
  </w:style>
  <w:style w:type="paragraph" w:customStyle="1" w:styleId="287">
    <w:name w:val="xl53"/>
    <w:basedOn w:val="1"/>
    <w:qFormat/>
    <w:uiPriority w:val="0"/>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88">
    <w:name w:val="附图 BJ8"/>
    <w:basedOn w:val="1"/>
    <w:qFormat/>
    <w:uiPriority w:val="0"/>
    <w:pPr>
      <w:adjustRightInd w:val="0"/>
      <w:snapToGrid w:val="0"/>
      <w:ind w:firstLine="200" w:firstLineChars="200"/>
      <w:jc w:val="center"/>
    </w:pPr>
    <w:rPr>
      <w:rFonts w:hAnsi="Arial"/>
      <w:color w:val="7030A0"/>
      <w:kern w:val="0"/>
    </w:rPr>
  </w:style>
  <w:style w:type="paragraph" w:customStyle="1" w:styleId="289">
    <w:name w:val="xl54"/>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0">
    <w:name w:val="招标文件1"/>
    <w:basedOn w:val="1"/>
    <w:qFormat/>
    <w:uiPriority w:val="0"/>
    <w:pPr>
      <w:tabs>
        <w:tab w:val="left" w:pos="420"/>
      </w:tabs>
      <w:spacing w:before="120" w:after="120" w:line="480" w:lineRule="exact"/>
      <w:ind w:left="200" w:firstLine="200" w:firstLineChars="200"/>
      <w:jc w:val="left"/>
      <w:outlineLvl w:val="1"/>
    </w:pPr>
    <w:rPr>
      <w:rFonts w:ascii="宋体"/>
      <w:b/>
      <w:color w:val="7030A0"/>
      <w:spacing w:val="10"/>
      <w:w w:val="95"/>
      <w:kern w:val="0"/>
      <w:sz w:val="28"/>
    </w:rPr>
  </w:style>
  <w:style w:type="paragraph" w:customStyle="1" w:styleId="291">
    <w:name w:val="Report Level 1"/>
    <w:basedOn w:val="1"/>
    <w:next w:val="292"/>
    <w:qFormat/>
    <w:uiPriority w:val="0"/>
    <w:pPr>
      <w:keepNext/>
      <w:widowControl/>
      <w:tabs>
        <w:tab w:val="left" w:pos="1080"/>
      </w:tabs>
      <w:spacing w:before="240" w:after="240" w:line="360" w:lineRule="auto"/>
      <w:ind w:left="1080" w:hanging="1080" w:firstLineChars="200"/>
      <w:jc w:val="left"/>
      <w:outlineLvl w:val="0"/>
    </w:pPr>
    <w:rPr>
      <w:rFonts w:ascii="Arial" w:hAnsi="Arial"/>
      <w:b/>
      <w:caps/>
      <w:color w:val="7030A0"/>
      <w:kern w:val="0"/>
      <w:sz w:val="24"/>
      <w:szCs w:val="21"/>
      <w:lang w:val="en-GB"/>
    </w:rPr>
  </w:style>
  <w:style w:type="paragraph" w:customStyle="1" w:styleId="292">
    <w:name w:val="Report Text"/>
    <w:basedOn w:val="1"/>
    <w:qFormat/>
    <w:uiPriority w:val="0"/>
    <w:pPr>
      <w:widowControl/>
      <w:spacing w:after="138"/>
      <w:ind w:left="1080" w:firstLine="200" w:firstLineChars="200"/>
      <w:jc w:val="left"/>
    </w:pPr>
    <w:rPr>
      <w:color w:val="7030A0"/>
      <w:kern w:val="0"/>
      <w:sz w:val="22"/>
      <w:szCs w:val="20"/>
      <w:lang w:val="en-GB" w:eastAsia="en-US"/>
    </w:rPr>
  </w:style>
  <w:style w:type="paragraph" w:customStyle="1" w:styleId="293">
    <w:name w:val="xl59"/>
    <w:basedOn w:val="1"/>
    <w:qFormat/>
    <w:uiPriority w:val="0"/>
    <w:pPr>
      <w:widowControl/>
      <w:pBdr>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4">
    <w:name w:val="xl45"/>
    <w:basedOn w:val="1"/>
    <w:qFormat/>
    <w:uiPriority w:val="0"/>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296">
    <w:name w:val="xl58"/>
    <w:basedOn w:val="1"/>
    <w:qFormat/>
    <w:uiPriority w:val="0"/>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97">
    <w:name w:val="级别5"/>
    <w:basedOn w:val="270"/>
    <w:qFormat/>
    <w:uiPriority w:val="0"/>
    <w:pPr>
      <w:outlineLvl w:val="4"/>
    </w:pPr>
  </w:style>
  <w:style w:type="paragraph" w:customStyle="1" w:styleId="298">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szCs w:val="20"/>
    </w:rPr>
  </w:style>
  <w:style w:type="paragraph" w:customStyle="1" w:styleId="299">
    <w:name w:val="级别1"/>
    <w:basedOn w:val="3"/>
    <w:qFormat/>
    <w:uiPriority w:val="0"/>
    <w:pPr>
      <w:keepNext w:val="0"/>
      <w:keepLines w:val="0"/>
      <w:tabs>
        <w:tab w:val="left" w:pos="-1620"/>
        <w:tab w:val="clear" w:pos="1440"/>
      </w:tabs>
      <w:adjustRightInd w:val="0"/>
      <w:snapToGrid w:val="0"/>
      <w:spacing w:before="0" w:after="0" w:line="360" w:lineRule="auto"/>
      <w:ind w:left="2098" w:hanging="2098"/>
    </w:pPr>
    <w:rPr>
      <w:rFonts w:ascii="宋体" w:hAnsi="宋体"/>
      <w:bCs w:val="0"/>
      <w:sz w:val="28"/>
      <w:szCs w:val="28"/>
    </w:rPr>
  </w:style>
  <w:style w:type="paragraph" w:customStyle="1" w:styleId="300">
    <w:name w:val="纯文本1"/>
    <w:basedOn w:val="1"/>
    <w:qFormat/>
    <w:uiPriority w:val="0"/>
    <w:pPr>
      <w:adjustRightInd w:val="0"/>
      <w:spacing w:line="312" w:lineRule="atLeast"/>
      <w:ind w:firstLine="567" w:firstLineChars="200"/>
      <w:jc w:val="left"/>
      <w:textAlignment w:val="baseline"/>
    </w:pPr>
    <w:rPr>
      <w:rFonts w:ascii="宋体" w:hAnsi="Courier New"/>
      <w:color w:val="7030A0"/>
      <w:kern w:val="0"/>
      <w:sz w:val="28"/>
    </w:rPr>
  </w:style>
  <w:style w:type="paragraph" w:customStyle="1" w:styleId="301">
    <w:name w:val="应答文本"/>
    <w:basedOn w:val="1"/>
    <w:qFormat/>
    <w:uiPriority w:val="0"/>
    <w:pPr>
      <w:adjustRightInd w:val="0"/>
      <w:spacing w:afterLines="50" w:line="320" w:lineRule="exact"/>
      <w:ind w:left="480" w:leftChars="200" w:firstLine="460" w:firstLineChars="200"/>
      <w:jc w:val="left"/>
    </w:pPr>
    <w:rPr>
      <w:rFonts w:ascii="Arial" w:hAnsi="Arial" w:eastAsia="楷体_GB2312" w:cs="宋体"/>
      <w:color w:val="7030A0"/>
      <w:spacing w:val="10"/>
      <w:kern w:val="0"/>
      <w:szCs w:val="20"/>
    </w:rPr>
  </w:style>
  <w:style w:type="paragraph" w:customStyle="1" w:styleId="302">
    <w:name w:val="标准"/>
    <w:basedOn w:val="1"/>
    <w:qFormat/>
    <w:uiPriority w:val="0"/>
    <w:pPr>
      <w:adjustRightInd w:val="0"/>
      <w:spacing w:line="312" w:lineRule="atLeast"/>
      <w:jc w:val="center"/>
      <w:textAlignment w:val="baseline"/>
    </w:pPr>
    <w:rPr>
      <w:kern w:val="24"/>
      <w:sz w:val="24"/>
    </w:rPr>
  </w:style>
  <w:style w:type="paragraph" w:customStyle="1" w:styleId="303">
    <w:name w:val="1.1"/>
    <w:basedOn w:val="4"/>
    <w:qFormat/>
    <w:uiPriority w:val="0"/>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304">
    <w:name w:val="Char Char Char Char"/>
    <w:basedOn w:val="22"/>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05">
    <w:name w:val="标题2 Char"/>
    <w:basedOn w:val="4"/>
    <w:qFormat/>
    <w:uiPriority w:val="0"/>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306">
    <w:name w:val="样式 标题2 + 字距调整8 磅"/>
    <w:basedOn w:val="305"/>
    <w:qFormat/>
    <w:uiPriority w:val="0"/>
    <w:pPr>
      <w:tabs>
        <w:tab w:val="clear" w:pos="709"/>
      </w:tabs>
    </w:pPr>
    <w:rPr>
      <w:kern w:val="16"/>
    </w:rPr>
  </w:style>
  <w:style w:type="paragraph" w:customStyle="1" w:styleId="307">
    <w:name w:val="Char Char Char Char Char Char1 Char Char Char Char"/>
    <w:basedOn w:val="1"/>
    <w:qFormat/>
    <w:uiPriority w:val="0"/>
    <w:rPr>
      <w:rFonts w:ascii="仿宋_GB2312" w:eastAsia="仿宋_GB2312"/>
      <w:b/>
      <w:sz w:val="32"/>
      <w:szCs w:val="32"/>
    </w:rPr>
  </w:style>
  <w:style w:type="paragraph" w:customStyle="1" w:styleId="308">
    <w:name w:val="xl32"/>
    <w:basedOn w:val="1"/>
    <w:qFormat/>
    <w:uiPriority w:val="0"/>
    <w:pPr>
      <w:widowControl/>
      <w:spacing w:before="100" w:beforeAutospacing="1" w:after="100" w:afterAutospacing="1"/>
      <w:jc w:val="center"/>
    </w:pPr>
    <w:rPr>
      <w:b/>
      <w:bCs/>
      <w:kern w:val="0"/>
      <w:sz w:val="24"/>
      <w:u w:val="single"/>
    </w:rPr>
  </w:style>
  <w:style w:type="paragraph" w:customStyle="1" w:styleId="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0">
    <w:name w:val="图1"/>
    <w:basedOn w:val="1"/>
    <w:next w:val="1"/>
    <w:qFormat/>
    <w:uiPriority w:val="0"/>
    <w:pPr>
      <w:tabs>
        <w:tab w:val="left" w:pos="1440"/>
      </w:tabs>
      <w:spacing w:beforeLines="50" w:afterLines="100" w:line="360" w:lineRule="auto"/>
      <w:ind w:left="1105" w:hanging="748"/>
      <w:jc w:val="center"/>
    </w:pPr>
    <w:rPr>
      <w:kern w:val="0"/>
    </w:rPr>
  </w:style>
  <w:style w:type="paragraph" w:customStyle="1" w:styleId="311">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2">
    <w:name w:val="级别6"/>
    <w:basedOn w:val="297"/>
    <w:qFormat/>
    <w:uiPriority w:val="0"/>
    <w:pPr>
      <w:tabs>
        <w:tab w:val="left" w:pos="405"/>
        <w:tab w:val="clear" w:pos="0"/>
      </w:tabs>
      <w:ind w:left="409" w:hanging="23"/>
      <w:outlineLvl w:val="5"/>
    </w:pPr>
  </w:style>
  <w:style w:type="paragraph" w:customStyle="1" w:styleId="313">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31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15">
    <w:name w:val="样式 标题 2标题 1.1head:2#2 headlinehheadlineS&amp;R2ERMH2Head 2 +..."/>
    <w:basedOn w:val="4"/>
    <w:qFormat/>
    <w:uiPriority w:val="0"/>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3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17">
    <w:name w:val="样式4"/>
    <w:basedOn w:val="1"/>
    <w:next w:val="4"/>
    <w:qFormat/>
    <w:uiPriority w:val="0"/>
    <w:pPr>
      <w:tabs>
        <w:tab w:val="left" w:pos="360"/>
      </w:tabs>
      <w:spacing w:line="360" w:lineRule="auto"/>
      <w:ind w:left="360" w:hanging="360"/>
    </w:pPr>
    <w:rPr>
      <w:rFonts w:ascii="宋体" w:hAnsi="宋体"/>
      <w:b/>
      <w:sz w:val="28"/>
      <w:szCs w:val="20"/>
    </w:rPr>
  </w:style>
  <w:style w:type="paragraph" w:customStyle="1" w:styleId="318">
    <w:name w:val="一"/>
    <w:basedOn w:val="3"/>
    <w:qFormat/>
    <w:uiPriority w:val="0"/>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319">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320">
    <w:name w:val="xl50"/>
    <w:basedOn w:val="1"/>
    <w:qFormat/>
    <w:uiPriority w:val="0"/>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1">
    <w:name w:val="font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22">
    <w:name w:val="xl49"/>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323">
    <w:name w:val="三点段 Char"/>
    <w:basedOn w:val="1"/>
    <w:qFormat/>
    <w:uiPriority w:val="0"/>
    <w:pPr>
      <w:spacing w:line="360" w:lineRule="auto"/>
      <w:ind w:left="1200" w:hanging="1200" w:hangingChars="500"/>
    </w:pPr>
    <w:rPr>
      <w:rFonts w:hint="eastAsia" w:ascii="宋体"/>
      <w:sz w:val="24"/>
    </w:rPr>
  </w:style>
  <w:style w:type="paragraph" w:customStyle="1" w:styleId="324">
    <w:name w:val="样式2"/>
    <w:basedOn w:val="1"/>
    <w:qFormat/>
    <w:uiPriority w:val="0"/>
    <w:pPr>
      <w:adjustRightInd w:val="0"/>
      <w:spacing w:before="120" w:after="120" w:line="312" w:lineRule="atLeast"/>
      <w:jc w:val="center"/>
      <w:textAlignment w:val="baseline"/>
    </w:pPr>
    <w:rPr>
      <w:kern w:val="0"/>
      <w:sz w:val="24"/>
      <w:szCs w:val="20"/>
    </w:rPr>
  </w:style>
  <w:style w:type="paragraph" w:customStyle="1" w:styleId="325">
    <w:name w:val="小标题一"/>
    <w:basedOn w:val="1"/>
    <w:next w:val="1"/>
    <w:qFormat/>
    <w:uiPriority w:val="0"/>
    <w:pPr>
      <w:tabs>
        <w:tab w:val="left" w:pos="1080"/>
      </w:tabs>
      <w:spacing w:line="500" w:lineRule="exact"/>
      <w:ind w:left="1080" w:hanging="1080"/>
    </w:pPr>
    <w:rPr>
      <w:sz w:val="28"/>
      <w:szCs w:val="20"/>
    </w:rPr>
  </w:style>
  <w:style w:type="paragraph" w:customStyle="1" w:styleId="326">
    <w:name w:val="Char"/>
    <w:basedOn w:val="1"/>
    <w:qFormat/>
    <w:uiPriority w:val="0"/>
    <w:rPr>
      <w:rFonts w:ascii="仿宋_GB2312" w:eastAsia="仿宋_GB2312"/>
      <w:b/>
      <w:sz w:val="32"/>
      <w:szCs w:val="32"/>
    </w:rPr>
  </w:style>
  <w:style w:type="paragraph" w:customStyle="1" w:styleId="327">
    <w:name w:val="文档正文"/>
    <w:basedOn w:val="1"/>
    <w:qFormat/>
    <w:uiPriority w:val="0"/>
    <w:pPr>
      <w:spacing w:line="360" w:lineRule="auto"/>
      <w:ind w:firstLine="200" w:firstLineChars="200"/>
    </w:pPr>
    <w:rPr>
      <w:rFonts w:ascii="宋体" w:hAnsi="宋体"/>
      <w:sz w:val="24"/>
    </w:rPr>
  </w:style>
  <w:style w:type="paragraph" w:customStyle="1" w:styleId="328">
    <w:name w:val="标题1"/>
    <w:basedOn w:val="3"/>
    <w:qFormat/>
    <w:uiPriority w:val="0"/>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bCs w:val="0"/>
      <w:sz w:val="28"/>
      <w:szCs w:val="20"/>
    </w:rPr>
  </w:style>
  <w:style w:type="paragraph" w:customStyle="1" w:styleId="329">
    <w:name w:val="合同书"/>
    <w:basedOn w:val="1"/>
    <w:qFormat/>
    <w:uiPriority w:val="0"/>
    <w:pPr>
      <w:spacing w:afterLines="100"/>
      <w:jc w:val="center"/>
    </w:pPr>
    <w:rPr>
      <w:rFonts w:hAnsi="宋体"/>
      <w:b/>
      <w:color w:val="000000"/>
      <w:sz w:val="44"/>
      <w:szCs w:val="44"/>
    </w:rPr>
  </w:style>
  <w:style w:type="paragraph" w:customStyle="1" w:styleId="330">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331">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332">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33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4">
    <w:name w:val="Char Char Char Char Char Char Char"/>
    <w:basedOn w:val="1"/>
    <w:qFormat/>
    <w:uiPriority w:val="0"/>
    <w:rPr>
      <w:rFonts w:ascii="仿宋_GB2312" w:eastAsia="仿宋_GB2312"/>
      <w:b/>
      <w:sz w:val="32"/>
      <w:szCs w:val="32"/>
    </w:rPr>
  </w:style>
  <w:style w:type="paragraph" w:customStyle="1" w:styleId="335">
    <w:name w:val="样式 目录 1 + 左侧:  3 字符"/>
    <w:basedOn w:val="50"/>
    <w:qFormat/>
    <w:uiPriority w:val="0"/>
    <w:pPr>
      <w:tabs>
        <w:tab w:val="left" w:pos="425"/>
        <w:tab w:val="left" w:pos="1680"/>
        <w:tab w:val="right" w:leader="dot" w:pos="8495"/>
        <w:tab w:val="right" w:pos="9060"/>
        <w:tab w:val="clear" w:pos="8778"/>
      </w:tabs>
      <w:snapToGrid/>
      <w:spacing w:line="240" w:lineRule="auto"/>
      <w:ind w:left="425" w:hanging="425"/>
    </w:pPr>
    <w:rPr>
      <w:bCs w:val="0"/>
      <w:iCs w:val="0"/>
      <w:caps w:val="0"/>
      <w:color w:val="7030A0"/>
      <w:kern w:val="2"/>
      <w:sz w:val="21"/>
      <w:szCs w:val="20"/>
    </w:rPr>
  </w:style>
  <w:style w:type="paragraph" w:customStyle="1" w:styleId="336">
    <w:name w:val="章节标题 BJ8"/>
    <w:basedOn w:val="172"/>
    <w:next w:val="172"/>
    <w:qFormat/>
    <w:uiPriority w:val="0"/>
    <w:pPr>
      <w:ind w:firstLine="0" w:firstLineChars="0"/>
      <w:jc w:val="center"/>
    </w:pPr>
    <w:rPr>
      <w:rFonts w:eastAsia="黑体"/>
      <w:b/>
      <w:sz w:val="44"/>
      <w:szCs w:val="84"/>
    </w:rPr>
  </w:style>
  <w:style w:type="paragraph" w:customStyle="1" w:styleId="337">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338">
    <w:name w:val="表格"/>
    <w:basedOn w:val="1"/>
    <w:qFormat/>
    <w:uiPriority w:val="0"/>
    <w:pPr>
      <w:widowControl/>
      <w:snapToGrid w:val="0"/>
      <w:spacing w:before="60" w:after="60"/>
      <w:jc w:val="left"/>
    </w:pPr>
    <w:rPr>
      <w:rFonts w:ascii="宋体"/>
      <w:sz w:val="20"/>
      <w:szCs w:val="20"/>
    </w:rPr>
  </w:style>
  <w:style w:type="paragraph" w:customStyle="1" w:styleId="339">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2">
    <w:name w:val="条文 表"/>
    <w:next w:val="1"/>
    <w:qFormat/>
    <w:uiPriority w:val="0"/>
    <w:pPr>
      <w:jc w:val="center"/>
    </w:pPr>
    <w:rPr>
      <w:rFonts w:ascii="Times New Roman" w:hAnsi="Times New Roman" w:eastAsia="黑体" w:cs="Times New Roman"/>
      <w:sz w:val="21"/>
      <w:lang w:val="en-US" w:eastAsia="zh-CN" w:bidi="ar-SA"/>
    </w:rPr>
  </w:style>
  <w:style w:type="paragraph" w:customStyle="1" w:styleId="343">
    <w:name w:val="大标题"/>
    <w:qFormat/>
    <w:uiPriority w:val="0"/>
    <w:pPr>
      <w:tabs>
        <w:tab w:val="left" w:pos="1134"/>
      </w:tabs>
      <w:snapToGrid w:val="0"/>
      <w:spacing w:before="240" w:after="240" w:line="288" w:lineRule="auto"/>
    </w:pPr>
    <w:rPr>
      <w:rFonts w:ascii="黑体" w:hAnsi="Times New Roman" w:eastAsia="黑体" w:cs="Times New Roman"/>
      <w:sz w:val="24"/>
      <w:lang w:val="en-US" w:eastAsia="zh-CN" w:bidi="ar-SA"/>
    </w:rPr>
  </w:style>
  <w:style w:type="paragraph" w:customStyle="1" w:styleId="344">
    <w:name w:val="重点"/>
    <w:basedOn w:val="1"/>
    <w:qFormat/>
    <w:uiPriority w:val="0"/>
    <w:pPr>
      <w:tabs>
        <w:tab w:val="left" w:pos="0"/>
        <w:tab w:val="left" w:pos="814"/>
      </w:tabs>
      <w:adjustRightInd w:val="0"/>
      <w:snapToGrid w:val="0"/>
      <w:spacing w:line="560" w:lineRule="atLeast"/>
      <w:ind w:left="737" w:hanging="283" w:firstLineChars="200"/>
      <w:jc w:val="left"/>
    </w:pPr>
    <w:rPr>
      <w:color w:val="7030A0"/>
      <w:kern w:val="24"/>
      <w:sz w:val="30"/>
      <w:szCs w:val="20"/>
    </w:rPr>
  </w:style>
  <w:style w:type="paragraph" w:customStyle="1" w:styleId="345">
    <w:name w:val="青岛正文"/>
    <w:basedOn w:val="1"/>
    <w:qFormat/>
    <w:uiPriority w:val="0"/>
    <w:pPr>
      <w:spacing w:line="360" w:lineRule="auto"/>
    </w:pPr>
    <w:rPr>
      <w:sz w:val="28"/>
    </w:rPr>
  </w:style>
  <w:style w:type="paragraph" w:customStyle="1" w:styleId="346">
    <w:name w:val="样式 样式 列表框 Char Char Char Char Char + 右侧:  -0.05 字符 段后: 0.5 行 + 右..."/>
    <w:basedOn w:val="347"/>
    <w:qFormat/>
    <w:uiPriority w:val="0"/>
    <w:pPr>
      <w:tabs>
        <w:tab w:val="left" w:pos="375"/>
        <w:tab w:val="left" w:pos="630"/>
      </w:tabs>
    </w:pPr>
  </w:style>
  <w:style w:type="paragraph" w:customStyle="1" w:styleId="347">
    <w:name w:val="样式 列表框 Char Char Char Char Char + 右侧:  -0.05 字符 段后: 0.5 行"/>
    <w:basedOn w:val="229"/>
    <w:qFormat/>
    <w:uiPriority w:val="0"/>
    <w:pPr>
      <w:tabs>
        <w:tab w:val="left" w:pos="375"/>
        <w:tab w:val="clear" w:pos="450"/>
        <w:tab w:val="clear" w:pos="874"/>
      </w:tabs>
      <w:ind w:left="0" w:firstLine="0"/>
    </w:pPr>
    <w:rPr>
      <w:szCs w:val="20"/>
    </w:rPr>
  </w:style>
  <w:style w:type="paragraph" w:customStyle="1" w:styleId="348">
    <w:name w:val="xl39"/>
    <w:basedOn w:val="1"/>
    <w:qFormat/>
    <w:uiPriority w:val="0"/>
    <w:pPr>
      <w:widowControl/>
      <w:pBdr>
        <w:top w:val="single" w:color="auto" w:sz="4" w:space="0"/>
        <w:bottom w:val="single" w:color="auto" w:sz="4" w:space="0"/>
      </w:pBdr>
      <w:spacing w:before="100" w:beforeAutospacing="1" w:after="100" w:afterAutospacing="1"/>
      <w:jc w:val="left"/>
    </w:pPr>
    <w:rPr>
      <w:kern w:val="0"/>
      <w:sz w:val="24"/>
    </w:rPr>
  </w:style>
  <w:style w:type="paragraph" w:customStyle="1" w:styleId="349">
    <w:name w:val="正文文本 21"/>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350">
    <w:name w:val="Report Heading"/>
    <w:basedOn w:val="1"/>
    <w:next w:val="1"/>
    <w:qFormat/>
    <w:uiPriority w:val="0"/>
    <w:pPr>
      <w:keepNext/>
      <w:widowControl/>
      <w:spacing w:before="120" w:after="138"/>
      <w:ind w:left="1080" w:firstLine="200" w:firstLineChars="200"/>
      <w:jc w:val="left"/>
    </w:pPr>
    <w:rPr>
      <w:rFonts w:ascii="Arial" w:hAnsi="Arial"/>
      <w:b/>
      <w:color w:val="7030A0"/>
      <w:kern w:val="0"/>
      <w:sz w:val="22"/>
      <w:szCs w:val="20"/>
      <w:lang w:val="en-GB"/>
    </w:rPr>
  </w:style>
  <w:style w:type="paragraph" w:customStyle="1" w:styleId="35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52">
    <w:name w:val="修订1"/>
    <w:qFormat/>
    <w:uiPriority w:val="0"/>
    <w:rPr>
      <w:rFonts w:ascii="Times New Roman" w:hAnsi="Times New Roman" w:eastAsia="宋体" w:cs="Times New Roman"/>
      <w:kern w:val="2"/>
      <w:sz w:val="21"/>
      <w:lang w:val="en-US" w:eastAsia="zh-CN" w:bidi="ar-SA"/>
    </w:rPr>
  </w:style>
  <w:style w:type="paragraph" w:customStyle="1" w:styleId="353">
    <w:name w:val="正文C"/>
    <w:qFormat/>
    <w:uiPriority w:val="0"/>
    <w:pPr>
      <w:widowControl w:val="0"/>
      <w:adjustRightInd w:val="0"/>
      <w:snapToGrid w:val="0"/>
      <w:spacing w:line="360" w:lineRule="auto"/>
      <w:ind w:right="31" w:rightChars="15" w:firstLine="420" w:firstLineChars="200"/>
      <w:jc w:val="both"/>
    </w:pPr>
    <w:rPr>
      <w:rFonts w:ascii="Times New Roman" w:hAnsi="Times New Roman" w:eastAsia="宋体" w:cs="宋体"/>
      <w:kern w:val="44"/>
      <w:sz w:val="24"/>
      <w:lang w:val="en-US" w:eastAsia="zh-CN" w:bidi="ar-SA"/>
    </w:rPr>
  </w:style>
  <w:style w:type="paragraph" w:customStyle="1" w:styleId="354">
    <w:name w:val="文档结构图2"/>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355">
    <w:name w:val="Char Char Char Char11"/>
    <w:basedOn w:val="1"/>
    <w:qFormat/>
    <w:uiPriority w:val="0"/>
    <w:pPr>
      <w:ind w:firstLine="200" w:firstLineChars="200"/>
      <w:jc w:val="left"/>
    </w:pPr>
    <w:rPr>
      <w:rFonts w:ascii="仿宋_GB2312" w:eastAsia="仿宋_GB2312"/>
      <w:b/>
      <w:color w:val="7030A0"/>
      <w:sz w:val="32"/>
      <w:szCs w:val="32"/>
    </w:rPr>
  </w:style>
  <w:style w:type="paragraph" w:customStyle="1" w:styleId="356">
    <w:name w:val="样式 标题 2标题 1.1编号标题2head:2#2 headlinehheadlineS&amp;R2ERMH2He..."/>
    <w:basedOn w:val="4"/>
    <w:qFormat/>
    <w:uiPriority w:val="0"/>
    <w:pPr>
      <w:keepNext w:val="0"/>
      <w:keepLines w:val="0"/>
      <w:spacing w:before="120" w:after="120" w:line="500" w:lineRule="exact"/>
      <w:jc w:val="left"/>
    </w:pPr>
    <w:rPr>
      <w:rFonts w:cs="宋体"/>
      <w:color w:val="C00000"/>
      <w:kern w:val="44"/>
      <w:sz w:val="28"/>
      <w:szCs w:val="20"/>
    </w:rPr>
  </w:style>
  <w:style w:type="paragraph" w:customStyle="1" w:styleId="357">
    <w:name w:val="章节标题 QD3"/>
    <w:basedOn w:val="170"/>
    <w:next w:val="170"/>
    <w:qFormat/>
    <w:uiPriority w:val="0"/>
    <w:pPr>
      <w:ind w:firstLine="0" w:firstLineChars="0"/>
      <w:jc w:val="center"/>
    </w:pPr>
    <w:rPr>
      <w:rFonts w:eastAsia="黑体"/>
      <w:b/>
      <w:sz w:val="44"/>
      <w:szCs w:val="84"/>
    </w:rPr>
  </w:style>
  <w:style w:type="paragraph" w:customStyle="1" w:styleId="358">
    <w:name w:val="Char2"/>
    <w:basedOn w:val="1"/>
    <w:qFormat/>
    <w:uiPriority w:val="0"/>
    <w:pPr>
      <w:widowControl/>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9">
    <w:name w:val="xiao b"/>
    <w:basedOn w:val="1"/>
    <w:qFormat/>
    <w:uiPriority w:val="0"/>
    <w:pPr>
      <w:ind w:firstLine="200" w:firstLineChars="200"/>
      <w:jc w:val="center"/>
    </w:pPr>
    <w:rPr>
      <w:rFonts w:eastAsia="黑体"/>
      <w:color w:val="7030A0"/>
      <w:sz w:val="24"/>
      <w:szCs w:val="20"/>
    </w:rPr>
  </w:style>
  <w:style w:type="paragraph" w:customStyle="1" w:styleId="360">
    <w:name w:val="样式 标题 4 + 加粗"/>
    <w:basedOn w:val="6"/>
    <w:qFormat/>
    <w:uiPriority w:val="0"/>
    <w:pPr>
      <w:keepNext w:val="0"/>
      <w:keepLines w:val="0"/>
      <w:spacing w:before="120" w:after="0" w:line="240" w:lineRule="auto"/>
      <w:jc w:val="left"/>
    </w:pPr>
    <w:rPr>
      <w:rFonts w:ascii="Times New Roman" w:hAnsi="Times New Roman"/>
      <w:b w:val="0"/>
      <w:color w:val="00B050"/>
      <w:sz w:val="24"/>
    </w:rPr>
  </w:style>
  <w:style w:type="paragraph" w:customStyle="1" w:styleId="361">
    <w:name w:val="Plain Text1"/>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2">
    <w:name w:val="Char Char Char Char1"/>
    <w:basedOn w:val="1"/>
    <w:qFormat/>
    <w:uiPriority w:val="0"/>
    <w:pPr>
      <w:ind w:firstLine="200" w:firstLineChars="200"/>
      <w:jc w:val="left"/>
    </w:pPr>
    <w:rPr>
      <w:rFonts w:ascii="仿宋_GB2312" w:eastAsia="仿宋_GB2312"/>
      <w:b/>
      <w:color w:val="7030A0"/>
      <w:sz w:val="32"/>
      <w:szCs w:val="32"/>
    </w:rPr>
  </w:style>
  <w:style w:type="paragraph" w:customStyle="1" w:styleId="363">
    <w:name w:val="Plain Text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364">
    <w:name w:val="正文2"/>
    <w:basedOn w:val="29"/>
    <w:qFormat/>
    <w:uiPriority w:val="0"/>
    <w:pPr>
      <w:ind w:firstLine="480" w:firstLineChars="200"/>
      <w:jc w:val="left"/>
    </w:pPr>
    <w:rPr>
      <w:rFonts w:ascii="宋体"/>
      <w:color w:val="7030A0"/>
      <w:szCs w:val="24"/>
    </w:rPr>
  </w:style>
  <w:style w:type="paragraph" w:customStyle="1" w:styleId="365">
    <w:name w:val="列表框1"/>
    <w:basedOn w:val="301"/>
    <w:next w:val="301"/>
    <w:qFormat/>
    <w:uiPriority w:val="0"/>
    <w:pPr>
      <w:tabs>
        <w:tab w:val="left" w:pos="960"/>
        <w:tab w:val="left" w:pos="1314"/>
      </w:tabs>
      <w:snapToGrid w:val="0"/>
      <w:ind w:left="1328" w:leftChars="397" w:hanging="375" w:hangingChars="163"/>
    </w:pPr>
    <w:rPr>
      <w:rFonts w:cs="Arial"/>
    </w:rPr>
  </w:style>
  <w:style w:type="paragraph" w:customStyle="1" w:styleId="366">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367">
    <w:name w:val="五级"/>
    <w:basedOn w:val="4"/>
    <w:qFormat/>
    <w:uiPriority w:val="0"/>
    <w:pPr>
      <w:keepNext w:val="0"/>
      <w:keepLines w:val="0"/>
      <w:tabs>
        <w:tab w:val="left" w:pos="851"/>
      </w:tabs>
      <w:spacing w:before="0" w:after="0" w:line="360" w:lineRule="auto"/>
      <w:ind w:left="851" w:hanging="851"/>
      <w:jc w:val="left"/>
    </w:pPr>
    <w:rPr>
      <w:rFonts w:ascii="宋体" w:hAnsi="宋体" w:eastAsia="宋体"/>
      <w:b w:val="0"/>
      <w:color w:val="C00000"/>
      <w:sz w:val="24"/>
    </w:rPr>
  </w:style>
  <w:style w:type="paragraph" w:customStyle="1" w:styleId="368">
    <w:name w:val="1."/>
    <w:basedOn w:val="1"/>
    <w:qFormat/>
    <w:uiPriority w:val="0"/>
    <w:pPr>
      <w:tabs>
        <w:tab w:val="left" w:pos="0"/>
        <w:tab w:val="left" w:pos="426"/>
      </w:tabs>
      <w:adjustRightInd w:val="0"/>
      <w:spacing w:before="60" w:after="60" w:line="360" w:lineRule="atLeast"/>
      <w:ind w:left="426" w:hanging="426" w:firstLineChars="200"/>
      <w:jc w:val="left"/>
      <w:textAlignment w:val="baseline"/>
    </w:pPr>
    <w:rPr>
      <w:rFonts w:ascii="Arial" w:hAnsi="Arial"/>
      <w:color w:val="7030A0"/>
      <w:kern w:val="0"/>
      <w:szCs w:val="20"/>
    </w:rPr>
  </w:style>
  <w:style w:type="paragraph" w:customStyle="1" w:styleId="369">
    <w:name w:val="xl57"/>
    <w:basedOn w:val="1"/>
    <w:qFormat/>
    <w:uiPriority w:val="0"/>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0">
    <w:name w:val="正文点缩进"/>
    <w:basedOn w:val="1"/>
    <w:qFormat/>
    <w:uiPriority w:val="0"/>
    <w:pPr>
      <w:widowControl/>
      <w:tabs>
        <w:tab w:val="left" w:pos="1758"/>
      </w:tabs>
      <w:snapToGrid w:val="0"/>
      <w:spacing w:after="60" w:line="288" w:lineRule="auto"/>
      <w:ind w:firstLine="200" w:firstLineChars="200"/>
      <w:jc w:val="left"/>
    </w:pPr>
    <w:rPr>
      <w:rFonts w:ascii="宋体"/>
      <w:color w:val="7030A0"/>
      <w:sz w:val="22"/>
      <w:szCs w:val="20"/>
      <w:shd w:val="clear" w:color="auto" w:fill="FFFFFF"/>
    </w:rPr>
  </w:style>
  <w:style w:type="paragraph" w:customStyle="1" w:styleId="371">
    <w:name w:val="xl41"/>
    <w:basedOn w:val="1"/>
    <w:qFormat/>
    <w:uiPriority w:val="0"/>
    <w:pPr>
      <w:widowControl/>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372">
    <w:name w:val="样式 左侧:  2 字符 首行缩进:  0.85 厘米"/>
    <w:basedOn w:val="1"/>
    <w:qFormat/>
    <w:uiPriority w:val="0"/>
    <w:pPr>
      <w:adjustRightInd w:val="0"/>
      <w:snapToGrid w:val="0"/>
      <w:spacing w:line="360" w:lineRule="auto"/>
      <w:ind w:firstLine="425" w:firstLineChars="200"/>
      <w:jc w:val="left"/>
    </w:pPr>
    <w:rPr>
      <w:rFonts w:ascii="宋体" w:hAnsi="宋体" w:cs="宋体"/>
      <w:color w:val="7030A0"/>
      <w:szCs w:val="20"/>
    </w:rPr>
  </w:style>
  <w:style w:type="paragraph" w:customStyle="1" w:styleId="373">
    <w:name w:val="xl55"/>
    <w:basedOn w:val="1"/>
    <w:qFormat/>
    <w:uiPriority w:val="0"/>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74">
    <w:name w:val="Char Char Char Char Char Char Char Char"/>
    <w:basedOn w:val="1"/>
    <w:qFormat/>
    <w:uiPriority w:val="0"/>
    <w:pPr>
      <w:ind w:firstLine="200" w:firstLineChars="200"/>
      <w:jc w:val="left"/>
    </w:pPr>
    <w:rPr>
      <w:rFonts w:ascii="Tahoma" w:hAnsi="Tahoma"/>
      <w:color w:val="7030A0"/>
      <w:sz w:val="24"/>
      <w:szCs w:val="20"/>
    </w:rPr>
  </w:style>
  <w:style w:type="paragraph" w:customStyle="1" w:styleId="375">
    <w:name w:val="StandardOhneEinzug"/>
    <w:basedOn w:val="1"/>
    <w:qFormat/>
    <w:uiPriority w:val="0"/>
    <w:pPr>
      <w:widowControl/>
      <w:tabs>
        <w:tab w:val="left" w:pos="560"/>
      </w:tabs>
      <w:spacing w:after="240" w:line="288" w:lineRule="auto"/>
      <w:ind w:left="200" w:firstLine="200" w:firstLineChars="200"/>
      <w:jc w:val="left"/>
    </w:pPr>
    <w:rPr>
      <w:rFonts w:ascii="Arial" w:hAnsi="Arial"/>
      <w:color w:val="7030A0"/>
      <w:kern w:val="0"/>
      <w:sz w:val="22"/>
      <w:szCs w:val="20"/>
      <w:lang w:val="de-DE"/>
    </w:rPr>
  </w:style>
  <w:style w:type="paragraph" w:customStyle="1" w:styleId="376">
    <w:name w:val="投标正文"/>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77">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378">
    <w:name w:val="标书正文"/>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79">
    <w:name w:val="xl44"/>
    <w:basedOn w:val="1"/>
    <w:qFormat/>
    <w:uiPriority w:val="0"/>
    <w:pPr>
      <w:widowControl/>
      <w:pBdr>
        <w:right w:val="single" w:color="auto" w:sz="4" w:space="0"/>
      </w:pBdr>
      <w:spacing w:before="100" w:after="100"/>
      <w:ind w:firstLine="200" w:firstLineChars="200"/>
      <w:jc w:val="center"/>
    </w:pPr>
    <w:rPr>
      <w:rFonts w:ascii="宋体" w:hAnsi="宋体"/>
      <w:color w:val="7030A0"/>
      <w:kern w:val="0"/>
      <w:sz w:val="24"/>
      <w:szCs w:val="20"/>
    </w:rPr>
  </w:style>
  <w:style w:type="paragraph" w:customStyle="1" w:styleId="380">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2">
    <w:name w:val="xl46"/>
    <w:basedOn w:val="1"/>
    <w:qFormat/>
    <w:uiPriority w:val="0"/>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3">
    <w:name w:val="xl48"/>
    <w:basedOn w:val="1"/>
    <w:qFormat/>
    <w:uiPriority w:val="0"/>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szCs w:val="20"/>
    </w:rPr>
  </w:style>
  <w:style w:type="paragraph" w:customStyle="1" w:styleId="385">
    <w:name w:val="样式 目录 1"/>
    <w:basedOn w:val="50"/>
    <w:qFormat/>
    <w:uiPriority w:val="0"/>
    <w:pPr>
      <w:tabs>
        <w:tab w:val="left" w:pos="420"/>
        <w:tab w:val="left" w:pos="525"/>
        <w:tab w:val="left" w:pos="1680"/>
        <w:tab w:val="right" w:leader="dot" w:pos="8495"/>
        <w:tab w:val="right" w:pos="9060"/>
        <w:tab w:val="clear" w:pos="8778"/>
      </w:tabs>
      <w:snapToGrid/>
      <w:spacing w:line="240" w:lineRule="auto"/>
      <w:ind w:left="525" w:hanging="425"/>
    </w:pPr>
    <w:rPr>
      <w:bCs w:val="0"/>
      <w:iCs w:val="0"/>
      <w:caps w:val="0"/>
      <w:color w:val="7030A0"/>
      <w:kern w:val="2"/>
      <w:sz w:val="21"/>
      <w:szCs w:val="20"/>
    </w:rPr>
  </w:style>
  <w:style w:type="paragraph" w:customStyle="1" w:styleId="386">
    <w:name w:val="A-12"/>
    <w:basedOn w:val="1"/>
    <w:qFormat/>
    <w:uiPriority w:val="0"/>
    <w:pPr>
      <w:widowControl/>
      <w:ind w:firstLine="200" w:firstLineChars="200"/>
      <w:jc w:val="left"/>
    </w:pPr>
    <w:rPr>
      <w:rFonts w:ascii="Arial" w:hAnsi="Arial"/>
      <w:color w:val="7030A0"/>
      <w:kern w:val="0"/>
      <w:sz w:val="24"/>
      <w:szCs w:val="20"/>
      <w:lang w:val="en-GB"/>
    </w:rPr>
  </w:style>
  <w:style w:type="paragraph" w:customStyle="1" w:styleId="387">
    <w:name w:val="样式 样式 样式 宋体 小四 左侧:  1.85 厘米 段前: 11.15 磅 段后: 11.15 磅 + 图案: 清除 (白色..."/>
    <w:basedOn w:val="281"/>
    <w:qFormat/>
    <w:uiPriority w:val="0"/>
    <w:pPr>
      <w:spacing w:beforeLines="50" w:afterLines="50"/>
      <w:ind w:left="318"/>
    </w:pPr>
    <w:rPr>
      <w:szCs w:val="20"/>
    </w:rPr>
  </w:style>
  <w:style w:type="paragraph" w:customStyle="1" w:styleId="388">
    <w:name w:val="无间隔1"/>
    <w:qFormat/>
    <w:uiPriority w:val="1"/>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89">
    <w:name w:val="正文文本缩进 32"/>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390">
    <w:name w:val="一级条标题"/>
    <w:basedOn w:val="1"/>
    <w:next w:val="1"/>
    <w:qFormat/>
    <w:uiPriority w:val="0"/>
    <w:pPr>
      <w:widowControl/>
      <w:tabs>
        <w:tab w:val="left" w:pos="425"/>
        <w:tab w:val="left" w:pos="525"/>
      </w:tabs>
      <w:ind w:left="425" w:hanging="425" w:firstLineChars="200"/>
      <w:jc w:val="left"/>
      <w:outlineLvl w:val="2"/>
    </w:pPr>
    <w:rPr>
      <w:rFonts w:ascii="黑体" w:eastAsia="黑体"/>
      <w:color w:val="7030A0"/>
      <w:kern w:val="0"/>
      <w:szCs w:val="20"/>
    </w:rPr>
  </w:style>
  <w:style w:type="paragraph" w:customStyle="1" w:styleId="391">
    <w:name w:val="样式 样式 正文（首行缩进两字） + 宋体 小四 首行缩进:  0 厘米 段前: 11.15 磅 段后: 11.15 磅 + 左...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92">
    <w:name w:val="Char Char Char Char Char Char Char Char1"/>
    <w:basedOn w:val="1"/>
    <w:qFormat/>
    <w:uiPriority w:val="0"/>
    <w:pPr>
      <w:ind w:firstLine="200" w:firstLineChars="200"/>
      <w:jc w:val="left"/>
    </w:pPr>
    <w:rPr>
      <w:rFonts w:ascii="Tahoma" w:hAnsi="Tahoma"/>
      <w:color w:val="7030A0"/>
      <w:sz w:val="24"/>
      <w:szCs w:val="20"/>
    </w:rPr>
  </w:style>
  <w:style w:type="paragraph" w:customStyle="1" w:styleId="393">
    <w:name w:val="三级条标题"/>
    <w:basedOn w:val="394"/>
    <w:next w:val="1"/>
    <w:qFormat/>
    <w:uiPriority w:val="0"/>
    <w:pPr>
      <w:tabs>
        <w:tab w:val="left" w:pos="425"/>
      </w:tabs>
      <w:outlineLvl w:val="4"/>
    </w:pPr>
  </w:style>
  <w:style w:type="paragraph" w:customStyle="1" w:styleId="394">
    <w:name w:val="二级条标题"/>
    <w:basedOn w:val="390"/>
    <w:next w:val="1"/>
    <w:qFormat/>
    <w:uiPriority w:val="0"/>
    <w:pPr>
      <w:tabs>
        <w:tab w:val="clear" w:pos="525"/>
      </w:tabs>
      <w:ind w:firstLine="0" w:firstLineChars="0"/>
      <w:outlineLvl w:val="3"/>
    </w:pPr>
  </w:style>
  <w:style w:type="paragraph" w:customStyle="1" w:styleId="395">
    <w:name w:val="样式 宋体 小四 左 图案: 清除 (白色) 行距: 1.5 倍行距"/>
    <w:basedOn w:val="1"/>
    <w:qFormat/>
    <w:uiPriority w:val="0"/>
    <w:pPr>
      <w:tabs>
        <w:tab w:val="left" w:pos="840"/>
      </w:tabs>
      <w:spacing w:beforeLines="50" w:afterLines="50"/>
      <w:ind w:firstLine="200" w:firstLineChars="200"/>
      <w:jc w:val="left"/>
    </w:pPr>
    <w:rPr>
      <w:rFonts w:ascii="宋体" w:hAnsi="宋体"/>
      <w:color w:val="7030A0"/>
      <w:sz w:val="24"/>
      <w:szCs w:val="20"/>
      <w:shd w:val="clear" w:color="auto" w:fill="FFFFFF"/>
    </w:rPr>
  </w:style>
  <w:style w:type="paragraph" w:customStyle="1" w:styleId="396">
    <w:name w:val="四级条标题"/>
    <w:basedOn w:val="393"/>
    <w:next w:val="1"/>
    <w:qFormat/>
    <w:uiPriority w:val="0"/>
    <w:pPr>
      <w:outlineLvl w:val="5"/>
    </w:pPr>
  </w:style>
  <w:style w:type="paragraph" w:customStyle="1" w:styleId="397">
    <w:name w:val="六级标题格式"/>
    <w:basedOn w:val="1"/>
    <w:qFormat/>
    <w:uiPriority w:val="0"/>
    <w:pPr>
      <w:spacing w:afterLines="50" w:line="336" w:lineRule="auto"/>
      <w:ind w:firstLine="200" w:firstLineChars="200"/>
      <w:jc w:val="left"/>
      <w:outlineLvl w:val="5"/>
    </w:pPr>
    <w:rPr>
      <w:color w:val="7030A0"/>
      <w:sz w:val="24"/>
    </w:rPr>
  </w:style>
  <w:style w:type="paragraph" w:customStyle="1" w:styleId="398">
    <w:name w:val="附图 BJ15"/>
    <w:basedOn w:val="1"/>
    <w:qFormat/>
    <w:uiPriority w:val="0"/>
    <w:pPr>
      <w:adjustRightInd w:val="0"/>
      <w:snapToGrid w:val="0"/>
      <w:ind w:firstLine="200" w:firstLineChars="200"/>
      <w:jc w:val="center"/>
    </w:pPr>
    <w:rPr>
      <w:rFonts w:hAnsi="Arial"/>
      <w:color w:val="7030A0"/>
      <w:kern w:val="0"/>
    </w:rPr>
  </w:style>
  <w:style w:type="paragraph" w:customStyle="1" w:styleId="399">
    <w:name w:val="正文文本缩进 31"/>
    <w:basedOn w:val="1"/>
    <w:qFormat/>
    <w:uiPriority w:val="0"/>
    <w:pPr>
      <w:autoSpaceDE w:val="0"/>
      <w:autoSpaceDN w:val="0"/>
      <w:adjustRightInd w:val="0"/>
      <w:ind w:firstLine="525" w:firstLineChars="200"/>
      <w:jc w:val="left"/>
      <w:textAlignment w:val="baseline"/>
    </w:pPr>
    <w:rPr>
      <w:color w:val="7030A0"/>
      <w:sz w:val="24"/>
      <w:szCs w:val="20"/>
    </w:rPr>
  </w:style>
  <w:style w:type="paragraph" w:customStyle="1" w:styleId="400">
    <w:name w:val="TOC 标题1"/>
    <w:basedOn w:val="3"/>
    <w:next w:val="1"/>
    <w:qFormat/>
    <w:uiPriority w:val="0"/>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401">
    <w:name w:val="Report Level 2"/>
    <w:basedOn w:val="291"/>
    <w:next w:val="292"/>
    <w:qFormat/>
    <w:uiPriority w:val="0"/>
    <w:pPr>
      <w:tabs>
        <w:tab w:val="left" w:pos="1500"/>
        <w:tab w:val="clear" w:pos="1080"/>
      </w:tabs>
      <w:ind w:left="1500"/>
      <w:outlineLvl w:val="1"/>
    </w:pPr>
    <w:rPr>
      <w:caps w:val="0"/>
    </w:rPr>
  </w:style>
  <w:style w:type="paragraph" w:customStyle="1" w:styleId="402">
    <w:name w:val="Report Level 3"/>
    <w:basedOn w:val="291"/>
    <w:next w:val="292"/>
    <w:qFormat/>
    <w:uiPriority w:val="0"/>
    <w:pPr>
      <w:tabs>
        <w:tab w:val="left" w:pos="1889"/>
        <w:tab w:val="clear" w:pos="1080"/>
      </w:tabs>
      <w:spacing w:before="120"/>
      <w:ind w:left="1889" w:hanging="420"/>
      <w:outlineLvl w:val="2"/>
    </w:pPr>
    <w:rPr>
      <w:caps w:val="0"/>
      <w:sz w:val="20"/>
    </w:rPr>
  </w:style>
  <w:style w:type="paragraph" w:customStyle="1" w:styleId="403">
    <w:name w:val="Report Level 4"/>
    <w:basedOn w:val="402"/>
    <w:next w:val="292"/>
    <w:qFormat/>
    <w:uiPriority w:val="0"/>
    <w:pPr>
      <w:tabs>
        <w:tab w:val="left" w:pos="720"/>
        <w:tab w:val="left" w:pos="2309"/>
        <w:tab w:val="clear" w:pos="1889"/>
      </w:tabs>
      <w:ind w:left="720" w:hanging="720"/>
      <w:outlineLvl w:val="3"/>
    </w:pPr>
    <w:rPr>
      <w:rFonts w:ascii="Times New Roman" w:hAnsi="Times New Roman"/>
    </w:rPr>
  </w:style>
  <w:style w:type="paragraph" w:customStyle="1" w:styleId="404">
    <w:name w:val="样式3"/>
    <w:basedOn w:val="5"/>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405">
    <w:name w:val="小标4"/>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06">
    <w:name w:val="样式 标题2 1.1 + 段前: 0 磅 段后: 0 磅"/>
    <w:basedOn w:val="1"/>
    <w:qFormat/>
    <w:uiPriority w:val="0"/>
    <w:pPr>
      <w:keepNext/>
      <w:tabs>
        <w:tab w:val="left" w:pos="567"/>
      </w:tabs>
      <w:spacing w:line="480" w:lineRule="atLeast"/>
      <w:ind w:left="567" w:hanging="567" w:firstLineChars="200"/>
      <w:jc w:val="left"/>
      <w:outlineLvl w:val="1"/>
    </w:pPr>
    <w:rPr>
      <w:color w:val="7030A0"/>
      <w:sz w:val="28"/>
      <w:szCs w:val="20"/>
    </w:rPr>
  </w:style>
  <w:style w:type="paragraph" w:customStyle="1" w:styleId="407">
    <w:name w:val="表格文字格式"/>
    <w:basedOn w:val="1"/>
    <w:qFormat/>
    <w:uiPriority w:val="0"/>
    <w:pPr>
      <w:snapToGrid w:val="0"/>
      <w:jc w:val="center"/>
    </w:pPr>
    <w:rPr>
      <w:rFonts w:cs="宋体"/>
      <w:szCs w:val="20"/>
    </w:rPr>
  </w:style>
  <w:style w:type="paragraph" w:customStyle="1" w:styleId="408">
    <w:name w:val="正文文本 22"/>
    <w:basedOn w:val="1"/>
    <w:qFormat/>
    <w:uiPriority w:val="0"/>
    <w:pPr>
      <w:autoSpaceDE w:val="0"/>
      <w:autoSpaceDN w:val="0"/>
      <w:adjustRightInd w:val="0"/>
      <w:ind w:left="525" w:firstLine="525" w:firstLineChars="200"/>
      <w:jc w:val="left"/>
      <w:textAlignment w:val="baseline"/>
    </w:pPr>
    <w:rPr>
      <w:color w:val="7030A0"/>
      <w:szCs w:val="20"/>
    </w:rPr>
  </w:style>
  <w:style w:type="paragraph" w:customStyle="1" w:styleId="409">
    <w:name w:val="样式 宋体 小四 首行缩进:  0.93 厘米 段前: 11.15 磅 段后: 11.15 磅1 Char"/>
    <w:basedOn w:val="1"/>
    <w:qFormat/>
    <w:uiPriority w:val="0"/>
    <w:pPr>
      <w:adjustRightInd w:val="0"/>
      <w:snapToGrid w:val="0"/>
      <w:ind w:left="200" w:leftChars="200" w:firstLine="200" w:firstLineChars="200"/>
      <w:jc w:val="left"/>
    </w:pPr>
    <w:rPr>
      <w:rFonts w:ascii="宋体"/>
      <w:color w:val="7030A0"/>
      <w:sz w:val="24"/>
      <w:szCs w:val="20"/>
    </w:rPr>
  </w:style>
  <w:style w:type="paragraph" w:customStyle="1" w:styleId="410">
    <w:name w:val="五级条标题"/>
    <w:basedOn w:val="396"/>
    <w:next w:val="1"/>
    <w:qFormat/>
    <w:uiPriority w:val="0"/>
    <w:pPr>
      <w:outlineLvl w:val="6"/>
    </w:pPr>
  </w:style>
  <w:style w:type="paragraph" w:customStyle="1" w:styleId="411">
    <w:name w:val="文档结构图1"/>
    <w:basedOn w:val="1"/>
    <w:qFormat/>
    <w:uiPriority w:val="0"/>
    <w:pPr>
      <w:shd w:val="clear" w:color="auto" w:fill="000080"/>
      <w:autoSpaceDE w:val="0"/>
      <w:autoSpaceDN w:val="0"/>
      <w:adjustRightInd w:val="0"/>
      <w:ind w:firstLine="200" w:firstLineChars="200"/>
      <w:jc w:val="left"/>
      <w:textAlignment w:val="baseline"/>
    </w:pPr>
    <w:rPr>
      <w:color w:val="7030A0"/>
      <w:szCs w:val="20"/>
    </w:rPr>
  </w:style>
  <w:style w:type="paragraph" w:customStyle="1" w:styleId="412">
    <w:name w:val="註解方塊文字2"/>
    <w:basedOn w:val="1"/>
    <w:semiHidden/>
    <w:qFormat/>
    <w:uiPriority w:val="0"/>
    <w:rPr>
      <w:rFonts w:ascii="Arial" w:hAnsi="Arial" w:eastAsia="PMingLiU"/>
      <w:color w:val="7030A0"/>
      <w:sz w:val="18"/>
      <w:szCs w:val="18"/>
    </w:rPr>
  </w:style>
  <w:style w:type="paragraph" w:customStyle="1" w:styleId="413">
    <w:name w:val="正文文本缩进 22"/>
    <w:basedOn w:val="1"/>
    <w:qFormat/>
    <w:uiPriority w:val="0"/>
    <w:pPr>
      <w:autoSpaceDE w:val="0"/>
      <w:autoSpaceDN w:val="0"/>
      <w:adjustRightInd w:val="0"/>
      <w:ind w:firstLine="420" w:firstLineChars="200"/>
      <w:jc w:val="left"/>
      <w:textAlignment w:val="baseline"/>
    </w:pPr>
    <w:rPr>
      <w:color w:val="7030A0"/>
      <w:szCs w:val="20"/>
    </w:rPr>
  </w:style>
  <w:style w:type="paragraph" w:customStyle="1" w:styleId="414">
    <w:name w:val="纯文本2"/>
    <w:basedOn w:val="1"/>
    <w:qFormat/>
    <w:uiPriority w:val="0"/>
    <w:pPr>
      <w:adjustRightInd w:val="0"/>
      <w:spacing w:line="312" w:lineRule="atLeast"/>
      <w:ind w:firstLine="200" w:firstLineChars="200"/>
      <w:jc w:val="left"/>
      <w:textAlignment w:val="baseline"/>
    </w:pPr>
    <w:rPr>
      <w:rFonts w:ascii="宋体" w:hAnsi="Courier New"/>
      <w:color w:val="7030A0"/>
      <w:kern w:val="0"/>
      <w:sz w:val="28"/>
      <w:szCs w:val="20"/>
    </w:rPr>
  </w:style>
  <w:style w:type="paragraph" w:customStyle="1" w:styleId="415">
    <w:name w:val="三级标题格式"/>
    <w:basedOn w:val="5"/>
    <w:qFormat/>
    <w:uiPriority w:val="0"/>
    <w:pPr>
      <w:keepNext w:val="0"/>
      <w:keepLines w:val="0"/>
      <w:spacing w:before="0" w:afterLines="100" w:line="240" w:lineRule="auto"/>
      <w:jc w:val="left"/>
    </w:pPr>
    <w:rPr>
      <w:rFonts w:eastAsia="黑体"/>
      <w:b w:val="0"/>
      <w:sz w:val="28"/>
      <w:szCs w:val="28"/>
    </w:rPr>
  </w:style>
  <w:style w:type="table" w:customStyle="1" w:styleId="416">
    <w:name w:val="样式-表格"/>
    <w:basedOn w:val="73"/>
    <w:qFormat/>
    <w:uiPriority w:val="0"/>
    <w:rPr>
      <w:sz w:val="21"/>
    </w:rPr>
    <w:tblPr>
      <w:jc w:val="center"/>
    </w:tblPr>
    <w:trPr>
      <w:jc w:val="center"/>
    </w:trPr>
    <w:tcPr>
      <w:vAlign w:val="center"/>
    </w:tcPr>
  </w:style>
  <w:style w:type="character" w:customStyle="1" w:styleId="417">
    <w:name w:val="正文缩进 Char Char"/>
    <w:link w:val="418"/>
    <w:qFormat/>
    <w:uiPriority w:val="99"/>
    <w:rPr>
      <w:kern w:val="2"/>
      <w:sz w:val="21"/>
      <w:szCs w:val="24"/>
    </w:rPr>
  </w:style>
  <w:style w:type="paragraph" w:customStyle="1" w:styleId="418">
    <w:name w:val="正文缩进1"/>
    <w:basedOn w:val="1"/>
    <w:link w:val="417"/>
    <w:qFormat/>
    <w:uiPriority w:val="99"/>
    <w:pPr>
      <w:spacing w:line="360" w:lineRule="auto"/>
      <w:ind w:firstLine="420"/>
    </w:pPr>
  </w:style>
  <w:style w:type="paragraph" w:customStyle="1" w:styleId="419">
    <w:name w:val="图文"/>
    <w:basedOn w:val="1"/>
    <w:qFormat/>
    <w:uiPriority w:val="0"/>
    <w:pPr>
      <w:adjustRightInd w:val="0"/>
      <w:snapToGrid w:val="0"/>
      <w:spacing w:after="50" w:line="360" w:lineRule="auto"/>
    </w:pPr>
    <w:rPr>
      <w:sz w:val="24"/>
    </w:rPr>
  </w:style>
  <w:style w:type="paragraph" w:styleId="420">
    <w:name w:val="List Paragraph"/>
    <w:basedOn w:val="1"/>
    <w:unhideWhenUsed/>
    <w:qFormat/>
    <w:uiPriority w:val="1"/>
    <w:pPr>
      <w:ind w:firstLine="420" w:firstLineChars="200"/>
    </w:pPr>
  </w:style>
  <w:style w:type="character" w:customStyle="1" w:styleId="421">
    <w:name w:val="Char Char"/>
    <w:basedOn w:val="75"/>
    <w:qFormat/>
    <w:uiPriority w:val="0"/>
    <w:rPr>
      <w:rFonts w:ascii="Arial" w:hAnsi="Arial" w:eastAsia="黑体"/>
      <w:b/>
      <w:bCs/>
      <w:kern w:val="2"/>
      <w:sz w:val="32"/>
      <w:szCs w:val="32"/>
      <w:lang w:val="en-US" w:eastAsia="zh-CN" w:bidi="ar-SA"/>
    </w:rPr>
  </w:style>
  <w:style w:type="character" w:customStyle="1" w:styleId="422">
    <w:name w:val="font161"/>
    <w:basedOn w:val="75"/>
    <w:qFormat/>
    <w:uiPriority w:val="0"/>
    <w:rPr>
      <w:b/>
      <w:bCs/>
      <w:sz w:val="32"/>
      <w:szCs w:val="32"/>
    </w:rPr>
  </w:style>
  <w:style w:type="character" w:customStyle="1" w:styleId="423">
    <w:name w:val="Char Char7"/>
    <w:basedOn w:val="75"/>
    <w:qFormat/>
    <w:uiPriority w:val="0"/>
    <w:rPr>
      <w:rFonts w:ascii="Arial" w:hAnsi="Arial" w:eastAsia="黑体"/>
      <w:b/>
      <w:bCs/>
      <w:kern w:val="2"/>
      <w:sz w:val="32"/>
      <w:szCs w:val="32"/>
      <w:lang w:val="en-US" w:eastAsia="zh-CN" w:bidi="ar-SA"/>
    </w:rPr>
  </w:style>
  <w:style w:type="paragraph" w:customStyle="1" w:styleId="42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25">
    <w:name w:val="样式 标题 1 + 黑体 三号 非加粗 居中 段前: 6 磅 段后: 6 磅 行距: 固定值 20 磅"/>
    <w:basedOn w:val="3"/>
    <w:qFormat/>
    <w:uiPriority w:val="0"/>
    <w:pPr>
      <w:tabs>
        <w:tab w:val="clear" w:pos="1440"/>
      </w:tabs>
      <w:spacing w:before="120" w:after="120" w:line="400" w:lineRule="exact"/>
      <w:ind w:left="0" w:firstLine="0"/>
      <w:jc w:val="center"/>
    </w:pPr>
    <w:rPr>
      <w:rFonts w:ascii="黑体" w:hAnsi="黑体" w:eastAsia="黑体" w:cs="宋体"/>
      <w:b w:val="0"/>
      <w:bCs w:val="0"/>
      <w:sz w:val="32"/>
      <w:szCs w:val="20"/>
    </w:rPr>
  </w:style>
  <w:style w:type="paragraph" w:customStyle="1" w:styleId="426">
    <w:name w:val="样式 标题 3 + (中文) 黑体 小四 非加粗 段前: 7.8 磅 段后: 0 磅 行距: 固定值 20 磅"/>
    <w:basedOn w:val="5"/>
    <w:link w:val="428"/>
    <w:qFormat/>
    <w:uiPriority w:val="0"/>
    <w:pPr>
      <w:spacing w:before="0" w:after="0" w:line="400" w:lineRule="exact"/>
    </w:pPr>
    <w:rPr>
      <w:rFonts w:eastAsia="黑体" w:cs="宋体"/>
      <w:b w:val="0"/>
      <w:bCs w:val="0"/>
      <w:sz w:val="24"/>
      <w:szCs w:val="20"/>
    </w:rPr>
  </w:style>
  <w:style w:type="paragraph" w:customStyle="1" w:styleId="42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428">
    <w:name w:val="样式 标题 3 + (中文) 黑体 小四 非加粗 段前: 7.8 磅 段后: 0 磅 行距: 固定值 20 磅 Char Char"/>
    <w:link w:val="426"/>
    <w:qFormat/>
    <w:uiPriority w:val="0"/>
    <w:rPr>
      <w:rFonts w:eastAsia="黑体" w:cs="宋体"/>
      <w:kern w:val="2"/>
      <w:sz w:val="24"/>
    </w:rPr>
  </w:style>
  <w:style w:type="character" w:customStyle="1" w:styleId="429">
    <w:name w:val="明显参考1"/>
    <w:basedOn w:val="75"/>
    <w:qFormat/>
    <w:uiPriority w:val="32"/>
    <w:rPr>
      <w:b/>
      <w:bCs/>
      <w:smallCaps/>
      <w:color w:val="C0504D" w:themeColor="accent2"/>
      <w:spacing w:val="5"/>
      <w:u w:val="single"/>
      <w14:textFill>
        <w14:solidFill>
          <w14:schemeClr w14:val="accent2"/>
        </w14:solidFill>
      </w14:textFill>
    </w:rPr>
  </w:style>
  <w:style w:type="paragraph" w:customStyle="1" w:styleId="430">
    <w:name w:val="TOC 标题2"/>
    <w:basedOn w:val="3"/>
    <w:next w:val="1"/>
    <w:unhideWhenUsed/>
    <w:qFormat/>
    <w:uiPriority w:val="39"/>
    <w:pPr>
      <w:widowControl/>
      <w:tabs>
        <w:tab w:val="clear" w:pos="1440"/>
      </w:tabs>
      <w:spacing w:before="240" w:after="0" w:line="259" w:lineRule="auto"/>
      <w:ind w:left="0" w:firstLine="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431">
    <w:name w:val="未处理的提及1"/>
    <w:basedOn w:val="75"/>
    <w:semiHidden/>
    <w:unhideWhenUsed/>
    <w:qFormat/>
    <w:uiPriority w:val="99"/>
    <w:rPr>
      <w:color w:val="605E5C"/>
      <w:shd w:val="clear" w:color="auto" w:fill="E1DFDD"/>
    </w:rPr>
  </w:style>
  <w:style w:type="character" w:customStyle="1" w:styleId="432">
    <w:name w:val="未处理的提及2"/>
    <w:basedOn w:val="75"/>
    <w:semiHidden/>
    <w:unhideWhenUsed/>
    <w:qFormat/>
    <w:uiPriority w:val="99"/>
    <w:rPr>
      <w:color w:val="605E5C"/>
      <w:shd w:val="clear" w:color="auto" w:fill="E1DFDD"/>
    </w:rPr>
  </w:style>
  <w:style w:type="paragraph" w:customStyle="1" w:styleId="43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BFA8F-DDEA-4E0A-9F46-A5D35B64AE51}">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1</Pages>
  <Words>6561</Words>
  <Characters>37403</Characters>
  <Lines>311</Lines>
  <Paragraphs>87</Paragraphs>
  <TotalTime>2</TotalTime>
  <ScaleCrop>false</ScaleCrop>
  <LinksUpToDate>false</LinksUpToDate>
  <CharactersWithSpaces>43877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2022-03-10T07:54:00Z</dcterms:created>
  <dc:creator>wmq</dc:creator>
  <cp:lastModifiedBy>漂浮的云</cp:lastModifiedBy>
  <cp:lastPrinted>2022-03-16T06:41:00Z</cp:lastPrinted>
  <dcterms:modified xsi:type="dcterms:W3CDTF">2022-03-21T07:32:59Z</dcterms:modified>
  <dc:title>适用一般货物采购/非建筑设备货物采购含安装等伴随服务</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5209595F64B2452FB0004E2A793A0295</vt:lpwstr>
  </property>
</Properties>
</file>