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sz w:val="60"/>
          <w:szCs w:val="60"/>
        </w:rPr>
      </w:pPr>
    </w:p>
    <w:p>
      <w:pPr>
        <w:spacing w:line="360" w:lineRule="auto"/>
        <w:ind w:firstLine="300" w:firstLineChars="50"/>
        <w:rPr>
          <w:sz w:val="60"/>
          <w:szCs w:val="60"/>
        </w:rPr>
      </w:pPr>
    </w:p>
    <w:p>
      <w:pPr>
        <w:jc w:val="center"/>
        <w:rPr>
          <w:rFonts w:hint="eastAsia" w:ascii="宋体" w:hAnsi="宋体" w:eastAsia="宋体"/>
          <w:b/>
          <w:bCs/>
          <w:sz w:val="52"/>
          <w:szCs w:val="52"/>
          <w:lang w:eastAsia="zh-CN"/>
        </w:rPr>
      </w:pPr>
      <w:r>
        <w:rPr>
          <w:rFonts w:hint="eastAsia" w:ascii="宋体" w:hAnsi="宋体"/>
          <w:b/>
          <w:bCs/>
          <w:sz w:val="52"/>
          <w:szCs w:val="52"/>
          <w:lang w:eastAsia="zh-CN"/>
        </w:rPr>
        <w:t>中国劳动关系学院涿州校区室外新增用电监理项目</w:t>
      </w:r>
    </w:p>
    <w:p>
      <w:pPr>
        <w:jc w:val="center"/>
        <w:rPr>
          <w:rFonts w:ascii="宋体" w:hAnsi="宋体"/>
          <w:b/>
          <w:bCs/>
          <w:sz w:val="60"/>
          <w:szCs w:val="60"/>
        </w:rPr>
      </w:pPr>
    </w:p>
    <w:p>
      <w:pPr>
        <w:jc w:val="center"/>
        <w:rPr>
          <w:rFonts w:ascii="宋体" w:hAnsi="宋体"/>
          <w:b/>
          <w:bCs/>
          <w:sz w:val="60"/>
          <w:szCs w:val="60"/>
        </w:rPr>
      </w:pPr>
    </w:p>
    <w:p>
      <w:pPr>
        <w:jc w:val="center"/>
        <w:rPr>
          <w:rFonts w:ascii="宋体" w:hAnsi="宋体"/>
          <w:b/>
          <w:bCs/>
          <w:sz w:val="60"/>
          <w:szCs w:val="60"/>
        </w:rPr>
      </w:pPr>
      <w:r>
        <w:rPr>
          <w:rFonts w:ascii="宋体" w:hAnsi="宋体"/>
          <w:b/>
          <w:bCs/>
          <w:sz w:val="60"/>
          <w:szCs w:val="60"/>
        </w:rPr>
        <w:t>竞争性</w:t>
      </w:r>
      <w:r>
        <w:rPr>
          <w:rFonts w:hint="eastAsia" w:ascii="宋体" w:hAnsi="宋体"/>
          <w:b/>
          <w:bCs/>
          <w:sz w:val="60"/>
          <w:szCs w:val="60"/>
        </w:rPr>
        <w:t>谈判</w:t>
      </w:r>
      <w:r>
        <w:rPr>
          <w:rFonts w:ascii="宋体" w:hAnsi="宋体"/>
          <w:b/>
          <w:bCs/>
          <w:sz w:val="60"/>
          <w:szCs w:val="60"/>
        </w:rPr>
        <w:t>文件</w:t>
      </w:r>
    </w:p>
    <w:p>
      <w:pPr>
        <w:jc w:val="center"/>
        <w:rPr>
          <w:rFonts w:ascii="宋体" w:hAnsi="宋体"/>
          <w:b/>
          <w:bCs/>
          <w:sz w:val="60"/>
          <w:szCs w:val="60"/>
        </w:rPr>
      </w:pPr>
    </w:p>
    <w:p>
      <w:pPr>
        <w:pStyle w:val="13"/>
      </w:pPr>
    </w:p>
    <w:p>
      <w:pPr>
        <w:pStyle w:val="13"/>
      </w:pPr>
    </w:p>
    <w:p>
      <w:pPr>
        <w:jc w:val="center"/>
        <w:rPr>
          <w:rFonts w:ascii="宋体" w:hAnsi="宋体"/>
          <w:b/>
          <w:bCs/>
          <w:sz w:val="60"/>
          <w:szCs w:val="60"/>
        </w:rPr>
      </w:pPr>
    </w:p>
    <w:p>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中国劳动关系学院涿州校区室外新增用电监理项目</w:t>
      </w:r>
    </w:p>
    <w:p>
      <w:pPr>
        <w:tabs>
          <w:tab w:val="left" w:pos="3240"/>
          <w:tab w:val="left" w:pos="3420"/>
        </w:tabs>
        <w:spacing w:line="360" w:lineRule="auto"/>
        <w:ind w:left="2832" w:leftChars="444" w:hanging="1900" w:hangingChars="528"/>
        <w:jc w:val="left"/>
        <w:rPr>
          <w:bCs/>
          <w:sz w:val="36"/>
          <w:szCs w:val="36"/>
        </w:rPr>
      </w:pPr>
      <w:r>
        <w:rPr>
          <w:bCs/>
          <w:sz w:val="36"/>
          <w:szCs w:val="36"/>
        </w:rPr>
        <w:t>项目编号/包号：</w:t>
      </w:r>
      <w:r>
        <w:rPr>
          <w:rFonts w:hint="eastAsia"/>
          <w:bCs/>
          <w:sz w:val="36"/>
          <w:szCs w:val="36"/>
        </w:rPr>
        <w:t>JJBJ24011003</w:t>
      </w:r>
    </w:p>
    <w:p>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ascii="宋体" w:hAnsi="宋体"/>
          <w:bCs/>
          <w:sz w:val="36"/>
          <w:szCs w:val="36"/>
        </w:rPr>
        <w:t>中国劳动关系学院</w:t>
      </w:r>
    </w:p>
    <w:p>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ascii="宋体" w:hAnsi="宋体"/>
          <w:bCs/>
          <w:sz w:val="36"/>
          <w:szCs w:val="36"/>
        </w:rPr>
        <w:t>建经投资咨询有限公司</w:t>
      </w:r>
    </w:p>
    <w:p>
      <w:pPr>
        <w:widowControl/>
        <w:jc w:val="left"/>
        <w:rPr>
          <w:b/>
          <w:bCs/>
          <w:sz w:val="44"/>
        </w:rPr>
      </w:pPr>
      <w:r>
        <w:rPr>
          <w:b/>
          <w:bCs/>
          <w:sz w:val="44"/>
        </w:rPr>
        <w:br w:type="page"/>
      </w:r>
    </w:p>
    <w:p>
      <w:pPr>
        <w:autoSpaceDE w:val="0"/>
        <w:autoSpaceDN w:val="0"/>
        <w:adjustRightInd w:val="0"/>
        <w:spacing w:line="360" w:lineRule="auto"/>
        <w:ind w:firstLine="640" w:firstLineChars="200"/>
        <w:jc w:val="left"/>
        <w:rPr>
          <w:kern w:val="0"/>
          <w:sz w:val="32"/>
          <w:szCs w:val="32"/>
        </w:rPr>
      </w:pPr>
      <w:bookmarkStart w:id="0" w:name="_Toc99301371"/>
    </w:p>
    <w:bookmarkEnd w:id="0"/>
    <w:p>
      <w:pPr>
        <w:spacing w:line="360" w:lineRule="auto"/>
        <w:jc w:val="center"/>
        <w:outlineLvl w:val="0"/>
        <w:rPr>
          <w:b/>
          <w:sz w:val="36"/>
          <w:szCs w:val="36"/>
        </w:rPr>
      </w:pPr>
      <w:bookmarkStart w:id="1" w:name="_Toc99301372"/>
      <w:r>
        <w:rPr>
          <w:b/>
          <w:sz w:val="36"/>
          <w:szCs w:val="36"/>
        </w:rPr>
        <w:t>目      录</w:t>
      </w:r>
      <w:bookmarkEnd w:id="1"/>
    </w:p>
    <w:p/>
    <w:p/>
    <w:p/>
    <w:p>
      <w:pPr>
        <w:pStyle w:val="31"/>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1"/>
        <w:spacing w:line="360" w:lineRule="auto"/>
        <w:rPr>
          <w:rFonts w:ascii="Times New Roman" w:hAnsi="Times New Roman" w:eastAsiaTheme="minorEastAsia"/>
          <w:b w:val="0"/>
          <w:sz w:val="21"/>
          <w:szCs w:val="22"/>
        </w:rPr>
      </w:pPr>
      <w:r>
        <w:fldChar w:fldCharType="begin"/>
      </w:r>
      <w:r>
        <w:instrText xml:space="preserve"> HYPERLINK \l "_Toc99301373" </w:instrText>
      </w:r>
      <w:r>
        <w:fldChar w:fldCharType="separate"/>
      </w:r>
      <w:r>
        <w:rPr>
          <w:rStyle w:val="51"/>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"_Toc99301374" </w:instrText>
      </w:r>
      <w:r>
        <w:fldChar w:fldCharType="separate"/>
      </w:r>
      <w:r>
        <w:rPr>
          <w:rStyle w:val="51"/>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"_Toc99301375" </w:instrText>
      </w:r>
      <w:r>
        <w:fldChar w:fldCharType="separate"/>
      </w:r>
      <w:r>
        <w:rPr>
          <w:rStyle w:val="51"/>
          <w:rFonts w:ascii="Times New Roman" w:hAnsi="Times New Roman"/>
        </w:rPr>
        <w:t>第三章   评审程序和评定成交的标准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_Toc99301375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"_Toc99301376" </w:instrText>
      </w:r>
      <w:r>
        <w:fldChar w:fldCharType="separate"/>
      </w:r>
      <w:r>
        <w:rPr>
          <w:rStyle w:val="51"/>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_Toc99301376 \h </w:instrText>
      </w:r>
      <w:r>
        <w:rPr>
          <w:rFonts w:ascii="Times New Roman" w:hAnsi="Times New Roman"/>
        </w:rPr>
        <w:fldChar w:fldCharType="separate"/>
      </w:r>
      <w:r>
        <w:rPr>
          <w:rFonts w:ascii="Times New Roman" w:hAnsi="Times New Roman"/>
        </w:rPr>
        <w:t>3</w:t>
      </w:r>
      <w:r>
        <w:rPr>
          <w:rFonts w:hint="eastAsia" w:ascii="Times New Roman" w:hAnsi="Times New Roman"/>
          <w:lang w:val="en-US" w:eastAsia="zh-CN"/>
        </w:rPr>
        <w:t>1</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"_Toc99301377" </w:instrText>
      </w:r>
      <w:r>
        <w:fldChar w:fldCharType="separate"/>
      </w:r>
      <w:r>
        <w:rPr>
          <w:rStyle w:val="51"/>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_Toc99301377 \h </w:instrText>
      </w:r>
      <w:r>
        <w:rPr>
          <w:rFonts w:ascii="Times New Roman" w:hAnsi="Times New Roman"/>
        </w:rPr>
        <w:fldChar w:fldCharType="separate"/>
      </w:r>
      <w:r>
        <w:rPr>
          <w:rFonts w:ascii="Times New Roman" w:hAnsi="Times New Roman"/>
        </w:rPr>
        <w:t>3</w:t>
      </w:r>
      <w:r>
        <w:rPr>
          <w:rFonts w:hint="eastAsia" w:ascii="Times New Roman" w:hAnsi="Times New Roman"/>
          <w:lang w:val="en-US" w:eastAsia="zh-CN"/>
        </w:rPr>
        <w:t>4</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"_Toc99301378" </w:instrText>
      </w:r>
      <w:r>
        <w:fldChar w:fldCharType="separate"/>
      </w:r>
      <w:r>
        <w:rPr>
          <w:rStyle w:val="51"/>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_Toc99301378 \h </w:instrText>
      </w:r>
      <w:r>
        <w:rPr>
          <w:rFonts w:ascii="Times New Roman" w:hAnsi="Times New Roman"/>
        </w:rPr>
        <w:fldChar w:fldCharType="separate"/>
      </w:r>
      <w:r>
        <w:rPr>
          <w:rFonts w:hint="eastAsia" w:ascii="Times New Roman" w:hAnsi="Times New Roman"/>
          <w:lang w:val="en-US" w:eastAsia="zh-CN"/>
        </w:rPr>
        <w:t>59</w:t>
      </w:r>
      <w:r>
        <w:rPr>
          <w:rFonts w:ascii="Times New Roman" w:hAnsi="Times New Roman"/>
        </w:rPr>
        <w:fldChar w:fldCharType="end"/>
      </w:r>
      <w:r>
        <w:rPr>
          <w:rFonts w:ascii="Times New Roman" w:hAnsi="Times New Roman"/>
        </w:rPr>
        <w:fldChar w:fldCharType="end"/>
      </w:r>
    </w:p>
    <w:p>
      <w:pPr>
        <w:spacing w:line="480" w:lineRule="auto"/>
        <w:rPr>
          <w:b/>
          <w:sz w:val="36"/>
          <w:szCs w:val="36"/>
        </w:rPr>
      </w:pPr>
      <w:r>
        <w:rPr>
          <w:b/>
        </w:rPr>
        <w:fldChar w:fldCharType="end"/>
      </w:r>
    </w:p>
    <w:p>
      <w:pPr>
        <w:widowControl/>
        <w:jc w:val="left"/>
        <w:rPr>
          <w:b/>
          <w:sz w:val="36"/>
          <w:szCs w:val="36"/>
        </w:rPr>
      </w:pPr>
      <w:bookmarkStart w:id="2" w:name="_Toc99301373"/>
      <w:r>
        <w:rPr>
          <w:b/>
          <w:sz w:val="36"/>
          <w:szCs w:val="36"/>
        </w:rPr>
        <w:br w:type="page"/>
      </w:r>
    </w:p>
    <w:p>
      <w:pPr>
        <w:spacing w:line="360" w:lineRule="auto"/>
        <w:jc w:val="center"/>
        <w:outlineLvl w:val="0"/>
        <w:rPr>
          <w:b/>
          <w:sz w:val="36"/>
          <w:szCs w:val="36"/>
        </w:rPr>
      </w:pPr>
      <w:r>
        <w:rPr>
          <w:b/>
          <w:sz w:val="36"/>
          <w:szCs w:val="36"/>
        </w:rPr>
        <w:t>第一章   采购邀请</w:t>
      </w:r>
      <w:bookmarkEnd w:id="2"/>
    </w:p>
    <w:p>
      <w:pPr>
        <w:spacing w:line="360" w:lineRule="auto"/>
        <w:ind w:firstLine="640" w:firstLineChars="200"/>
        <w:rPr>
          <w:sz w:val="32"/>
          <w:szCs w:val="32"/>
        </w:rPr>
      </w:pPr>
    </w:p>
    <w:p>
      <w:pPr>
        <w:pStyle w:val="4"/>
        <w:spacing w:before="0" w:line="360" w:lineRule="auto"/>
        <w:jc w:val="left"/>
        <w:rPr>
          <w:rFonts w:ascii="Times New Roman" w:hAnsi="Times New Roman" w:eastAsia="宋体"/>
          <w:sz w:val="24"/>
          <w:szCs w:val="24"/>
        </w:rPr>
      </w:pPr>
      <w:bookmarkStart w:id="3" w:name="_Toc35393621"/>
      <w:bookmarkStart w:id="4" w:name="_Toc35393790"/>
      <w:bookmarkStart w:id="5" w:name="_Toc28359002"/>
      <w:bookmarkStart w:id="6" w:name="_Toc28359079"/>
      <w:bookmarkStart w:id="7" w:name="_Hlk24379207"/>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sz w:val="24"/>
        </w:rPr>
      </w:pPr>
      <w:r>
        <w:rPr>
          <w:sz w:val="24"/>
        </w:rPr>
        <w:t>1.项目编号：</w:t>
      </w:r>
      <w:r>
        <w:rPr>
          <w:rFonts w:hint="eastAsia"/>
          <w:sz w:val="24"/>
        </w:rPr>
        <w:t>JJBJ24011003</w:t>
      </w:r>
    </w:p>
    <w:p>
      <w:pPr>
        <w:spacing w:line="360" w:lineRule="auto"/>
        <w:ind w:firstLine="480" w:firstLineChars="200"/>
        <w:rPr>
          <w:rFonts w:hint="eastAsia" w:eastAsia="宋体"/>
          <w:sz w:val="24"/>
          <w:lang w:eastAsia="zh-CN"/>
        </w:rPr>
      </w:pPr>
      <w:r>
        <w:rPr>
          <w:sz w:val="24"/>
        </w:rPr>
        <w:t>2.项目名称：</w:t>
      </w:r>
      <w:r>
        <w:rPr>
          <w:rFonts w:hint="eastAsia"/>
          <w:sz w:val="24"/>
          <w:lang w:eastAsia="zh-CN"/>
        </w:rPr>
        <w:t>中国劳动关系学院涿州校区室外新增用电监理项目</w:t>
      </w:r>
    </w:p>
    <w:p>
      <w:pPr>
        <w:spacing w:line="360" w:lineRule="auto"/>
        <w:ind w:firstLine="480" w:firstLineChars="200"/>
        <w:rPr>
          <w:sz w:val="24"/>
        </w:rPr>
      </w:pPr>
      <w:r>
        <w:rPr>
          <w:sz w:val="24"/>
        </w:rPr>
        <w:t>3.采购方式：竞争性谈判</w:t>
      </w:r>
    </w:p>
    <w:bookmarkEnd w:id="7"/>
    <w:p>
      <w:pPr>
        <w:spacing w:line="360" w:lineRule="auto"/>
        <w:ind w:firstLine="480" w:firstLineChars="200"/>
        <w:rPr>
          <w:sz w:val="24"/>
        </w:rPr>
      </w:pPr>
      <w:r>
        <w:rPr>
          <w:sz w:val="24"/>
        </w:rPr>
        <w:t>4.项目预算金额：</w:t>
      </w:r>
      <w:r>
        <w:rPr>
          <w:rFonts w:hint="eastAsia"/>
          <w:sz w:val="24"/>
        </w:rPr>
        <w:t>21.39</w:t>
      </w:r>
      <w:r>
        <w:rPr>
          <w:sz w:val="24"/>
        </w:rPr>
        <w:t>万元、项目最高限价（如有）：</w:t>
      </w:r>
      <w:r>
        <w:rPr>
          <w:rFonts w:hint="eastAsia"/>
          <w:sz w:val="24"/>
        </w:rPr>
        <w:t>21.39</w:t>
      </w:r>
      <w:r>
        <w:rPr>
          <w:sz w:val="24"/>
        </w:rPr>
        <w:t>万元</w:t>
      </w:r>
    </w:p>
    <w:p>
      <w:pPr>
        <w:spacing w:line="360" w:lineRule="auto"/>
        <w:ind w:firstLine="480" w:firstLineChars="200"/>
        <w:rPr>
          <w:sz w:val="24"/>
        </w:rPr>
      </w:pPr>
      <w:r>
        <w:rPr>
          <w:sz w:val="24"/>
        </w:rPr>
        <w:t>5.采购需求：</w:t>
      </w:r>
    </w:p>
    <w:p>
      <w:pPr>
        <w:pStyle w:val="13"/>
        <w:spacing w:line="360" w:lineRule="auto"/>
      </w:pPr>
      <w:r>
        <w:t>中国劳动关系学院涿州校区新增三台10千伏箱式变压器，项目总投资约848.46万元</w:t>
      </w:r>
      <w:r>
        <w:rPr>
          <w:rFonts w:hint="eastAsia"/>
        </w:rPr>
        <w:t>，</w:t>
      </w:r>
      <w:r>
        <w:t>主要包含高压柜、直流屏、变压器、低压柜、基础和外壳、电缆沟、电力井、低压电缆及其它设施设备和辅材等供货施工</w:t>
      </w:r>
      <w:r>
        <w:rPr>
          <w:rFonts w:hint="eastAsia"/>
        </w:rPr>
        <w:t>。现拟采购监理单位提供工程监理服务。</w:t>
      </w:r>
    </w:p>
    <w:p>
      <w:pPr>
        <w:spacing w:line="360" w:lineRule="auto"/>
        <w:ind w:firstLine="480" w:firstLineChars="200"/>
        <w:rPr>
          <w:sz w:val="24"/>
          <w:u w:val="single"/>
        </w:rPr>
      </w:pPr>
      <w:r>
        <w:rPr>
          <w:sz w:val="24"/>
        </w:rPr>
        <w:t>6.合同履行</w:t>
      </w:r>
      <w:r>
        <w:rPr>
          <w:rFonts w:ascii="宋体" w:hAnsi="Times New Roman" w:eastAsia="宋体" w:cs="Times New Roman"/>
          <w:kern w:val="2"/>
          <w:sz w:val="24"/>
          <w:szCs w:val="24"/>
          <w:lang w:val="en-US" w:eastAsia="zh-CN" w:bidi="ar-SA"/>
        </w:rPr>
        <w:t>期限：</w:t>
      </w:r>
      <w:r>
        <w:rPr>
          <w:rFonts w:hint="eastAsia" w:ascii="宋体" w:hAnsi="Times New Roman" w:eastAsia="宋体" w:cs="Times New Roman"/>
          <w:kern w:val="2"/>
          <w:sz w:val="24"/>
          <w:szCs w:val="24"/>
          <w:lang w:val="en-US" w:eastAsia="zh-CN" w:bidi="ar-SA"/>
        </w:rPr>
        <w:t>至施工项目结算审计完毕</w:t>
      </w:r>
    </w:p>
    <w:p>
      <w:pPr>
        <w:spacing w:line="360" w:lineRule="auto"/>
        <w:ind w:firstLine="480" w:firstLineChars="200"/>
        <w:rPr>
          <w:sz w:val="24"/>
        </w:rPr>
      </w:pPr>
      <w:r>
        <w:rPr>
          <w:sz w:val="24"/>
        </w:rPr>
        <w:t>7.本项目是否接受联合体：</w:t>
      </w:r>
      <w:r>
        <w:rPr>
          <w:rFonts w:hint="eastAsia" w:ascii="宋体" w:hAnsi="宋体"/>
          <w:sz w:val="24"/>
          <w:lang w:eastAsia="zh-CN"/>
        </w:rPr>
        <w:t>□</w:t>
      </w:r>
      <w:r>
        <w:rPr>
          <w:sz w:val="24"/>
        </w:rPr>
        <w:t xml:space="preserve">是  </w:t>
      </w:r>
      <w:r>
        <w:rPr>
          <w:rFonts w:ascii="宋体" w:hAnsi="宋体"/>
          <w:sz w:val="24"/>
        </w:rPr>
        <w:t>■</w:t>
      </w:r>
      <w:r>
        <w:rPr>
          <w:sz w:val="24"/>
        </w:rPr>
        <w:t>否。</w:t>
      </w:r>
    </w:p>
    <w:p>
      <w:pPr>
        <w:pStyle w:val="4"/>
        <w:spacing w:before="0" w:line="360" w:lineRule="auto"/>
        <w:jc w:val="left"/>
        <w:rPr>
          <w:rFonts w:ascii="Times New Roman" w:hAnsi="Times New Roman" w:eastAsia="宋体"/>
          <w:sz w:val="24"/>
          <w:szCs w:val="24"/>
        </w:rPr>
      </w:pPr>
      <w:bookmarkStart w:id="8" w:name="_Toc28359003"/>
      <w:bookmarkStart w:id="9" w:name="_Toc35393622"/>
      <w:bookmarkStart w:id="10" w:name="_Toc28359080"/>
      <w:bookmarkStart w:id="11" w:name="_Toc35393791"/>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04"/>
      <w:bookmarkStart w:id="13"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rFonts w:hint="eastAsia" w:ascii="宋体" w:hAnsi="宋体"/>
          <w:sz w:val="24"/>
          <w:lang w:eastAsia="zh-CN"/>
        </w:rPr>
        <w:t>□</w:t>
      </w:r>
      <w:r>
        <w:rPr>
          <w:sz w:val="24"/>
        </w:rPr>
        <w:t>本项目不专门面向中小企业预留采购份额。</w:t>
      </w:r>
    </w:p>
    <w:p>
      <w:pPr>
        <w:spacing w:line="360" w:lineRule="auto"/>
        <w:ind w:firstLine="480" w:firstLineChars="200"/>
        <w:rPr>
          <w:sz w:val="24"/>
        </w:rPr>
      </w:pPr>
      <w:r>
        <w:rPr>
          <w:rFonts w:ascii="宋体" w:hAnsi="宋体"/>
          <w:sz w:val="24"/>
        </w:rPr>
        <w:t>■</w:t>
      </w:r>
      <w:r>
        <w:rPr>
          <w:sz w:val="24"/>
        </w:rPr>
        <w:t xml:space="preserve">本项目专门面向  </w:t>
      </w:r>
      <w:r>
        <w:rPr>
          <w:rFonts w:ascii="宋体" w:hAnsi="宋体"/>
          <w:sz w:val="24"/>
        </w:rPr>
        <w:t>■</w:t>
      </w:r>
      <w:r>
        <w:rPr>
          <w:sz w:val="24"/>
        </w:rPr>
        <w:t xml:space="preserve">中小 </w:t>
      </w:r>
      <w:r>
        <w:rPr>
          <w:rFonts w:hint="eastAsia" w:ascii="宋体" w:hAnsi="宋体"/>
          <w:sz w:val="24"/>
          <w:lang w:eastAsia="zh-CN"/>
        </w:rPr>
        <w:t>□</w:t>
      </w:r>
      <w:r>
        <w:rPr>
          <w:sz w:val="24"/>
        </w:rPr>
        <w:t>小微企业  采购。即：提供的货物全部由符合政策要求的中小/小微企业制造、服务全部由符合政策要求的中小/小微企业承接。</w:t>
      </w:r>
    </w:p>
    <w:p>
      <w:pPr>
        <w:spacing w:line="360" w:lineRule="auto"/>
        <w:ind w:firstLine="480" w:firstLineChars="200"/>
        <w:rPr>
          <w:sz w:val="24"/>
        </w:rPr>
      </w:pPr>
      <w:r>
        <w:rPr>
          <w:rFonts w:hint="eastAsia" w:ascii="宋体" w:hAnsi="宋体"/>
          <w:sz w:val="24"/>
          <w:lang w:eastAsia="zh-CN"/>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无</w:t>
      </w:r>
    </w:p>
    <w:p>
      <w:pPr>
        <w:spacing w:line="360" w:lineRule="auto"/>
        <w:ind w:firstLine="480" w:firstLineChars="200"/>
        <w:rPr>
          <w:sz w:val="24"/>
        </w:rPr>
      </w:pPr>
      <w:r>
        <w:rPr>
          <w:sz w:val="24"/>
        </w:rPr>
        <w:t>2.2 其它落实政府采购政策的资格要求（如有）：</w:t>
      </w:r>
      <w:r>
        <w:rPr>
          <w:rFonts w:hint="eastAsia"/>
          <w:sz w:val="24"/>
        </w:rPr>
        <w:t>无</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840"/>
          <w:tab w:val="left" w:pos="1134"/>
          <w:tab w:val="left" w:pos="1589"/>
          <w:tab w:val="left" w:pos="5521"/>
        </w:tabs>
        <w:snapToGrid w:val="0"/>
        <w:spacing w:line="360" w:lineRule="auto"/>
        <w:ind w:left="989" w:leftChars="304" w:hanging="351"/>
        <w:rPr>
          <w:sz w:val="24"/>
        </w:rPr>
      </w:pPr>
      <w:r>
        <w:rPr>
          <w:rFonts w:ascii="宋体" w:hAnsi="宋体"/>
          <w:sz w:val="24"/>
        </w:rPr>
        <w:t>■</w:t>
      </w:r>
      <w:r>
        <w:rPr>
          <w:sz w:val="24"/>
        </w:rPr>
        <w:t>否</w:t>
      </w:r>
    </w:p>
    <w:p>
      <w:pPr>
        <w:tabs>
          <w:tab w:val="left" w:pos="900"/>
          <w:tab w:val="left" w:pos="1134"/>
          <w:tab w:val="left" w:pos="1589"/>
          <w:tab w:val="left" w:pos="5521"/>
        </w:tabs>
        <w:snapToGrid w:val="0"/>
        <w:spacing w:line="360" w:lineRule="auto"/>
        <w:ind w:left="647" w:leftChars="303" w:hanging="11"/>
        <w:rPr>
          <w:sz w:val="24"/>
        </w:rPr>
      </w:pPr>
      <w:r>
        <w:rPr>
          <w:rFonts w:ascii="宋体" w:hAnsi="宋体"/>
          <w:sz w:val="24"/>
        </w:rP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rPr>
      </w:pPr>
      <w:r>
        <w:rPr>
          <w:sz w:val="24"/>
        </w:rPr>
        <w:t>3.2其他特定资格要求</w:t>
      </w:r>
      <w:r>
        <w:rPr>
          <w:rFonts w:eastAsiaTheme="minorEastAsia"/>
          <w:sz w:val="24"/>
        </w:rPr>
        <w:t>：</w:t>
      </w:r>
    </w:p>
    <w:p>
      <w:pPr>
        <w:pStyle w:val="13"/>
        <w:spacing w:line="360" w:lineRule="auto"/>
        <w:rPr>
          <w:rFonts w:hint="default" w:eastAsia="宋体"/>
          <w:lang w:val="en-US" w:eastAsia="zh-CN"/>
        </w:rPr>
      </w:pPr>
      <w:r>
        <w:rPr>
          <w:rFonts w:hint="eastAsia"/>
        </w:rPr>
        <w:t>（1）供应商具有建设主管部门核发的</w:t>
      </w:r>
      <w:r>
        <w:rPr>
          <w:rFonts w:hint="eastAsia"/>
          <w:lang w:eastAsia="zh-CN"/>
        </w:rPr>
        <w:t>工程监理综合资质</w:t>
      </w:r>
      <w:r>
        <w:rPr>
          <w:rFonts w:hint="eastAsia"/>
          <w:lang w:val="en-US" w:eastAsia="zh-CN"/>
        </w:rPr>
        <w:t>或工程监理电力工程专业乙级（含）以上资质</w:t>
      </w:r>
      <w:r>
        <w:rPr>
          <w:rFonts w:hint="eastAsia"/>
        </w:rPr>
        <w:t>；</w:t>
      </w:r>
    </w:p>
    <w:p>
      <w:pPr>
        <w:pStyle w:val="13"/>
        <w:spacing w:line="360" w:lineRule="auto"/>
        <w:rPr>
          <w:rFonts w:hint="eastAsia" w:eastAsia="宋体"/>
          <w:lang w:eastAsia="zh-CN"/>
        </w:rPr>
      </w:pPr>
      <w:r>
        <w:rPr>
          <w:rFonts w:hint="eastAsia"/>
        </w:rPr>
        <w:t>（</w:t>
      </w:r>
      <w:r>
        <w:rPr>
          <w:rFonts w:hint="eastAsia"/>
          <w:lang w:val="en-US" w:eastAsia="zh-CN"/>
        </w:rPr>
        <w:t>2</w:t>
      </w:r>
      <w:r>
        <w:rPr>
          <w:rFonts w:hint="eastAsia"/>
        </w:rPr>
        <w:t>）供应商必须为未被列入信用中国网站(www.creditchina.gov.cn)、中国政府采购网(www.ccgp.gov.cn)失信被执行人、重大税收违法案件当事人名单、政府采购严重违法失信行为记录名单的响应人</w:t>
      </w:r>
      <w:r>
        <w:rPr>
          <w:rFonts w:hint="eastAsia"/>
          <w:lang w:eastAsia="zh-CN"/>
        </w:rPr>
        <w:t>；</w:t>
      </w:r>
    </w:p>
    <w:p>
      <w:pPr>
        <w:pStyle w:val="13"/>
        <w:spacing w:line="360" w:lineRule="auto"/>
      </w:pPr>
      <w:r>
        <w:rPr>
          <w:rFonts w:hint="eastAsia"/>
        </w:rPr>
        <w:t>（</w:t>
      </w:r>
      <w:r>
        <w:rPr>
          <w:rFonts w:hint="eastAsia"/>
          <w:lang w:val="en-US" w:eastAsia="zh-CN"/>
        </w:rPr>
        <w:t>3</w:t>
      </w:r>
      <w:r>
        <w:rPr>
          <w:rFonts w:hint="eastAsia"/>
        </w:rPr>
        <w:t>）单位负责人为同一人或者存在直接控股、管理关系的不同单位，不得参加本项目的谈判活动；</w:t>
      </w:r>
    </w:p>
    <w:p>
      <w:pPr>
        <w:pStyle w:val="13"/>
        <w:spacing w:line="360" w:lineRule="auto"/>
        <w:rPr>
          <w:i/>
          <w:iCs/>
          <w:sz w:val="24"/>
          <w:u w:val="single"/>
        </w:rPr>
      </w:pPr>
      <w:r>
        <w:rPr>
          <w:rFonts w:hint="eastAsia"/>
        </w:rPr>
        <w:t>（</w:t>
      </w:r>
      <w:r>
        <w:rPr>
          <w:rFonts w:hint="eastAsia"/>
          <w:lang w:val="en-US" w:eastAsia="zh-CN"/>
        </w:rPr>
        <w:t>4</w:t>
      </w:r>
      <w:r>
        <w:rPr>
          <w:rFonts w:hint="eastAsia"/>
        </w:rPr>
        <w:t>）凡受托为本次采购的服务进行管理、检测、监理和其相关的咨询公司，及相关联的附属机构，不得参加本项目谈判。</w:t>
      </w:r>
    </w:p>
    <w:bookmarkEnd w:id="12"/>
    <w:bookmarkEnd w:id="13"/>
    <w:p>
      <w:pPr>
        <w:pStyle w:val="4"/>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w:t>
      </w:r>
      <w:bookmarkEnd w:id="14"/>
      <w:bookmarkEnd w:id="15"/>
      <w:r>
        <w:rPr>
          <w:rFonts w:ascii="Times New Roman" w:hAnsi="Times New Roman" w:eastAsia="宋体"/>
          <w:sz w:val="24"/>
          <w:szCs w:val="24"/>
        </w:rPr>
        <w:t>采购文件</w:t>
      </w:r>
    </w:p>
    <w:p>
      <w:pPr>
        <w:spacing w:line="360" w:lineRule="auto"/>
        <w:ind w:firstLine="480" w:firstLineChars="200"/>
        <w:rPr>
          <w:rFonts w:ascii="宋体" w:hAnsi="宋体" w:cs="宋体"/>
          <w:sz w:val="24"/>
        </w:rPr>
      </w:pPr>
      <w:r>
        <w:rPr>
          <w:rFonts w:hint="eastAsia" w:ascii="宋体" w:hAnsi="宋体" w:cs="宋体"/>
          <w:sz w:val="24"/>
        </w:rPr>
        <w:t>1.时间：</w:t>
      </w:r>
      <w:r>
        <w:rPr>
          <w:rFonts w:ascii="宋体" w:hAnsi="宋体" w:cs="宋体"/>
          <w:sz w:val="24"/>
          <w:u w:val="single"/>
        </w:rPr>
        <w:t>202</w:t>
      </w:r>
      <w:r>
        <w:rPr>
          <w:rFonts w:hint="eastAsia" w:ascii="宋体" w:hAnsi="宋体" w:cs="宋体"/>
          <w:sz w:val="24"/>
          <w:u w:val="single"/>
        </w:rPr>
        <w:t>4</w:t>
      </w:r>
      <w:r>
        <w:rPr>
          <w:rFonts w:ascii="宋体" w:hAnsi="宋体" w:cs="宋体"/>
          <w:sz w:val="24"/>
          <w:u w:val="single"/>
        </w:rPr>
        <w:t>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 xml:space="preserve"> 日</w:t>
      </w:r>
      <w:r>
        <w:rPr>
          <w:rFonts w:hint="eastAsia" w:ascii="宋体" w:hAnsi="宋体" w:cs="宋体"/>
          <w:sz w:val="24"/>
        </w:rPr>
        <w:t>至</w:t>
      </w:r>
      <w:r>
        <w:rPr>
          <w:rFonts w:ascii="宋体" w:hAnsi="宋体" w:cs="宋体"/>
          <w:sz w:val="24"/>
          <w:u w:val="single"/>
        </w:rPr>
        <w:t>202</w:t>
      </w:r>
      <w:r>
        <w:rPr>
          <w:rFonts w:hint="eastAsia" w:ascii="宋体" w:hAnsi="宋体" w:cs="宋体"/>
          <w:sz w:val="24"/>
          <w:u w:val="single"/>
        </w:rPr>
        <w:t>4</w:t>
      </w:r>
      <w:r>
        <w:rPr>
          <w:rFonts w:ascii="宋体" w:hAnsi="宋体" w:cs="宋体"/>
          <w:sz w:val="24"/>
          <w:u w:val="single"/>
        </w:rPr>
        <w:t>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rPr>
        <w:t>，每天上午9：</w:t>
      </w:r>
      <w:r>
        <w:rPr>
          <w:rFonts w:hint="eastAsia" w:ascii="宋体" w:hAnsi="宋体" w:cs="宋体"/>
          <w:sz w:val="24"/>
          <w:lang w:val="en-US" w:eastAsia="zh-CN"/>
        </w:rPr>
        <w:t>0</w:t>
      </w:r>
      <w:r>
        <w:rPr>
          <w:rFonts w:hint="eastAsia" w:ascii="宋体" w:hAnsi="宋体" w:cs="宋体"/>
          <w:sz w:val="24"/>
        </w:rPr>
        <w:t>0至11：30，下午13：30至16：30（北京时间，法定节假日除外）</w:t>
      </w:r>
    </w:p>
    <w:p>
      <w:pPr>
        <w:spacing w:line="360" w:lineRule="auto"/>
        <w:ind w:firstLine="480" w:firstLineChars="200"/>
        <w:rPr>
          <w:rFonts w:ascii="宋体" w:hAnsi="宋体" w:cs="宋体"/>
          <w:sz w:val="24"/>
        </w:rPr>
      </w:pPr>
      <w:r>
        <w:rPr>
          <w:rFonts w:hint="eastAsia" w:ascii="宋体" w:hAnsi="宋体" w:cs="宋体"/>
          <w:sz w:val="24"/>
        </w:rPr>
        <w:t>2.地点：</w:t>
      </w:r>
      <w:r>
        <w:rPr>
          <w:rFonts w:hint="eastAsia" w:ascii="宋体" w:hAnsi="宋体" w:cs="宋体"/>
          <w:kern w:val="0"/>
          <w:sz w:val="24"/>
        </w:rPr>
        <w:t>北京市海淀区复兴路47号天行建商务大厦2003</w:t>
      </w:r>
    </w:p>
    <w:p>
      <w:pPr>
        <w:spacing w:line="360" w:lineRule="auto"/>
        <w:ind w:firstLine="480" w:firstLineChars="200"/>
        <w:rPr>
          <w:rFonts w:ascii="宋体" w:hAnsi="宋体" w:cs="宋体"/>
          <w:sz w:val="24"/>
        </w:rPr>
      </w:pPr>
      <w:r>
        <w:rPr>
          <w:rFonts w:hint="eastAsia" w:ascii="宋体" w:hAnsi="宋体" w:cs="宋体"/>
          <w:sz w:val="24"/>
        </w:rPr>
        <w:t>3.方式：线上领取或现场领取。供应商应携带法人代表授权书、法人有效身份证复印件和被授权人身份证复印件（加盖公章）或扫描成1个PDF发送至邮箱</w:t>
      </w:r>
      <w:r>
        <w:rPr>
          <w:rFonts w:ascii="宋体" w:hAnsi="宋体" w:cs="宋体"/>
          <w:sz w:val="24"/>
        </w:rPr>
        <w:t>jjzxzb@126.com</w:t>
      </w:r>
      <w:r>
        <w:rPr>
          <w:rFonts w:hint="eastAsia" w:ascii="宋体" w:hAnsi="宋体" w:cs="宋体"/>
          <w:sz w:val="24"/>
        </w:rPr>
        <w:t>，邮件主题为“</w:t>
      </w:r>
      <w:r>
        <w:rPr>
          <w:rFonts w:hint="eastAsia" w:ascii="宋体" w:hAnsi="宋体"/>
          <w:sz w:val="24"/>
        </w:rPr>
        <w:t>项目名称+</w:t>
      </w:r>
      <w:r>
        <w:rPr>
          <w:rFonts w:hint="eastAsia" w:ascii="宋体" w:hAnsi="宋体" w:cs="宋体"/>
          <w:sz w:val="24"/>
        </w:rPr>
        <w:t>单位名称”。</w:t>
      </w:r>
    </w:p>
    <w:p>
      <w:pPr>
        <w:spacing w:line="360" w:lineRule="auto"/>
        <w:ind w:firstLine="480" w:firstLineChars="200"/>
        <w:rPr>
          <w:rFonts w:ascii="宋体" w:hAnsi="宋体" w:cs="宋体"/>
          <w:sz w:val="24"/>
        </w:rPr>
      </w:pPr>
      <w:r>
        <w:rPr>
          <w:rFonts w:hint="eastAsia" w:ascii="宋体" w:hAnsi="宋体" w:cs="宋体"/>
          <w:sz w:val="24"/>
        </w:rPr>
        <w:t>4.未在招标代理机构获取谈判文件并登记备案的潜在供应商均无资格参加。</w:t>
      </w:r>
    </w:p>
    <w:p>
      <w:pPr>
        <w:spacing w:line="360" w:lineRule="auto"/>
        <w:ind w:firstLine="480" w:firstLineChars="200"/>
        <w:rPr>
          <w:sz w:val="24"/>
        </w:rPr>
      </w:pPr>
      <w:r>
        <w:rPr>
          <w:rFonts w:hint="eastAsia" w:ascii="宋体" w:hAnsi="宋体" w:cs="宋体"/>
          <w:sz w:val="24"/>
        </w:rPr>
        <w:t>5.售价：每套500元人民币，售后不退。</w:t>
      </w:r>
    </w:p>
    <w:p>
      <w:pPr>
        <w:pStyle w:val="4"/>
        <w:widowControl/>
        <w:spacing w:before="0" w:line="360" w:lineRule="auto"/>
        <w:jc w:val="left"/>
        <w:rPr>
          <w:rFonts w:ascii="Times New Roman" w:hAnsi="Times New Roman" w:eastAsia="宋体"/>
          <w:sz w:val="24"/>
          <w:szCs w:val="24"/>
        </w:rPr>
      </w:pPr>
      <w:bookmarkStart w:id="16" w:name="_Toc28359005"/>
      <w:bookmarkStart w:id="17" w:name="_Toc35393624"/>
      <w:bookmarkStart w:id="18" w:name="_Toc28359082"/>
      <w:bookmarkStart w:id="19" w:name="_Toc35393793"/>
      <w:r>
        <w:rPr>
          <w:rFonts w:ascii="Times New Roman" w:hAnsi="Times New Roman" w:eastAsia="宋体"/>
          <w:sz w:val="24"/>
          <w:szCs w:val="24"/>
        </w:rPr>
        <w:t>四、</w:t>
      </w:r>
      <w:bookmarkEnd w:id="16"/>
      <w:bookmarkEnd w:id="17"/>
      <w:bookmarkEnd w:id="18"/>
      <w:bookmarkEnd w:id="19"/>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sz w:val="24"/>
          <w:lang w:bidi="ar"/>
        </w:rPr>
        <w:t>：</w:t>
      </w:r>
      <w:r>
        <w:rPr>
          <w:rFonts w:hint="eastAsia"/>
          <w:sz w:val="24"/>
          <w:lang w:bidi="ar"/>
        </w:rPr>
        <w:t>2024</w:t>
      </w:r>
      <w:r>
        <w:rPr>
          <w:sz w:val="24"/>
          <w:lang w:bidi="ar"/>
        </w:rPr>
        <w:t>年</w:t>
      </w:r>
      <w:r>
        <w:rPr>
          <w:rFonts w:hint="eastAsia"/>
          <w:sz w:val="24"/>
          <w:lang w:bidi="ar"/>
        </w:rPr>
        <w:t>01</w:t>
      </w:r>
      <w:r>
        <w:rPr>
          <w:sz w:val="24"/>
          <w:lang w:bidi="ar"/>
        </w:rPr>
        <w:t>月</w:t>
      </w:r>
      <w:r>
        <w:rPr>
          <w:rFonts w:hint="eastAsia"/>
          <w:sz w:val="24"/>
          <w:lang w:val="en-US" w:eastAsia="zh-CN" w:bidi="ar"/>
        </w:rPr>
        <w:t>17</w:t>
      </w:r>
      <w:r>
        <w:rPr>
          <w:sz w:val="24"/>
          <w:lang w:bidi="ar"/>
        </w:rPr>
        <w:t>日</w:t>
      </w:r>
      <w:r>
        <w:rPr>
          <w:rFonts w:hint="eastAsia"/>
          <w:sz w:val="24"/>
          <w:lang w:val="en-US" w:eastAsia="zh-CN" w:bidi="ar"/>
        </w:rPr>
        <w:t>14</w:t>
      </w:r>
      <w:r>
        <w:rPr>
          <w:sz w:val="24"/>
          <w:lang w:bidi="ar"/>
        </w:rPr>
        <w:t>点</w:t>
      </w:r>
      <w:r>
        <w:rPr>
          <w:rFonts w:hint="eastAsia"/>
          <w:sz w:val="24"/>
          <w:lang w:val="en-US" w:eastAsia="zh-CN" w:bidi="ar"/>
        </w:rPr>
        <w:t>00</w:t>
      </w:r>
      <w:r>
        <w:rPr>
          <w:sz w:val="24"/>
          <w:lang w:bidi="ar"/>
        </w:rPr>
        <w:t>分</w:t>
      </w:r>
      <w:r>
        <w:rPr>
          <w:bCs/>
          <w:sz w:val="24"/>
          <w:lang w:bidi="ar"/>
        </w:rPr>
        <w:t>（北京时间）</w:t>
      </w:r>
      <w:r>
        <w:rPr>
          <w:iCs/>
          <w:sz w:val="24"/>
          <w:lang w:bidi="ar"/>
        </w:rPr>
        <w:t>。</w:t>
      </w:r>
    </w:p>
    <w:p>
      <w:pPr>
        <w:spacing w:line="360" w:lineRule="auto"/>
        <w:ind w:firstLine="480" w:firstLineChars="200"/>
        <w:rPr>
          <w:bCs/>
          <w:sz w:val="24"/>
          <w:u w:val="single"/>
        </w:rPr>
      </w:pPr>
      <w:r>
        <w:rPr>
          <w:sz w:val="24"/>
        </w:rPr>
        <w:t>地点</w:t>
      </w:r>
      <w:r>
        <w:rPr>
          <w:sz w:val="24"/>
          <w:lang w:bidi="ar"/>
        </w:rPr>
        <w:t>：</w:t>
      </w:r>
      <w:r>
        <w:rPr>
          <w:rFonts w:hint="eastAsia" w:ascii="宋体" w:hAnsi="宋体" w:cs="宋体"/>
          <w:kern w:val="0"/>
          <w:sz w:val="24"/>
        </w:rPr>
        <w:t>北京市海淀区复兴路47号天行建商务大厦2003</w:t>
      </w:r>
    </w:p>
    <w:p>
      <w:pPr>
        <w:pStyle w:val="4"/>
        <w:spacing w:before="0" w:line="360" w:lineRule="auto"/>
        <w:jc w:val="left"/>
        <w:rPr>
          <w:rFonts w:ascii="Times New Roman" w:hAnsi="Times New Roman" w:eastAsia="宋体"/>
          <w:sz w:val="24"/>
          <w:szCs w:val="24"/>
        </w:rPr>
      </w:pPr>
      <w:bookmarkStart w:id="20" w:name="_Toc35393794"/>
      <w:bookmarkStart w:id="21" w:name="_Toc28359007"/>
      <w:bookmarkStart w:id="22" w:name="_Toc28359084"/>
      <w:bookmarkStart w:id="23" w:name="_Toc35393625"/>
      <w:r>
        <w:rPr>
          <w:rFonts w:ascii="Times New Roman" w:hAnsi="Times New Roman" w:eastAsia="宋体"/>
          <w:sz w:val="24"/>
          <w:szCs w:val="24"/>
        </w:rPr>
        <w:t>五、</w:t>
      </w:r>
      <w:bookmarkEnd w:id="20"/>
      <w:bookmarkEnd w:id="21"/>
      <w:bookmarkEnd w:id="22"/>
      <w:bookmarkEnd w:id="23"/>
      <w:r>
        <w:rPr>
          <w:rFonts w:ascii="Times New Roman" w:hAnsi="Times New Roman" w:eastAsia="宋体"/>
          <w:sz w:val="24"/>
          <w:szCs w:val="24"/>
        </w:rPr>
        <w:t>公告期限</w:t>
      </w:r>
    </w:p>
    <w:p>
      <w:pPr>
        <w:spacing w:line="360" w:lineRule="auto"/>
        <w:ind w:firstLine="480" w:firstLineChars="200"/>
        <w:rPr>
          <w:kern w:val="0"/>
          <w:sz w:val="24"/>
        </w:rPr>
      </w:pPr>
      <w:r>
        <w:rPr>
          <w:kern w:val="0"/>
          <w:sz w:val="24"/>
        </w:rPr>
        <w:t>自本公告发布之日起3个工作日。</w:t>
      </w:r>
    </w:p>
    <w:p>
      <w:pPr>
        <w:pStyle w:val="4"/>
        <w:numPr>
          <w:ilvl w:val="0"/>
          <w:numId w:val="8"/>
        </w:numPr>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其他补充事宜</w:t>
      </w:r>
      <w:bookmarkEnd w:id="24"/>
      <w:bookmarkEnd w:id="25"/>
    </w:p>
    <w:p>
      <w:pPr>
        <w:spacing w:line="360" w:lineRule="auto"/>
        <w:ind w:firstLine="480" w:firstLineChars="200"/>
        <w:rPr>
          <w:rFonts w:ascii="宋体" w:hAnsi="宋体" w:cs="宋体"/>
          <w:sz w:val="24"/>
        </w:rPr>
      </w:pPr>
      <w:r>
        <w:rPr>
          <w:rFonts w:hint="eastAsia" w:ascii="宋体" w:hAnsi="宋体" w:cs="宋体"/>
          <w:sz w:val="24"/>
        </w:rPr>
        <w:t>1.本公告在中国政府采购网（http://www.ccgp.gov.cn）上发布。</w:t>
      </w:r>
    </w:p>
    <w:p>
      <w:pPr>
        <w:spacing w:line="360" w:lineRule="auto"/>
        <w:ind w:firstLine="480" w:firstLineChars="200"/>
        <w:rPr>
          <w:rFonts w:ascii="宋体" w:hAnsi="宋体" w:cs="宋体"/>
          <w:sz w:val="24"/>
        </w:rPr>
      </w:pPr>
      <w:r>
        <w:rPr>
          <w:rFonts w:hint="eastAsia" w:ascii="宋体" w:hAnsi="宋体" w:cs="宋体"/>
          <w:sz w:val="24"/>
        </w:rPr>
        <w:t>2.采购项目需要落实的政府采购政策：节约能源、保护环境、扶持不发达地区和少数民族地区、促进中小企业发展、支持监狱企业发展、促进残疾人就业等。</w:t>
      </w:r>
    </w:p>
    <w:p>
      <w:pPr>
        <w:spacing w:line="360" w:lineRule="auto"/>
        <w:ind w:firstLine="480" w:firstLineChars="200"/>
        <w:rPr>
          <w:rFonts w:ascii="宋体" w:hAnsi="宋体" w:cs="宋体"/>
          <w:sz w:val="24"/>
        </w:rPr>
      </w:pPr>
      <w:r>
        <w:rPr>
          <w:rFonts w:hint="eastAsia" w:ascii="宋体" w:hAnsi="宋体" w:cs="宋体"/>
          <w:sz w:val="24"/>
        </w:rPr>
        <w:t xml:space="preserve">3.标书款、服务费账户： </w:t>
      </w:r>
    </w:p>
    <w:p>
      <w:pPr>
        <w:spacing w:line="360" w:lineRule="auto"/>
        <w:ind w:firstLine="480" w:firstLineChars="200"/>
        <w:rPr>
          <w:rFonts w:ascii="宋体" w:hAnsi="宋体" w:cs="宋体"/>
          <w:sz w:val="24"/>
        </w:rPr>
      </w:pPr>
      <w:r>
        <w:rPr>
          <w:rFonts w:hint="eastAsia" w:ascii="宋体" w:hAnsi="宋体" w:cs="宋体"/>
          <w:sz w:val="24"/>
        </w:rPr>
        <w:t>账户名称: 建经投资咨询有限公司北京分公司</w:t>
      </w:r>
    </w:p>
    <w:p>
      <w:pPr>
        <w:spacing w:line="360" w:lineRule="auto"/>
        <w:ind w:firstLine="480" w:firstLineChars="200"/>
        <w:rPr>
          <w:rFonts w:ascii="宋体" w:hAnsi="宋体" w:cs="宋体"/>
          <w:sz w:val="24"/>
        </w:rPr>
      </w:pPr>
      <w:r>
        <w:rPr>
          <w:rFonts w:hint="eastAsia" w:ascii="宋体" w:hAnsi="宋体" w:cs="宋体"/>
          <w:sz w:val="24"/>
        </w:rPr>
        <w:t>账    号: 11050170360000000627</w:t>
      </w:r>
    </w:p>
    <w:p>
      <w:pPr>
        <w:spacing w:line="360" w:lineRule="auto"/>
        <w:ind w:firstLine="480" w:firstLineChars="200"/>
        <w:rPr>
          <w:rFonts w:ascii="宋体" w:hAnsi="宋体" w:cs="宋体"/>
          <w:sz w:val="24"/>
        </w:rPr>
      </w:pPr>
      <w:r>
        <w:rPr>
          <w:rFonts w:hint="eastAsia" w:ascii="宋体" w:hAnsi="宋体" w:cs="宋体"/>
          <w:sz w:val="24"/>
        </w:rPr>
        <w:t>开户银行: 中国建设银行北京长安支行</w:t>
      </w:r>
    </w:p>
    <w:p>
      <w:pPr>
        <w:spacing w:line="360" w:lineRule="auto"/>
        <w:ind w:firstLine="480" w:firstLineChars="200"/>
        <w:rPr>
          <w:rFonts w:ascii="宋体" w:hAnsi="宋体" w:cs="宋体"/>
          <w:sz w:val="24"/>
        </w:rPr>
      </w:pPr>
      <w:r>
        <w:rPr>
          <w:rFonts w:hint="eastAsia" w:ascii="宋体" w:hAnsi="宋体" w:cs="宋体"/>
          <w:sz w:val="24"/>
        </w:rPr>
        <w:t>请供应商在汇款时务必注明所投项目的编号及用途，否则，因款项用途不明导致谈判无效等后果由供应商自行承担。</w:t>
      </w:r>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bookmarkStart w:id="26" w:name="_Toc28359008"/>
      <w:bookmarkStart w:id="27" w:name="_Toc28359085"/>
      <w:bookmarkStart w:id="28" w:name="_Toc35393796"/>
      <w:bookmarkStart w:id="29" w:name="_Toc35393627"/>
      <w:r>
        <w:rPr>
          <w:rFonts w:ascii="Times New Roman" w:hAnsi="Times New Roman" w:eastAsia="宋体"/>
          <w:sz w:val="24"/>
          <w:szCs w:val="24"/>
        </w:rPr>
        <w:t>七、对本次采购提出询问，请按以下方式联系。</w:t>
      </w:r>
      <w:bookmarkEnd w:id="26"/>
      <w:bookmarkEnd w:id="27"/>
      <w:bookmarkEnd w:id="28"/>
      <w:bookmarkEnd w:id="29"/>
    </w:p>
    <w:p>
      <w:pPr>
        <w:widowControl/>
        <w:spacing w:line="360" w:lineRule="auto"/>
        <w:jc w:val="left"/>
        <w:rPr>
          <w:b/>
          <w:sz w:val="24"/>
        </w:rPr>
      </w:pPr>
      <w:r>
        <w:rPr>
          <w:sz w:val="24"/>
        </w:rPr>
        <w:t>　　　</w:t>
      </w:r>
      <w:r>
        <w:rPr>
          <w:b/>
          <w:sz w:val="24"/>
        </w:rPr>
        <w:t>1.采购人信息</w:t>
      </w:r>
    </w:p>
    <w:p>
      <w:pPr>
        <w:spacing w:line="360" w:lineRule="auto"/>
        <w:ind w:firstLine="720" w:firstLineChars="300"/>
        <w:jc w:val="left"/>
        <w:rPr>
          <w:rFonts w:ascii="宋体" w:hAnsi="宋体"/>
          <w:sz w:val="24"/>
        </w:rPr>
      </w:pPr>
      <w:bookmarkStart w:id="30" w:name="_Toc28359086"/>
      <w:bookmarkStart w:id="31" w:name="_Toc28359009"/>
      <w:r>
        <w:rPr>
          <w:rFonts w:hint="eastAsia" w:ascii="宋体" w:hAnsi="宋体"/>
          <w:sz w:val="24"/>
        </w:rPr>
        <w:t xml:space="preserve">名    称：中国劳动关系学院 </w:t>
      </w:r>
    </w:p>
    <w:p>
      <w:pPr>
        <w:spacing w:line="360" w:lineRule="auto"/>
        <w:ind w:firstLine="720" w:firstLineChars="300"/>
        <w:jc w:val="left"/>
        <w:rPr>
          <w:rFonts w:ascii="宋体" w:hAnsi="宋体"/>
          <w:sz w:val="24"/>
        </w:rPr>
      </w:pPr>
      <w:r>
        <w:rPr>
          <w:rFonts w:hint="eastAsia" w:ascii="宋体" w:hAnsi="宋体"/>
          <w:sz w:val="24"/>
        </w:rPr>
        <w:t xml:space="preserve">地    址：北京市海淀区增光路45号  </w:t>
      </w:r>
    </w:p>
    <w:p>
      <w:pPr>
        <w:spacing w:line="360" w:lineRule="auto"/>
        <w:ind w:left="1079" w:leftChars="371" w:hanging="300" w:hangingChars="125"/>
        <w:jc w:val="left"/>
        <w:rPr>
          <w:rFonts w:ascii="宋体" w:hAnsi="宋体"/>
          <w:sz w:val="24"/>
        </w:rPr>
      </w:pPr>
      <w:r>
        <w:rPr>
          <w:rFonts w:hint="eastAsia" w:ascii="宋体" w:hAnsi="宋体"/>
          <w:sz w:val="24"/>
        </w:rPr>
        <w:t xml:space="preserve">联系方式：周老师 010-88562580 </w:t>
      </w:r>
    </w:p>
    <w:p>
      <w:pPr>
        <w:spacing w:line="360" w:lineRule="auto"/>
        <w:ind w:left="1080" w:leftChars="371" w:hanging="301" w:hangingChars="125"/>
        <w:jc w:val="left"/>
        <w:rPr>
          <w:b/>
          <w:sz w:val="24"/>
        </w:rPr>
      </w:pPr>
      <w:r>
        <w:rPr>
          <w:b/>
          <w:sz w:val="24"/>
        </w:rPr>
        <w:t>2.采购代理机构信息</w:t>
      </w:r>
      <w:bookmarkEnd w:id="30"/>
      <w:bookmarkEnd w:id="31"/>
    </w:p>
    <w:p>
      <w:pPr>
        <w:spacing w:line="360" w:lineRule="auto"/>
        <w:ind w:firstLine="720" w:firstLineChars="300"/>
        <w:rPr>
          <w:rFonts w:ascii="宋体" w:hAnsi="宋体"/>
          <w:sz w:val="24"/>
        </w:rPr>
      </w:pPr>
      <w:bookmarkStart w:id="32" w:name="_Toc28359087"/>
      <w:bookmarkStart w:id="33" w:name="_Toc28359010"/>
      <w:r>
        <w:rPr>
          <w:rFonts w:hint="eastAsia" w:ascii="宋体" w:hAnsi="宋体"/>
          <w:sz w:val="24"/>
        </w:rPr>
        <w:t>名    称：建经投资咨询有限公司　</w:t>
      </w:r>
    </w:p>
    <w:p>
      <w:pPr>
        <w:spacing w:line="360" w:lineRule="auto"/>
        <w:ind w:firstLine="720" w:firstLineChars="300"/>
        <w:rPr>
          <w:rFonts w:ascii="宋体" w:hAnsi="宋体"/>
          <w:sz w:val="24"/>
        </w:rPr>
      </w:pPr>
      <w:r>
        <w:rPr>
          <w:rFonts w:hint="eastAsia" w:ascii="宋体" w:hAnsi="宋体"/>
          <w:sz w:val="24"/>
        </w:rPr>
        <w:t>地　址：　北京市海淀区复兴路47号天行建商务大厦2003</w:t>
      </w:r>
    </w:p>
    <w:p>
      <w:pPr>
        <w:spacing w:line="360" w:lineRule="auto"/>
        <w:ind w:firstLine="720" w:firstLineChars="300"/>
        <w:rPr>
          <w:rFonts w:ascii="宋体" w:hAnsi="宋体"/>
          <w:sz w:val="24"/>
        </w:rPr>
      </w:pPr>
      <w:r>
        <w:rPr>
          <w:rFonts w:ascii="宋体" w:hAnsi="宋体"/>
          <w:sz w:val="24"/>
        </w:rPr>
        <w:t>联系方式：</w:t>
      </w:r>
      <w:r>
        <w:rPr>
          <w:rFonts w:hint="eastAsia" w:ascii="宋体" w:hAnsi="宋体"/>
          <w:sz w:val="24"/>
        </w:rPr>
        <w:t>李梦茹、向生建，15810609609、18190750055</w:t>
      </w:r>
    </w:p>
    <w:p>
      <w:pPr>
        <w:spacing w:line="360" w:lineRule="auto"/>
        <w:ind w:firstLine="723" w:firstLineChars="300"/>
        <w:rPr>
          <w:b/>
          <w:sz w:val="24"/>
        </w:rPr>
      </w:pPr>
      <w:r>
        <w:rPr>
          <w:b/>
          <w:sz w:val="24"/>
        </w:rPr>
        <w:t>3.项目联系方式</w:t>
      </w:r>
      <w:bookmarkEnd w:id="32"/>
      <w:bookmarkEnd w:id="33"/>
    </w:p>
    <w:p>
      <w:pPr>
        <w:spacing w:line="360" w:lineRule="auto"/>
        <w:ind w:firstLine="720" w:firstLineChars="300"/>
        <w:rPr>
          <w:rFonts w:ascii="宋体" w:hAnsi="宋体"/>
          <w:sz w:val="24"/>
        </w:rPr>
      </w:pPr>
      <w:r>
        <w:rPr>
          <w:rFonts w:ascii="宋体" w:hAnsi="宋体"/>
          <w:sz w:val="24"/>
        </w:rPr>
        <w:t>项目联系人：</w:t>
      </w:r>
      <w:r>
        <w:rPr>
          <w:rFonts w:hint="eastAsia" w:ascii="宋体" w:hAnsi="宋体"/>
          <w:sz w:val="24"/>
        </w:rPr>
        <w:t>李梦茹</w:t>
      </w:r>
      <w:r>
        <w:rPr>
          <w:rFonts w:ascii="宋体" w:hAnsi="宋体"/>
          <w:sz w:val="24"/>
        </w:rPr>
        <w:t>、向生建</w:t>
      </w:r>
    </w:p>
    <w:p>
      <w:pPr>
        <w:spacing w:line="360" w:lineRule="auto"/>
        <w:ind w:firstLine="720" w:firstLineChars="300"/>
        <w:rPr>
          <w:rFonts w:ascii="宋体" w:hAnsi="宋体"/>
          <w:sz w:val="24"/>
        </w:rPr>
      </w:pPr>
      <w:r>
        <w:rPr>
          <w:rFonts w:ascii="宋体" w:hAnsi="宋体"/>
          <w:sz w:val="24"/>
        </w:rPr>
        <w:t>电      话：</w:t>
      </w:r>
      <w:r>
        <w:rPr>
          <w:rFonts w:hint="eastAsia" w:ascii="宋体" w:hAnsi="宋体"/>
          <w:sz w:val="24"/>
        </w:rPr>
        <w:t>15810609609、18190750055</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4" w:name="_Toc353825548"/>
      <w:bookmarkStart w:id="35" w:name="_Toc305158928"/>
      <w:bookmarkStart w:id="36" w:name="_Toc264969275"/>
      <w:bookmarkStart w:id="37" w:name="_Toc127161488"/>
      <w:bookmarkStart w:id="38" w:name="_Toc512937850"/>
      <w:bookmarkStart w:id="39" w:name="_Toc195842950"/>
      <w:bookmarkStart w:id="40" w:name="_Toc99301374"/>
      <w:bookmarkStart w:id="41" w:name="_Toc305158854"/>
      <w:bookmarkStart w:id="42" w:name="_Toc265228423"/>
      <w:bookmarkStart w:id="43" w:name="_Toc353873938"/>
      <w:bookmarkStart w:id="44" w:name="_Toc127151777"/>
      <w:bookmarkStart w:id="45" w:name="_Toc150774783"/>
      <w:bookmarkStart w:id="46" w:name="_Toc226965856"/>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4"/>
        <w:tabs>
          <w:tab w:val="center" w:pos="4592"/>
          <w:tab w:val="left" w:pos="7860"/>
        </w:tabs>
        <w:spacing w:before="0" w:line="360" w:lineRule="auto"/>
        <w:rPr>
          <w:rFonts w:ascii="Times New Roman" w:hAnsi="Times New Roman" w:eastAsia="宋体"/>
          <w:sz w:val="28"/>
        </w:rPr>
      </w:pPr>
      <w:bookmarkStart w:id="47" w:name="_Hlk97750450"/>
      <w:bookmarkStart w:id="48" w:name="_Toc127161433"/>
      <w:bookmarkStart w:id="49" w:name="_Toc150509270"/>
      <w:bookmarkStart w:id="50" w:name="_Toc151193689"/>
      <w:bookmarkStart w:id="51" w:name="_Toc226337215"/>
      <w:bookmarkStart w:id="52" w:name="_Toc226965709"/>
      <w:bookmarkStart w:id="53" w:name="_Toc195842884"/>
      <w:bookmarkStart w:id="54" w:name="_Toc151193761"/>
      <w:bookmarkStart w:id="55" w:name="_Toc164229360"/>
      <w:bookmarkStart w:id="56" w:name="_Toc226309763"/>
      <w:bookmarkStart w:id="57" w:name="_Toc151190146"/>
      <w:bookmarkStart w:id="58" w:name="_Toc151193833"/>
      <w:bookmarkStart w:id="59" w:name="_Toc127151519"/>
      <w:bookmarkStart w:id="60" w:name="_Toc150774619"/>
      <w:bookmarkStart w:id="61" w:name="_Toc127151720"/>
      <w:bookmarkStart w:id="62" w:name="_Toc151193617"/>
      <w:bookmarkStart w:id="63" w:name="_Toc226965792"/>
      <w:bookmarkStart w:id="64" w:name="_Toc149720812"/>
      <w:bookmarkStart w:id="65" w:name="_Toc164229214"/>
      <w:bookmarkStart w:id="66" w:name="_Toc151193907"/>
      <w:bookmarkStart w:id="67" w:name="_Toc150774724"/>
      <w:bookmarkStart w:id="68" w:name="_Toc142311021"/>
      <w:bookmarkStart w:id="69" w:name="_Toc164351613"/>
      <w:bookmarkStart w:id="70" w:name="_Toc164608633"/>
      <w:bookmarkStart w:id="71" w:name="_Toc150480757"/>
      <w:bookmarkStart w:id="72" w:name="_Toc520356144"/>
      <w:bookmarkStart w:id="73" w:name="_Toc164608788"/>
      <w:r>
        <w:rPr>
          <w:rFonts w:ascii="Times New Roman" w:hAnsi="Times New Roman" w:eastAsia="宋体"/>
          <w:sz w:val="28"/>
        </w:rPr>
        <w:t>供应商须知资料表</w:t>
      </w:r>
      <w:bookmarkEnd w:id="47"/>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科研仪器设备</w:t>
            </w:r>
          </w:p>
        </w:tc>
        <w:tc>
          <w:tcPr>
            <w:tcW w:w="7253" w:type="dxa"/>
            <w:vAlign w:val="center"/>
          </w:tcPr>
          <w:p>
            <w:pPr>
              <w:spacing w:line="360" w:lineRule="auto"/>
              <w:rPr>
                <w:rFonts w:ascii="宋体" w:hAnsi="宋体"/>
                <w:sz w:val="24"/>
              </w:rPr>
            </w:pPr>
            <w:r>
              <w:rPr>
                <w:rFonts w:ascii="宋体" w:hAnsi="宋体"/>
                <w:sz w:val="24"/>
              </w:rPr>
              <w:t>是否属于科研仪器设备采购项目：</w:t>
            </w:r>
          </w:p>
          <w:p>
            <w:pPr>
              <w:spacing w:line="360" w:lineRule="auto"/>
              <w:rPr>
                <w:rFonts w:ascii="宋体" w:hAnsi="宋体"/>
                <w:sz w:val="24"/>
              </w:rPr>
            </w:pPr>
            <w:r>
              <w:rPr>
                <w:rFonts w:hint="eastAsia" w:ascii="宋体" w:hAnsi="宋体"/>
                <w:sz w:val="24"/>
              </w:rPr>
              <w:t>□</w:t>
            </w:r>
            <w:r>
              <w:rPr>
                <w:rFonts w:ascii="宋体" w:hAnsi="宋体"/>
                <w:sz w:val="24"/>
              </w:rPr>
              <w:t>是</w:t>
            </w:r>
          </w:p>
          <w:p>
            <w:pPr>
              <w:spacing w:line="360" w:lineRule="auto"/>
              <w:rPr>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3.2.5</w:t>
            </w:r>
          </w:p>
        </w:tc>
        <w:tc>
          <w:tcPr>
            <w:tcW w:w="1701" w:type="dxa"/>
            <w:vAlign w:val="center"/>
          </w:tcPr>
          <w:p>
            <w:pPr>
              <w:jc w:val="center"/>
              <w:rPr>
                <w:sz w:val="24"/>
              </w:rPr>
            </w:pPr>
            <w:r>
              <w:rPr>
                <w:sz w:val="24"/>
              </w:rPr>
              <w:t>标的所属行业</w:t>
            </w:r>
          </w:p>
        </w:tc>
        <w:tc>
          <w:tcPr>
            <w:tcW w:w="7253" w:type="dxa"/>
            <w:vAlign w:val="center"/>
          </w:tcPr>
          <w:p>
            <w:pPr>
              <w:spacing w:line="360" w:lineRule="auto"/>
              <w:rPr>
                <w:rFonts w:ascii="宋体" w:hAnsi="宋体"/>
                <w:sz w:val="24"/>
              </w:rPr>
            </w:pPr>
            <w:r>
              <w:rPr>
                <w:rFonts w:ascii="宋体" w:hAnsi="宋体"/>
                <w:sz w:val="24"/>
              </w:rPr>
              <w:t>本项目采购标的对应的中小企业划分标准所属行业：</w:t>
            </w:r>
          </w:p>
          <w:tbl>
            <w:tblPr>
              <w:tblStyle w:val="43"/>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c>
                <w:tcPr>
                  <w:tcW w:w="205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监理服务</w:t>
                  </w:r>
                </w:p>
              </w:tc>
              <w:tc>
                <w:tcPr>
                  <w:tcW w:w="238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r>
                    <w:rPr>
                      <w:rFonts w:hint="eastAsia" w:eastAsiaTheme="minorEastAsia"/>
                      <w:kern w:val="0"/>
                      <w:sz w:val="24"/>
                    </w:rPr>
                    <w:t>其他未列明行业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9.2</w:t>
            </w:r>
          </w:p>
        </w:tc>
        <w:tc>
          <w:tcPr>
            <w:tcW w:w="1701" w:type="dxa"/>
            <w:vAlign w:val="center"/>
          </w:tcPr>
          <w:p>
            <w:pPr>
              <w:jc w:val="center"/>
              <w:rPr>
                <w:sz w:val="24"/>
              </w:rPr>
            </w:pPr>
            <w:r>
              <w:rPr>
                <w:sz w:val="24"/>
              </w:rPr>
              <w:t>报价</w:t>
            </w:r>
          </w:p>
        </w:tc>
        <w:tc>
          <w:tcPr>
            <w:tcW w:w="7253" w:type="dxa"/>
            <w:vAlign w:val="center"/>
          </w:tcPr>
          <w:p>
            <w:pPr>
              <w:spacing w:line="360" w:lineRule="auto"/>
              <w:rPr>
                <w:rFonts w:ascii="宋体" w:hAnsi="宋体"/>
                <w:sz w:val="24"/>
              </w:rPr>
            </w:pPr>
            <w:r>
              <w:rPr>
                <w:rFonts w:ascii="宋体" w:hAnsi="宋体"/>
                <w:sz w:val="24"/>
              </w:rPr>
              <w:t>报价的特殊规定：</w:t>
            </w:r>
          </w:p>
          <w:p>
            <w:pPr>
              <w:spacing w:line="360" w:lineRule="auto"/>
              <w:rPr>
                <w:rFonts w:ascii="宋体" w:hAnsi="宋体"/>
                <w:sz w:val="24"/>
              </w:rPr>
            </w:pPr>
            <w:r>
              <w:rPr>
                <w:rFonts w:hint="eastAsia" w:ascii="宋体" w:hAnsi="宋体"/>
                <w:sz w:val="24"/>
              </w:rPr>
              <w:t>□</w:t>
            </w:r>
            <w:r>
              <w:rPr>
                <w:rFonts w:ascii="宋体" w:hAnsi="宋体"/>
                <w:sz w:val="24"/>
              </w:rPr>
              <w:t>无</w:t>
            </w:r>
          </w:p>
          <w:p>
            <w:pPr>
              <w:spacing w:line="360" w:lineRule="auto"/>
              <w:rPr>
                <w:rFonts w:ascii="宋体" w:hAnsi="宋体"/>
                <w:sz w:val="24"/>
              </w:rPr>
            </w:pPr>
            <w:r>
              <w:rPr>
                <w:rFonts w:ascii="宋体" w:hAnsi="宋体"/>
                <w:sz w:val="24"/>
              </w:rPr>
              <w:t>■有，具体情形：</w:t>
            </w:r>
          </w:p>
          <w:p>
            <w:pPr>
              <w:spacing w:line="360" w:lineRule="auto"/>
              <w:rPr>
                <w:rFonts w:ascii="宋体" w:hAnsi="宋体"/>
                <w:sz w:val="24"/>
              </w:rPr>
            </w:pPr>
            <w:r>
              <w:rPr>
                <w:rFonts w:hint="eastAsia" w:ascii="宋体" w:hAnsi="宋体"/>
                <w:sz w:val="24"/>
              </w:rPr>
              <w:t>1、采购人就本合同约定内容将不再支付最后报价以外的费用。</w:t>
            </w:r>
          </w:p>
          <w:p>
            <w:pPr>
              <w:spacing w:line="360" w:lineRule="auto"/>
              <w:rPr>
                <w:rFonts w:hAnsi="宋体"/>
                <w:sz w:val="24"/>
              </w:rPr>
            </w:pPr>
            <w:r>
              <w:rPr>
                <w:rFonts w:hint="eastAsia" w:ascii="宋体" w:hAnsi="宋体"/>
                <w:sz w:val="24"/>
              </w:rPr>
              <w:t xml:space="preserve">2、报价币种及单位：人民币元，币种及单位不符合该要求的响应无效。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10.1</w:t>
            </w:r>
          </w:p>
        </w:tc>
        <w:tc>
          <w:tcPr>
            <w:tcW w:w="1701" w:type="dxa"/>
            <w:vMerge w:val="restart"/>
            <w:vAlign w:val="center"/>
          </w:tcPr>
          <w:p>
            <w:pPr>
              <w:jc w:val="center"/>
              <w:rPr>
                <w:sz w:val="24"/>
              </w:rPr>
            </w:pPr>
            <w:r>
              <w:rPr>
                <w:sz w:val="24"/>
              </w:rPr>
              <w:t>保证金</w:t>
            </w:r>
          </w:p>
        </w:tc>
        <w:tc>
          <w:tcPr>
            <w:tcW w:w="7253" w:type="dxa"/>
            <w:vAlign w:val="center"/>
          </w:tcPr>
          <w:p>
            <w:pPr>
              <w:spacing w:line="360" w:lineRule="auto"/>
              <w:rPr>
                <w:rFonts w:ascii="宋体" w:hAnsi="宋体"/>
                <w:sz w:val="24"/>
              </w:rPr>
            </w:pPr>
            <w:r>
              <w:rPr>
                <w:rFonts w:hint="eastAsia" w:ascii="宋体" w:hAnsi="宋体"/>
                <w:sz w:val="24"/>
              </w:rPr>
              <w:t>1、</w:t>
            </w:r>
            <w:r>
              <w:rPr>
                <w:rFonts w:ascii="宋体" w:hAnsi="宋体"/>
                <w:sz w:val="24"/>
              </w:rPr>
              <w:t>保证金金额：</w:t>
            </w:r>
            <w:r>
              <w:rPr>
                <w:rFonts w:hint="eastAsia" w:ascii="宋体" w:hAnsi="宋体"/>
                <w:sz w:val="24"/>
                <w:u w:val="single"/>
              </w:rPr>
              <w:t xml:space="preserve"> </w:t>
            </w:r>
            <w:r>
              <w:rPr>
                <w:rFonts w:hint="eastAsia" w:ascii="宋体" w:hAnsi="宋体"/>
                <w:sz w:val="24"/>
                <w:u w:val="single"/>
                <w:lang w:val="en-US" w:eastAsia="zh-CN"/>
              </w:rPr>
              <w:t>4000</w:t>
            </w:r>
            <w:r>
              <w:rPr>
                <w:rFonts w:hint="eastAsia" w:ascii="宋体" w:hAnsi="宋体"/>
                <w:sz w:val="24"/>
                <w:u w:val="single"/>
              </w:rPr>
              <w:t xml:space="preserve"> </w:t>
            </w:r>
            <w:r>
              <w:rPr>
                <w:rFonts w:hint="eastAsia" w:ascii="宋体" w:hAnsi="宋体"/>
                <w:sz w:val="24"/>
              </w:rPr>
              <w:t>元</w:t>
            </w:r>
          </w:p>
          <w:p>
            <w:pPr>
              <w:spacing w:line="360" w:lineRule="auto"/>
              <w:rPr>
                <w:rFonts w:ascii="宋体" w:hAnsi="宋体"/>
                <w:sz w:val="24"/>
              </w:rPr>
            </w:pPr>
            <w:r>
              <w:rPr>
                <w:rFonts w:hint="eastAsia" w:ascii="宋体" w:hAnsi="宋体"/>
                <w:sz w:val="24"/>
              </w:rPr>
              <w:t>2、保证金形式：</w:t>
            </w:r>
          </w:p>
          <w:p>
            <w:pPr>
              <w:spacing w:line="360" w:lineRule="auto"/>
              <w:rPr>
                <w:rFonts w:ascii="宋体" w:hAnsi="宋体"/>
                <w:sz w:val="24"/>
              </w:rPr>
            </w:pPr>
            <w:r>
              <w:rPr>
                <w:rFonts w:hint="eastAsia" w:ascii="宋体" w:hAnsi="宋体"/>
                <w:sz w:val="24"/>
              </w:rPr>
              <w:t>（1）银行转账（对公转账）、支票、汇票、本票等非现金形式，并在响应文件中附谈判保证金缴纳凭证复印件。</w:t>
            </w:r>
          </w:p>
          <w:p>
            <w:pPr>
              <w:spacing w:line="360" w:lineRule="auto"/>
              <w:rPr>
                <w:rFonts w:ascii="宋体" w:hAnsi="宋体"/>
                <w:sz w:val="24"/>
              </w:rPr>
            </w:pPr>
            <w:r>
              <w:rPr>
                <w:rFonts w:hint="eastAsia" w:ascii="宋体" w:hAnsi="宋体"/>
                <w:sz w:val="24"/>
              </w:rPr>
              <w:t>（2）由具有融资性担保机构经营许可证的试点专业担保机构出具的谈判担保函。</w:t>
            </w:r>
          </w:p>
          <w:p>
            <w:pPr>
              <w:spacing w:line="360" w:lineRule="auto"/>
              <w:rPr>
                <w:rFonts w:ascii="宋体" w:hAnsi="宋体"/>
                <w:sz w:val="24"/>
              </w:rPr>
            </w:pPr>
            <w:r>
              <w:rPr>
                <w:rFonts w:hint="eastAsia" w:ascii="宋体" w:hAnsi="宋体"/>
                <w:sz w:val="24"/>
              </w:rPr>
              <w:t>3、递交方式：</w:t>
            </w:r>
          </w:p>
          <w:p>
            <w:pPr>
              <w:spacing w:line="360" w:lineRule="auto"/>
              <w:rPr>
                <w:rFonts w:ascii="宋体" w:hAnsi="宋体"/>
                <w:sz w:val="24"/>
              </w:rPr>
            </w:pPr>
            <w:r>
              <w:rPr>
                <w:rFonts w:hint="eastAsia" w:ascii="宋体" w:hAnsi="宋体"/>
                <w:sz w:val="24"/>
              </w:rPr>
              <w:t>（1）递交要求：</w:t>
            </w:r>
          </w:p>
          <w:p>
            <w:pPr>
              <w:spacing w:line="360" w:lineRule="auto"/>
              <w:rPr>
                <w:rFonts w:ascii="宋体" w:hAnsi="宋体"/>
                <w:sz w:val="24"/>
              </w:rPr>
            </w:pPr>
            <w:r>
              <w:rPr>
                <w:rFonts w:hint="eastAsia" w:ascii="宋体" w:hAnsi="宋体"/>
                <w:sz w:val="24"/>
              </w:rPr>
              <w:t xml:space="preserve">■采用银行汇款、电汇支付的保证金，必须保证谈判会前到达采购代理机构指定账户(需备注谈判编号)。    </w:t>
            </w:r>
          </w:p>
          <w:p>
            <w:pPr>
              <w:spacing w:line="360" w:lineRule="auto"/>
              <w:rPr>
                <w:rFonts w:ascii="宋体" w:hAnsi="宋体"/>
                <w:sz w:val="24"/>
              </w:rPr>
            </w:pPr>
            <w:r>
              <w:rPr>
                <w:rFonts w:hint="eastAsia" w:ascii="宋体" w:hAnsi="宋体"/>
                <w:sz w:val="24"/>
              </w:rPr>
              <w:t>账户名称: 建经投资咨询有限公司北京分公司</w:t>
            </w:r>
          </w:p>
          <w:p>
            <w:pPr>
              <w:spacing w:line="360" w:lineRule="auto"/>
              <w:rPr>
                <w:rFonts w:ascii="宋体" w:hAnsi="宋体"/>
                <w:sz w:val="24"/>
              </w:rPr>
            </w:pPr>
            <w:r>
              <w:rPr>
                <w:rFonts w:hint="eastAsia" w:ascii="宋体" w:hAnsi="宋体"/>
                <w:sz w:val="24"/>
              </w:rPr>
              <w:t>账    号: 11050170360000000627</w:t>
            </w:r>
          </w:p>
          <w:p>
            <w:pPr>
              <w:spacing w:line="360" w:lineRule="auto"/>
              <w:rPr>
                <w:rFonts w:ascii="宋体" w:hAnsi="宋体"/>
                <w:sz w:val="24"/>
              </w:rPr>
            </w:pPr>
            <w:r>
              <w:rPr>
                <w:rFonts w:hint="eastAsia" w:ascii="宋体" w:hAnsi="宋体"/>
                <w:sz w:val="24"/>
              </w:rPr>
              <w:t>开户银行: 中国建设银行北京长安支行</w:t>
            </w:r>
          </w:p>
          <w:p>
            <w:pPr>
              <w:spacing w:line="360" w:lineRule="auto"/>
              <w:rPr>
                <w:rFonts w:ascii="宋体" w:hAnsi="宋体"/>
                <w:sz w:val="24"/>
              </w:rPr>
            </w:pPr>
            <w:r>
              <w:rPr>
                <w:rFonts w:hint="eastAsia" w:ascii="宋体" w:hAnsi="宋体"/>
                <w:sz w:val="24"/>
              </w:rPr>
              <w:t>■采用担保函形式递交的应随响应文件一并提交。</w:t>
            </w:r>
          </w:p>
          <w:p>
            <w:pPr>
              <w:spacing w:line="360" w:lineRule="auto"/>
              <w:rPr>
                <w:rFonts w:ascii="宋体" w:hAnsi="宋体"/>
                <w:sz w:val="24"/>
              </w:rPr>
            </w:pPr>
            <w:r>
              <w:rPr>
                <w:rFonts w:hint="eastAsia" w:ascii="宋体" w:hAnsi="宋体"/>
                <w:sz w:val="24"/>
              </w:rPr>
              <w:t xml:space="preserve">注：供应商应将谈判保证金的凭证发到jjzxzb@126.com </w:t>
            </w:r>
            <w:r>
              <w:rPr>
                <w:rFonts w:ascii="宋体" w:hAnsi="宋体"/>
                <w:sz w:val="24"/>
              </w:rPr>
              <w:t xml:space="preserve">  </w:t>
            </w:r>
          </w:p>
          <w:p>
            <w:pPr>
              <w:spacing w:line="360" w:lineRule="auto"/>
              <w:rPr>
                <w:rFonts w:ascii="宋体" w:hAnsi="宋体"/>
                <w:sz w:val="24"/>
              </w:rPr>
            </w:pPr>
            <w:r>
              <w:rPr>
                <w:rFonts w:hint="eastAsia" w:ascii="宋体" w:hAnsi="宋体"/>
                <w:sz w:val="24"/>
              </w:rPr>
              <w:t>（2）谈判保证金在谈判文件规定的响应文件递交截止时间未能到达采购代理机构指定账户的，均视为无谈判保证金，谈判保证金有效期与响应有效期一致。</w:t>
            </w:r>
          </w:p>
          <w:p>
            <w:pPr>
              <w:spacing w:line="360" w:lineRule="auto"/>
              <w:rPr>
                <w:rFonts w:ascii="宋体" w:hAnsi="宋体"/>
                <w:sz w:val="24"/>
              </w:rPr>
            </w:pPr>
            <w:r>
              <w:rPr>
                <w:rFonts w:hint="eastAsia" w:ascii="宋体" w:hAnsi="宋体"/>
                <w:sz w:val="24"/>
              </w:rPr>
              <w:t xml:space="preserve">注意事项： </w:t>
            </w:r>
          </w:p>
          <w:p>
            <w:pPr>
              <w:spacing w:line="360" w:lineRule="auto"/>
              <w:rPr>
                <w:rFonts w:ascii="宋体" w:hAnsi="宋体"/>
                <w:sz w:val="24"/>
              </w:rPr>
            </w:pPr>
            <w:r>
              <w:rPr>
                <w:rFonts w:hint="eastAsia" w:ascii="宋体" w:hAnsi="宋体"/>
                <w:sz w:val="24"/>
              </w:rPr>
              <w:t>1）务必备注款项用途：谈判保证金，因款项用途备注不明确或错误导致的错款，不可作为保证金使用，需要在规定时间内重新支付，错款在项目结束后统一退还。</w:t>
            </w:r>
          </w:p>
          <w:p>
            <w:pPr>
              <w:spacing w:line="360" w:lineRule="auto"/>
              <w:rPr>
                <w:rFonts w:ascii="宋体" w:hAnsi="宋体"/>
                <w:sz w:val="24"/>
              </w:rPr>
            </w:pPr>
            <w:r>
              <w:rPr>
                <w:rFonts w:hint="eastAsia" w:ascii="宋体" w:hAnsi="宋体"/>
                <w:sz w:val="24"/>
              </w:rPr>
              <w:t xml:space="preserve">2）务必备注项目名称、编号及包号，可简写，不可不填。 </w:t>
            </w:r>
          </w:p>
          <w:p>
            <w:pPr>
              <w:spacing w:line="360" w:lineRule="auto"/>
              <w:rPr>
                <w:rFonts w:ascii="宋体" w:hAnsi="宋体"/>
                <w:sz w:val="24"/>
              </w:rPr>
            </w:pPr>
            <w:r>
              <w:rPr>
                <w:rFonts w:hint="eastAsia" w:ascii="宋体" w:hAnsi="宋体"/>
                <w:sz w:val="24"/>
              </w:rPr>
              <w:t>3)未备注项目名称、编号及包号财务部门不予受理，后果由供应商自行承担。</w:t>
            </w:r>
          </w:p>
          <w:p>
            <w:pPr>
              <w:pStyle w:val="13"/>
              <w:ind w:firstLine="0"/>
            </w:pPr>
            <w:r>
              <w:rPr>
                <w:rFonts w:hint="eastAsia" w:hAnsi="宋体"/>
              </w:rPr>
              <w:t>4）谈判保证金有效期与响应有效期一致。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10.7.5</w:t>
            </w:r>
          </w:p>
        </w:tc>
        <w:tc>
          <w:tcPr>
            <w:tcW w:w="1701" w:type="dxa"/>
            <w:vMerge w:val="continue"/>
            <w:vAlign w:val="center"/>
          </w:tcPr>
          <w:p>
            <w:pPr>
              <w:jc w:val="center"/>
              <w:rPr>
                <w:sz w:val="24"/>
              </w:rPr>
            </w:pPr>
          </w:p>
        </w:tc>
        <w:tc>
          <w:tcPr>
            <w:tcW w:w="7253" w:type="dxa"/>
            <w:vAlign w:val="center"/>
          </w:tcPr>
          <w:p>
            <w:pPr>
              <w:jc w:val="left"/>
              <w:rPr>
                <w:sz w:val="24"/>
              </w:rPr>
            </w:pPr>
            <w:r>
              <w:rPr>
                <w:sz w:val="24"/>
              </w:rPr>
              <w:t>保证金不予退还的其他情形：</w:t>
            </w:r>
          </w:p>
          <w:p>
            <w:pPr>
              <w:spacing w:line="360" w:lineRule="auto"/>
              <w:rPr>
                <w:rFonts w:ascii="宋体" w:hAnsi="宋体"/>
                <w:sz w:val="24"/>
              </w:rPr>
            </w:pPr>
            <w:r>
              <w:rPr>
                <w:rFonts w:ascii="宋体" w:hAnsi="宋体"/>
                <w:sz w:val="24"/>
              </w:rPr>
              <w:t>□无</w:t>
            </w:r>
          </w:p>
          <w:p>
            <w:pPr>
              <w:spacing w:line="360" w:lineRule="auto"/>
              <w:rPr>
                <w:rFonts w:ascii="宋体" w:hAnsi="宋体"/>
                <w:sz w:val="24"/>
              </w:rPr>
            </w:pPr>
            <w:r>
              <w:rPr>
                <w:rFonts w:ascii="宋体" w:hAnsi="宋体"/>
                <w:sz w:val="24"/>
              </w:rPr>
              <w:t>■有，具体情形：</w:t>
            </w:r>
          </w:p>
          <w:p>
            <w:pPr>
              <w:spacing w:line="360" w:lineRule="auto"/>
              <w:rPr>
                <w:rFonts w:ascii="宋体" w:hAnsi="宋体"/>
                <w:sz w:val="24"/>
              </w:rPr>
            </w:pPr>
            <w:r>
              <w:rPr>
                <w:rFonts w:ascii="宋体" w:hAnsi="宋体"/>
                <w:sz w:val="24"/>
              </w:rPr>
              <w:t>1、在采购人确定成交供应商以前放弃成交候选资格的；</w:t>
            </w:r>
          </w:p>
          <w:p>
            <w:pPr>
              <w:spacing w:line="360" w:lineRule="auto"/>
              <w:rPr>
                <w:rFonts w:ascii="宋体" w:hAnsi="宋体"/>
                <w:sz w:val="24"/>
              </w:rPr>
            </w:pPr>
            <w:r>
              <w:rPr>
                <w:rFonts w:ascii="宋体" w:hAnsi="宋体"/>
                <w:sz w:val="24"/>
              </w:rPr>
              <w:t>2、由于成交供应商的原因未能按照</w:t>
            </w:r>
            <w:r>
              <w:rPr>
                <w:rFonts w:hint="eastAsia" w:ascii="宋体" w:hAnsi="宋体"/>
                <w:sz w:val="24"/>
              </w:rPr>
              <w:t>谈判文件</w:t>
            </w:r>
            <w:r>
              <w:rPr>
                <w:rFonts w:ascii="宋体" w:hAnsi="宋体"/>
                <w:sz w:val="24"/>
              </w:rPr>
              <w:t>的规定交纳履约保证金的；</w:t>
            </w:r>
          </w:p>
          <w:p>
            <w:pPr>
              <w:pStyle w:val="24"/>
              <w:adjustRightInd w:val="0"/>
              <w:snapToGrid w:val="0"/>
              <w:rPr>
                <w:rFonts w:hint="default" w:ascii="Times New Roman" w:hAnsi="Times New Roman"/>
                <w:sz w:val="24"/>
              </w:rPr>
            </w:pPr>
            <w:r>
              <w:rPr>
                <w:rFonts w:hAnsi="宋体"/>
                <w:sz w:val="24"/>
                <w:szCs w:val="24"/>
              </w:rPr>
              <w:t>3、供应商未按要求向采购代理机构交纳代理费；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Align w:val="center"/>
          </w:tcPr>
          <w:p>
            <w:pPr>
              <w:spacing w:line="360" w:lineRule="auto"/>
              <w:rPr>
                <w:rFonts w:ascii="宋体" w:hAnsi="宋体"/>
                <w:sz w:val="24"/>
              </w:rPr>
            </w:pPr>
            <w:r>
              <w:rPr>
                <w:rFonts w:ascii="宋体" w:hAnsi="宋体"/>
                <w:sz w:val="24"/>
              </w:rPr>
              <w:t>响应有效期</w:t>
            </w:r>
          </w:p>
        </w:tc>
        <w:tc>
          <w:tcPr>
            <w:tcW w:w="7253" w:type="dxa"/>
            <w:vAlign w:val="center"/>
          </w:tcPr>
          <w:p>
            <w:pPr>
              <w:spacing w:line="360" w:lineRule="auto"/>
              <w:rPr>
                <w:rFonts w:ascii="宋体" w:hAnsi="宋体"/>
                <w:sz w:val="24"/>
              </w:rPr>
            </w:pPr>
            <w:r>
              <w:rPr>
                <w:rFonts w:ascii="宋体" w:hAnsi="宋体"/>
                <w:sz w:val="24"/>
              </w:rPr>
              <w:t>自响应文件提交截止之日起算</w:t>
            </w:r>
            <w:r>
              <w:rPr>
                <w:rFonts w:hint="eastAsia" w:ascii="宋体" w:hAnsi="宋体"/>
                <w:sz w:val="24"/>
              </w:rPr>
              <w:t>90</w:t>
            </w:r>
            <w:r>
              <w:rPr>
                <w:rFonts w:ascii="宋体"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16.1</w:t>
            </w:r>
          </w:p>
        </w:tc>
        <w:tc>
          <w:tcPr>
            <w:tcW w:w="1701" w:type="dxa"/>
            <w:vAlign w:val="center"/>
          </w:tcPr>
          <w:p>
            <w:pPr>
              <w:spacing w:line="360" w:lineRule="auto"/>
              <w:rPr>
                <w:rFonts w:ascii="宋体" w:hAnsi="宋体"/>
                <w:sz w:val="24"/>
              </w:rPr>
            </w:pPr>
            <w:r>
              <w:rPr>
                <w:rFonts w:hint="eastAsia" w:ascii="宋体" w:hAnsi="宋体"/>
                <w:sz w:val="24"/>
              </w:rPr>
              <w:t>谈判</w:t>
            </w:r>
            <w:r>
              <w:rPr>
                <w:rFonts w:ascii="宋体" w:hAnsi="宋体"/>
                <w:sz w:val="24"/>
              </w:rPr>
              <w:t>地点</w:t>
            </w:r>
          </w:p>
        </w:tc>
        <w:tc>
          <w:tcPr>
            <w:tcW w:w="7253" w:type="dxa"/>
            <w:vAlign w:val="center"/>
          </w:tcPr>
          <w:p>
            <w:pPr>
              <w:spacing w:line="360" w:lineRule="auto"/>
              <w:rPr>
                <w:rFonts w:ascii="宋体" w:hAnsi="宋体"/>
                <w:sz w:val="24"/>
              </w:rPr>
            </w:pPr>
            <w:r>
              <w:rPr>
                <w:rFonts w:ascii="宋体" w:hAnsi="宋体"/>
                <w:sz w:val="24"/>
              </w:rPr>
              <w:t>地点：</w:t>
            </w:r>
            <w:r>
              <w:rPr>
                <w:rFonts w:hint="eastAsia" w:ascii="宋体" w:hAnsi="宋体"/>
                <w:sz w:val="24"/>
              </w:rPr>
              <w:t>北京市海淀区复兴路47号天行建商务大厦2003</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19.1</w:t>
            </w:r>
          </w:p>
        </w:tc>
        <w:tc>
          <w:tcPr>
            <w:tcW w:w="1701" w:type="dxa"/>
            <w:vAlign w:val="center"/>
          </w:tcPr>
          <w:p>
            <w:pPr>
              <w:spacing w:line="360" w:lineRule="auto"/>
              <w:rPr>
                <w:sz w:val="24"/>
              </w:rPr>
            </w:pPr>
            <w:r>
              <w:rPr>
                <w:rFonts w:ascii="宋体" w:hAnsi="宋体"/>
                <w:sz w:val="24"/>
              </w:rPr>
              <w:t>确定成交供应商</w:t>
            </w:r>
          </w:p>
        </w:tc>
        <w:tc>
          <w:tcPr>
            <w:tcW w:w="7253" w:type="dxa"/>
            <w:vAlign w:val="center"/>
          </w:tcPr>
          <w:p>
            <w:pPr>
              <w:spacing w:line="360" w:lineRule="auto"/>
              <w:rPr>
                <w:rFonts w:ascii="宋体" w:hAnsi="宋体"/>
                <w:sz w:val="24"/>
              </w:rPr>
            </w:pPr>
            <w:r>
              <w:rPr>
                <w:rFonts w:ascii="宋体" w:hAnsi="宋体"/>
                <w:sz w:val="24"/>
              </w:rPr>
              <w:t>采购人是否授权谈判小组直接确定成交供应商：</w:t>
            </w:r>
          </w:p>
          <w:p>
            <w:pPr>
              <w:spacing w:line="360" w:lineRule="auto"/>
              <w:rPr>
                <w:rFonts w:ascii="宋体" w:hAnsi="宋体"/>
                <w:sz w:val="24"/>
              </w:rPr>
            </w:pPr>
            <w:r>
              <w:rPr>
                <w:rFonts w:ascii="宋体" w:hAnsi="宋体"/>
                <w:sz w:val="24"/>
              </w:rPr>
              <w:t>■否</w:t>
            </w:r>
          </w:p>
          <w:p>
            <w:pPr>
              <w:spacing w:line="360" w:lineRule="auto"/>
              <w:rPr>
                <w:rFonts w:ascii="宋体" w:hAnsi="宋体"/>
                <w:sz w:val="24"/>
              </w:rPr>
            </w:pPr>
            <w:r>
              <w:rPr>
                <w:rFonts w:ascii="宋体" w:hAnsi="宋体"/>
                <w:sz w:val="24"/>
              </w:rPr>
              <w:t>□是</w:t>
            </w:r>
          </w:p>
          <w:p>
            <w:pPr>
              <w:spacing w:line="360" w:lineRule="auto"/>
              <w:rPr>
                <w:sz w:val="24"/>
              </w:rPr>
            </w:pPr>
            <w:r>
              <w:rPr>
                <w:rFonts w:ascii="宋体" w:hAnsi="宋体"/>
                <w:sz w:val="24"/>
              </w:rPr>
              <w:t>成交候选人并列的，按照以下方式确定成交供应商：</w:t>
            </w:r>
            <w:r>
              <w:rPr>
                <w:sz w:val="24"/>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22.5</w:t>
            </w:r>
          </w:p>
        </w:tc>
        <w:tc>
          <w:tcPr>
            <w:tcW w:w="1701" w:type="dxa"/>
            <w:vAlign w:val="center"/>
          </w:tcPr>
          <w:p>
            <w:pPr>
              <w:spacing w:line="360" w:lineRule="auto"/>
              <w:rPr>
                <w:rFonts w:ascii="宋体" w:hAnsi="宋体"/>
                <w:sz w:val="24"/>
              </w:rPr>
            </w:pPr>
            <w:r>
              <w:rPr>
                <w:rFonts w:ascii="宋体" w:hAnsi="宋体"/>
                <w:sz w:val="24"/>
              </w:rPr>
              <w:t>分包</w:t>
            </w:r>
          </w:p>
        </w:tc>
        <w:tc>
          <w:tcPr>
            <w:tcW w:w="7253" w:type="dxa"/>
            <w:vAlign w:val="center"/>
          </w:tcPr>
          <w:p>
            <w:pPr>
              <w:spacing w:line="360" w:lineRule="auto"/>
              <w:rPr>
                <w:rFonts w:ascii="宋体" w:hAnsi="宋体"/>
                <w:sz w:val="24"/>
              </w:rPr>
            </w:pPr>
            <w:r>
              <w:rPr>
                <w:rFonts w:ascii="宋体" w:hAnsi="宋体"/>
                <w:sz w:val="24"/>
              </w:rPr>
              <w:t xml:space="preserve">本项目是否允许分包： </w:t>
            </w:r>
          </w:p>
          <w:p>
            <w:pPr>
              <w:spacing w:line="360" w:lineRule="auto"/>
              <w:rPr>
                <w:rFonts w:ascii="宋体" w:hAnsi="宋体"/>
                <w:sz w:val="24"/>
              </w:rPr>
            </w:pPr>
            <w:r>
              <w:rPr>
                <w:rFonts w:ascii="宋体" w:hAnsi="宋体"/>
                <w:sz w:val="24"/>
              </w:rPr>
              <w:t>■不允许</w:t>
            </w:r>
          </w:p>
          <w:p>
            <w:pPr>
              <w:spacing w:line="360" w:lineRule="auto"/>
              <w:rPr>
                <w:rFonts w:ascii="宋体" w:hAnsi="宋体"/>
                <w:sz w:val="24"/>
              </w:rPr>
            </w:pPr>
            <w:r>
              <w:rPr>
                <w:rFonts w:ascii="宋体" w:hAnsi="宋体"/>
                <w:sz w:val="24"/>
              </w:rPr>
              <w:t>□允许，具体要求：</w:t>
            </w:r>
          </w:p>
          <w:p>
            <w:pPr>
              <w:spacing w:line="360" w:lineRule="auto"/>
              <w:rPr>
                <w:rFonts w:ascii="宋体" w:hAnsi="宋体"/>
                <w:sz w:val="24"/>
              </w:rPr>
            </w:pPr>
            <w:r>
              <w:rPr>
                <w:rFonts w:ascii="宋体" w:hAnsi="宋体"/>
                <w:sz w:val="24"/>
              </w:rPr>
              <w:t>（1）可以分包履行的具体内容：__________；</w:t>
            </w:r>
          </w:p>
          <w:p>
            <w:pPr>
              <w:spacing w:line="360" w:lineRule="auto"/>
              <w:rPr>
                <w:rFonts w:ascii="宋体" w:hAnsi="宋体"/>
                <w:sz w:val="24"/>
              </w:rPr>
            </w:pPr>
            <w:r>
              <w:rPr>
                <w:rFonts w:ascii="宋体" w:hAnsi="宋体"/>
                <w:sz w:val="24"/>
              </w:rPr>
              <w:t>（2）允许分包的金额或者比例：__________；</w:t>
            </w:r>
          </w:p>
          <w:p>
            <w:pPr>
              <w:spacing w:line="360" w:lineRule="auto"/>
              <w:rPr>
                <w:rFonts w:ascii="宋体" w:hAnsi="宋体"/>
                <w:sz w:val="24"/>
              </w:rPr>
            </w:pPr>
            <w:r>
              <w:rPr>
                <w:rFonts w:ascii="宋体" w:hAnsi="宋体"/>
                <w:sz w:val="24"/>
              </w:rPr>
              <w:t>（3）其他要求：__________。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23.1.1</w:t>
            </w:r>
          </w:p>
        </w:tc>
        <w:tc>
          <w:tcPr>
            <w:tcW w:w="1701" w:type="dxa"/>
            <w:vAlign w:val="center"/>
          </w:tcPr>
          <w:p>
            <w:pPr>
              <w:spacing w:line="360" w:lineRule="auto"/>
              <w:rPr>
                <w:rFonts w:ascii="宋体" w:hAnsi="宋体"/>
                <w:sz w:val="24"/>
              </w:rPr>
            </w:pPr>
            <w:r>
              <w:rPr>
                <w:rFonts w:ascii="宋体" w:hAnsi="宋体"/>
                <w:sz w:val="24"/>
              </w:rPr>
              <w:t>询问</w:t>
            </w:r>
          </w:p>
        </w:tc>
        <w:tc>
          <w:tcPr>
            <w:tcW w:w="7253" w:type="dxa"/>
            <w:vAlign w:val="center"/>
          </w:tcPr>
          <w:p>
            <w:pPr>
              <w:spacing w:line="360" w:lineRule="auto"/>
              <w:rPr>
                <w:rFonts w:ascii="宋体" w:hAnsi="宋体"/>
                <w:sz w:val="24"/>
              </w:rPr>
            </w:pPr>
            <w:r>
              <w:rPr>
                <w:rFonts w:ascii="宋体" w:hAnsi="宋体"/>
                <w:sz w:val="24"/>
              </w:rPr>
              <w:t>询问送达形式：</w:t>
            </w:r>
            <w:r>
              <w:rPr>
                <w:rFonts w:hint="eastAsia" w:ascii="宋体" w:hAnsi="宋体"/>
                <w:sz w:val="24"/>
              </w:rPr>
              <w:t>书面形式</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23.3</w:t>
            </w:r>
          </w:p>
        </w:tc>
        <w:tc>
          <w:tcPr>
            <w:tcW w:w="1701" w:type="dxa"/>
            <w:vAlign w:val="center"/>
          </w:tcPr>
          <w:p>
            <w:pPr>
              <w:spacing w:line="360" w:lineRule="auto"/>
              <w:rPr>
                <w:rFonts w:ascii="宋体" w:hAnsi="宋体"/>
                <w:sz w:val="24"/>
              </w:rPr>
            </w:pPr>
            <w:r>
              <w:rPr>
                <w:rFonts w:ascii="宋体" w:hAnsi="宋体"/>
                <w:sz w:val="24"/>
              </w:rPr>
              <w:t>接收询问和质疑的联系方式</w:t>
            </w:r>
          </w:p>
        </w:tc>
        <w:tc>
          <w:tcPr>
            <w:tcW w:w="7253" w:type="dxa"/>
            <w:vAlign w:val="center"/>
          </w:tcPr>
          <w:p>
            <w:pPr>
              <w:spacing w:line="360" w:lineRule="auto"/>
              <w:rPr>
                <w:rFonts w:ascii="宋体" w:hAnsi="宋体"/>
                <w:sz w:val="24"/>
              </w:rPr>
            </w:pPr>
            <w:r>
              <w:rPr>
                <w:rFonts w:hint="eastAsia" w:ascii="宋体" w:hAnsi="宋体"/>
                <w:sz w:val="24"/>
              </w:rPr>
              <w:t>1、询问</w:t>
            </w:r>
          </w:p>
          <w:p>
            <w:pPr>
              <w:spacing w:line="360" w:lineRule="auto"/>
              <w:rPr>
                <w:rFonts w:ascii="宋体" w:hAnsi="宋体"/>
                <w:sz w:val="24"/>
              </w:rPr>
            </w:pPr>
            <w:r>
              <w:rPr>
                <w:rFonts w:ascii="宋体" w:hAnsi="宋体"/>
                <w:sz w:val="24"/>
              </w:rPr>
              <w:t>联系部门</w:t>
            </w:r>
            <w:r>
              <w:rPr>
                <w:rFonts w:hint="eastAsia" w:ascii="宋体" w:hAnsi="宋体"/>
                <w:sz w:val="24"/>
              </w:rPr>
              <w:t>、</w:t>
            </w:r>
            <w:r>
              <w:rPr>
                <w:rFonts w:ascii="宋体" w:hAnsi="宋体"/>
                <w:sz w:val="24"/>
              </w:rPr>
              <w:t>联系电话</w:t>
            </w:r>
            <w:r>
              <w:rPr>
                <w:rFonts w:hint="eastAsia" w:ascii="宋体" w:hAnsi="宋体"/>
                <w:sz w:val="24"/>
              </w:rPr>
              <w:t>、</w:t>
            </w:r>
            <w:r>
              <w:rPr>
                <w:rFonts w:ascii="宋体" w:hAnsi="宋体"/>
                <w:sz w:val="24"/>
              </w:rPr>
              <w:t>通讯地址：</w:t>
            </w:r>
            <w:r>
              <w:rPr>
                <w:rFonts w:hint="eastAsia" w:ascii="宋体" w:hAnsi="宋体"/>
                <w:sz w:val="24"/>
              </w:rPr>
              <w:t>见第一章《采购邀请》</w:t>
            </w:r>
          </w:p>
          <w:p>
            <w:pPr>
              <w:spacing w:line="360" w:lineRule="auto"/>
              <w:rPr>
                <w:rFonts w:ascii="宋体" w:hAnsi="宋体"/>
                <w:sz w:val="24"/>
              </w:rPr>
            </w:pPr>
            <w:r>
              <w:rPr>
                <w:rFonts w:hint="eastAsia" w:ascii="宋体" w:hAnsi="宋体"/>
                <w:sz w:val="24"/>
              </w:rPr>
              <w:t>2、质疑</w:t>
            </w:r>
          </w:p>
          <w:p>
            <w:pPr>
              <w:spacing w:line="360" w:lineRule="auto"/>
              <w:rPr>
                <w:rFonts w:ascii="宋体" w:hAnsi="宋体"/>
                <w:sz w:val="24"/>
              </w:rPr>
            </w:pPr>
            <w:r>
              <w:rPr>
                <w:rFonts w:ascii="宋体" w:hAnsi="宋体"/>
                <w:sz w:val="24"/>
              </w:rPr>
              <w:t>联系部门：</w:t>
            </w:r>
            <w:r>
              <w:rPr>
                <w:rFonts w:hint="eastAsia" w:ascii="宋体" w:hAnsi="宋体"/>
                <w:sz w:val="24"/>
              </w:rPr>
              <w:t>招标部</w:t>
            </w:r>
            <w:r>
              <w:rPr>
                <w:rFonts w:ascii="宋体" w:hAnsi="宋体"/>
                <w:sz w:val="24"/>
              </w:rPr>
              <w:t>；</w:t>
            </w:r>
          </w:p>
          <w:p>
            <w:pPr>
              <w:spacing w:line="360" w:lineRule="auto"/>
              <w:rPr>
                <w:rFonts w:ascii="宋体" w:hAnsi="宋体"/>
                <w:sz w:val="24"/>
              </w:rPr>
            </w:pPr>
            <w:r>
              <w:rPr>
                <w:rFonts w:ascii="宋体" w:hAnsi="宋体"/>
                <w:sz w:val="24"/>
              </w:rPr>
              <w:t>联系电话：1</w:t>
            </w:r>
            <w:r>
              <w:rPr>
                <w:rFonts w:hint="eastAsia" w:ascii="宋体" w:hAnsi="宋体"/>
                <w:sz w:val="24"/>
              </w:rPr>
              <w:t>5810609609</w:t>
            </w:r>
            <w:r>
              <w:rPr>
                <w:rFonts w:ascii="宋体" w:hAnsi="宋体"/>
                <w:sz w:val="24"/>
              </w:rPr>
              <w:t>；</w:t>
            </w:r>
          </w:p>
          <w:p>
            <w:pPr>
              <w:spacing w:line="360" w:lineRule="auto"/>
              <w:rPr>
                <w:rFonts w:ascii="宋体" w:hAnsi="宋体"/>
                <w:sz w:val="24"/>
              </w:rPr>
            </w:pPr>
            <w:r>
              <w:rPr>
                <w:rFonts w:ascii="宋体" w:hAnsi="宋体"/>
                <w:sz w:val="24"/>
              </w:rPr>
              <w:t>通讯地址：</w:t>
            </w:r>
            <w:r>
              <w:rPr>
                <w:rFonts w:hint="eastAsia" w:ascii="宋体" w:hAnsi="宋体"/>
                <w:sz w:val="24"/>
              </w:rPr>
              <w:t>北京市海淀区复兴路47号天行建商务大厦2003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w:t>
            </w:r>
          </w:p>
        </w:tc>
        <w:tc>
          <w:tcPr>
            <w:tcW w:w="1701" w:type="dxa"/>
            <w:vAlign w:val="center"/>
          </w:tcPr>
          <w:p>
            <w:pPr>
              <w:jc w:val="center"/>
              <w:rPr>
                <w:sz w:val="24"/>
              </w:rPr>
            </w:pPr>
            <w:r>
              <w:rPr>
                <w:sz w:val="24"/>
              </w:rPr>
              <w:t>代理费</w:t>
            </w:r>
          </w:p>
        </w:tc>
        <w:tc>
          <w:tcPr>
            <w:tcW w:w="7253" w:type="dxa"/>
            <w:vAlign w:val="center"/>
          </w:tcPr>
          <w:p>
            <w:pPr>
              <w:jc w:val="left"/>
              <w:rPr>
                <w:sz w:val="24"/>
              </w:rPr>
            </w:pPr>
            <w:r>
              <w:rPr>
                <w:sz w:val="24"/>
              </w:rPr>
              <w:t>收费对象：</w:t>
            </w:r>
          </w:p>
          <w:p>
            <w:pPr>
              <w:spacing w:line="360" w:lineRule="auto"/>
              <w:rPr>
                <w:rFonts w:ascii="宋体" w:hAnsi="宋体"/>
                <w:sz w:val="24"/>
              </w:rPr>
            </w:pPr>
            <w:r>
              <w:rPr>
                <w:rFonts w:ascii="宋体" w:hAnsi="宋体"/>
                <w:sz w:val="24"/>
              </w:rPr>
              <w:t>□采购人</w:t>
            </w:r>
          </w:p>
          <w:p>
            <w:pPr>
              <w:spacing w:line="360" w:lineRule="auto"/>
              <w:rPr>
                <w:rFonts w:ascii="宋体" w:hAnsi="宋体"/>
                <w:sz w:val="24"/>
              </w:rPr>
            </w:pPr>
            <w:r>
              <w:rPr>
                <w:rFonts w:ascii="宋体" w:hAnsi="宋体"/>
                <w:sz w:val="24"/>
              </w:rPr>
              <w:t>■成交供应商</w:t>
            </w:r>
          </w:p>
          <w:p>
            <w:pPr>
              <w:spacing w:line="360" w:lineRule="auto"/>
              <w:rPr>
                <w:sz w:val="24"/>
              </w:rPr>
            </w:pPr>
            <w:r>
              <w:rPr>
                <w:rFonts w:hint="eastAsia" w:ascii="宋体" w:hAnsi="宋体"/>
                <w:sz w:val="24"/>
              </w:rPr>
              <w:t>收费标准</w:t>
            </w:r>
            <w:r>
              <w:rPr>
                <w:rFonts w:ascii="宋体" w:hAnsi="宋体"/>
                <w:sz w:val="24"/>
              </w:rPr>
              <w:t>:以原国家计委《招标代理服务收费管理暂行办法》</w:t>
            </w:r>
            <w:r>
              <w:rPr>
                <w:rFonts w:hint="eastAsia" w:ascii="宋体" w:hAnsi="宋体"/>
                <w:sz w:val="24"/>
              </w:rPr>
              <w:t>(计价格【2002】19</w:t>
            </w:r>
            <w:r>
              <w:rPr>
                <w:rFonts w:hint="eastAsia" w:ascii="宋体" w:hAnsi="宋体"/>
                <w:sz w:val="24"/>
                <w:highlight w:val="none"/>
              </w:rPr>
              <w:t>80)号文件</w:t>
            </w:r>
            <w:r>
              <w:rPr>
                <w:rFonts w:hint="eastAsia" w:ascii="宋体" w:hAnsi="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100965</wp:posOffset>
                      </wp:positionV>
                      <wp:extent cx="135890" cy="10350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a:effectLst/>
                            </wps:spPr>
                            <wps:txbx>
                              <w:txbxContent>
                                <w:p>
                                  <w:pPr>
                                    <w:spacing w:before="19" w:line="123" w:lineRule="exact"/>
                                    <w:ind w:left="20"/>
                                    <w:rPr>
                                      <w:rFonts w:ascii="宋体" w:hAnsi="宋体" w:cs="宋体"/>
                                      <w:sz w:val="24"/>
                                    </w:rPr>
                                  </w:pPr>
                                  <w:r>
                                    <w:rPr>
                                      <w:rFonts w:ascii="宋体" w:hAnsi="宋体" w:cs="宋体"/>
                                      <w:spacing w:val="-19"/>
                                      <w:w w:val="80"/>
                                      <w:position w:val="1"/>
                                      <w:sz w:val="24"/>
                                    </w:rPr>
                                    <w:t>。</w:t>
                                  </w:r>
                                </w:p>
                              </w:txbxContent>
                            </wps:txbx>
                            <wps:bodyPr lIns="0" tIns="0" rIns="0" bIns="0" upright="1"/>
                          </wps:wsp>
                        </a:graphicData>
                      </a:graphic>
                    </wp:anchor>
                  </w:drawing>
                </mc:Choice>
                <mc:Fallback>
                  <w:pict>
                    <v:shape id="_x0000_s1026" o:spid="_x0000_s1026" o:spt="202" type="#_x0000_t202" style="position:absolute;left:0pt;margin-left:107.85pt;margin-top:7.95pt;height:8.15pt;width:10.7pt;z-index:251659264;mso-width-relative:page;mso-height-relative:page;" filled="f" stroked="f" coordsize="21600,21600" o:gfxdata="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H8an9kAAAAJAQAADwAAAAAAAAABACAAAAAiAAAAZHJzL2Rvd25yZXYueG1s&#10;UEsBAhQAFAAAAAgAh07iQA6/OWO+AQAAgQMAAA4AAAAAAAAAAQAgAAAAKAEAAGRycy9lMm9Eb2Mu&#10;eG1sUEsFBgAAAAAGAAYAWQEAAFgFAAAAAA==&#10;">
                      <v:fill on="f" focussize="0,0"/>
                      <v:stroke on="f"/>
                      <v:imagedata o:title=""/>
                      <o:lock v:ext="edit" aspectratio="f"/>
                      <v:textbox inset="0mm,0mm,0mm,0mm">
                        <w:txbxContent>
                          <w:p>
                            <w:pPr>
                              <w:spacing w:before="19" w:line="123" w:lineRule="exact"/>
                              <w:ind w:left="20"/>
                              <w:rPr>
                                <w:rFonts w:ascii="宋体" w:hAnsi="宋体" w:cs="宋体"/>
                                <w:sz w:val="24"/>
                              </w:rPr>
                            </w:pPr>
                            <w:r>
                              <w:rPr>
                                <w:rFonts w:ascii="宋体" w:hAnsi="宋体" w:cs="宋体"/>
                                <w:spacing w:val="-19"/>
                                <w:w w:val="80"/>
                                <w:position w:val="1"/>
                                <w:sz w:val="24"/>
                              </w:rPr>
                              <w:t>。</w:t>
                            </w:r>
                          </w:p>
                        </w:txbxContent>
                      </v:textbox>
                    </v:shape>
                  </w:pict>
                </mc:Fallback>
              </mc:AlternateContent>
            </w:r>
            <w:r>
              <w:rPr>
                <w:rFonts w:hint="eastAsia" w:ascii="宋体" w:hAnsi="宋体"/>
                <w:sz w:val="24"/>
                <w:highlight w:val="none"/>
              </w:rPr>
              <w:t>规定</w:t>
            </w:r>
            <w:r>
              <w:rPr>
                <w:rFonts w:ascii="宋体" w:hAnsi="宋体"/>
                <w:sz w:val="24"/>
                <w:highlight w:val="none"/>
              </w:rPr>
              <w:t>，</w:t>
            </w:r>
            <w:r>
              <w:rPr>
                <w:rFonts w:hint="eastAsia" w:ascii="宋体" w:hAnsi="宋体"/>
                <w:sz w:val="24"/>
                <w:highlight w:val="none"/>
              </w:rPr>
              <w:t>服务类下浮20%；会</w:t>
            </w:r>
            <w:r>
              <w:rPr>
                <w:rFonts w:hint="eastAsia" w:ascii="宋体" w:hAnsi="宋体"/>
                <w:sz w:val="24"/>
              </w:rPr>
              <w:t>议费、专家评审费据实结算。</w:t>
            </w:r>
          </w:p>
        </w:tc>
      </w:tr>
    </w:tbl>
    <w:p>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74" w:name="_Toc353873932"/>
      <w:bookmarkStart w:id="75" w:name="_Toc150480755"/>
      <w:bookmarkStart w:id="76" w:name="_Toc305158785"/>
      <w:bookmarkStart w:id="77" w:name="_Toc226337213"/>
      <w:bookmarkStart w:id="78" w:name="_Toc195842882"/>
      <w:bookmarkStart w:id="79" w:name="_Toc150774722"/>
      <w:bookmarkStart w:id="80" w:name="_Toc264969207"/>
      <w:bookmarkStart w:id="81" w:name="_Toc305158859"/>
      <w:bookmarkStart w:id="82" w:name="_Toc353873662"/>
      <w:bookmarkStart w:id="83" w:name="_Toc353825542"/>
      <w:bookmarkStart w:id="84" w:name="_Toc127151517"/>
      <w:bookmarkStart w:id="85" w:name="_Toc265228355"/>
      <w:bookmarkStart w:id="86" w:name="_Toc226965790"/>
      <w:bookmarkStart w:id="87" w:name="_Toc142311019"/>
      <w:r>
        <w:rPr>
          <w:b/>
          <w:sz w:val="28"/>
          <w:szCs w:val="28"/>
        </w:rPr>
        <w:t>供应商须知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4"/>
        <w:tabs>
          <w:tab w:val="center" w:pos="4592"/>
          <w:tab w:val="left" w:pos="7860"/>
        </w:tabs>
        <w:spacing w:before="0" w:line="360" w:lineRule="auto"/>
        <w:jc w:val="left"/>
        <w:rPr>
          <w:rFonts w:ascii="Times New Roman" w:hAnsi="Times New Roman" w:eastAsia="宋体"/>
          <w:sz w:val="28"/>
        </w:rPr>
      </w:pPr>
      <w:bookmarkStart w:id="88" w:name="_Toc127151518"/>
      <w:bookmarkStart w:id="89" w:name="_Toc520356143"/>
      <w:r>
        <w:rPr>
          <w:rFonts w:ascii="Times New Roman" w:hAnsi="Times New Roman" w:eastAsia="宋体"/>
          <w:sz w:val="28"/>
        </w:rPr>
        <w:tab/>
      </w:r>
      <w:bookmarkStart w:id="90" w:name="_Toc226965708"/>
      <w:bookmarkStart w:id="91" w:name="_Toc142311020"/>
      <w:bookmarkStart w:id="92" w:name="_Toc151193832"/>
      <w:bookmarkStart w:id="93" w:name="_Toc195842883"/>
      <w:bookmarkStart w:id="94" w:name="_Toc264969208"/>
      <w:bookmarkStart w:id="95" w:name="_Toc226337214"/>
      <w:bookmarkStart w:id="96" w:name="_Toc151193616"/>
      <w:bookmarkStart w:id="97" w:name="_Toc150774618"/>
      <w:bookmarkStart w:id="98" w:name="_Toc150774723"/>
      <w:bookmarkStart w:id="99" w:name="_Toc226965791"/>
      <w:bookmarkStart w:id="100" w:name="_Toc150509269"/>
      <w:bookmarkStart w:id="101" w:name="_Toc150480756"/>
      <w:bookmarkStart w:id="102" w:name="_Toc151193688"/>
      <w:bookmarkStart w:id="103" w:name="_Toc305158860"/>
      <w:bookmarkStart w:id="104" w:name="_Toc226309762"/>
      <w:bookmarkStart w:id="105" w:name="_Toc151190145"/>
      <w:bookmarkStart w:id="106" w:name="_Toc265228356"/>
      <w:bookmarkStart w:id="107" w:name="_Toc305158786"/>
      <w:bookmarkStart w:id="108" w:name="_Toc151193760"/>
      <w:bookmarkStart w:id="109" w:name="_Toc151193906"/>
      <w:r>
        <w:rPr>
          <w:rFonts w:ascii="Times New Roman" w:hAnsi="Times New Roman"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eastAsia="宋体"/>
          <w:sz w:val="28"/>
        </w:rPr>
        <w:tab/>
      </w:r>
    </w:p>
    <w:p>
      <w:pPr>
        <w:numPr>
          <w:ilvl w:val="0"/>
          <w:numId w:val="9"/>
        </w:numPr>
        <w:tabs>
          <w:tab w:val="left" w:pos="360"/>
          <w:tab w:val="clear" w:pos="900"/>
        </w:tabs>
        <w:snapToGrid w:val="0"/>
        <w:spacing w:line="360" w:lineRule="auto"/>
        <w:ind w:left="357" w:hanging="357"/>
        <w:outlineLvl w:val="1"/>
        <w:rPr>
          <w:sz w:val="24"/>
        </w:rPr>
      </w:pPr>
      <w:bookmarkStart w:id="110" w:name="_Toc265228357"/>
      <w:bookmarkStart w:id="111" w:name="_Toc305158787"/>
      <w:bookmarkStart w:id="112" w:name="_Toc305158861"/>
      <w:bookmarkStart w:id="113" w:name="_Toc264969209"/>
      <w:r>
        <w:rPr>
          <w:sz w:val="24"/>
        </w:rPr>
        <w:t>采购人、采购代理机构、供应商</w:t>
      </w:r>
      <w:bookmarkEnd w:id="110"/>
      <w:bookmarkEnd w:id="111"/>
      <w:bookmarkEnd w:id="112"/>
      <w:bookmarkEnd w:id="113"/>
      <w:r>
        <w:rPr>
          <w:sz w:val="24"/>
        </w:rPr>
        <w:t>、联合体</w:t>
      </w:r>
    </w:p>
    <w:p>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9"/>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sz w:val="24"/>
        </w:rPr>
      </w:pPr>
      <w:bookmarkStart w:id="114" w:name="_Toc305158788"/>
      <w:bookmarkStart w:id="115" w:name="_Toc226965793"/>
      <w:bookmarkStart w:id="116" w:name="_Toc164229361"/>
      <w:bookmarkStart w:id="117" w:name="_Toc127151520"/>
      <w:bookmarkStart w:id="118" w:name="_Toc149720813"/>
      <w:bookmarkStart w:id="119" w:name="_Toc264969210"/>
      <w:bookmarkStart w:id="120" w:name="_Toc151193690"/>
      <w:bookmarkStart w:id="121" w:name="_Toc265228358"/>
      <w:bookmarkStart w:id="122" w:name="_Toc150774725"/>
      <w:bookmarkStart w:id="123" w:name="_Toc142311022"/>
      <w:bookmarkStart w:id="124" w:name="_Toc127161434"/>
      <w:bookmarkStart w:id="125" w:name="_Toc151193908"/>
      <w:bookmarkStart w:id="126" w:name="_Toc226309764"/>
      <w:bookmarkStart w:id="127" w:name="_Toc226965710"/>
      <w:bookmarkStart w:id="128" w:name="_Toc164229215"/>
      <w:bookmarkStart w:id="129" w:name="_Toc226337216"/>
      <w:bookmarkStart w:id="130" w:name="_Toc150774620"/>
      <w:bookmarkStart w:id="131" w:name="_Toc151193834"/>
      <w:bookmarkStart w:id="132" w:name="_Toc305158862"/>
      <w:bookmarkStart w:id="133" w:name="_Toc164608789"/>
      <w:bookmarkStart w:id="134" w:name="_Toc151193762"/>
      <w:bookmarkStart w:id="135" w:name="_Toc164351614"/>
      <w:bookmarkStart w:id="136" w:name="_Toc151190147"/>
      <w:bookmarkStart w:id="137" w:name="_Toc151193618"/>
      <w:bookmarkStart w:id="138" w:name="_Toc164608634"/>
      <w:bookmarkStart w:id="139" w:name="_Toc150480758"/>
      <w:bookmarkStart w:id="140" w:name="_Toc150509271"/>
      <w:bookmarkStart w:id="141" w:name="_Toc195842885"/>
      <w:bookmarkStart w:id="142" w:name="_Toc127151721"/>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、科研仪器设备采购</w:t>
      </w:r>
    </w:p>
    <w:p>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9"/>
        </w:numPr>
        <w:tabs>
          <w:tab w:val="left" w:pos="360"/>
          <w:tab w:val="clear" w:pos="900"/>
        </w:tabs>
        <w:snapToGrid w:val="0"/>
        <w:spacing w:line="360" w:lineRule="auto"/>
        <w:ind w:left="357" w:hanging="357"/>
        <w:outlineLvl w:val="1"/>
        <w:rPr>
          <w:sz w:val="24"/>
        </w:rPr>
      </w:pPr>
      <w:bookmarkStart w:id="143" w:name="_Toc150509273"/>
      <w:bookmarkStart w:id="144" w:name="_Toc265228360"/>
      <w:bookmarkStart w:id="145" w:name="_Toc226965712"/>
      <w:bookmarkStart w:id="146" w:name="_Toc150480760"/>
      <w:bookmarkStart w:id="147" w:name="_Toc151190149"/>
      <w:bookmarkStart w:id="148" w:name="_Toc150774727"/>
      <w:bookmarkStart w:id="149" w:name="_Toc151193692"/>
      <w:bookmarkStart w:id="150" w:name="_Toc520356146"/>
      <w:bookmarkStart w:id="151" w:name="_Toc150774622"/>
      <w:bookmarkStart w:id="152" w:name="_Toc151193764"/>
      <w:bookmarkStart w:id="153" w:name="_Toc305158864"/>
      <w:bookmarkStart w:id="154" w:name="_Toc226337218"/>
      <w:bookmarkStart w:id="155" w:name="_Toc127151522"/>
      <w:bookmarkStart w:id="156" w:name="_Toc305158790"/>
      <w:bookmarkStart w:id="157" w:name="_Toc226309766"/>
      <w:bookmarkStart w:id="158" w:name="_Toc151193836"/>
      <w:bookmarkStart w:id="159" w:name="_Toc142311024"/>
      <w:bookmarkStart w:id="160" w:name="_Toc264969212"/>
      <w:bookmarkStart w:id="161" w:name="_Toc226965795"/>
      <w:bookmarkStart w:id="162" w:name="_Toc151193910"/>
      <w:bookmarkStart w:id="163" w:name="_Toc195842887"/>
      <w:bookmarkStart w:id="164" w:name="_Toc151193620"/>
      <w:r>
        <w:rPr>
          <w:sz w:val="24"/>
        </w:rPr>
        <w:t>政府采购政策（包括但不限于下列具体政策要求）</w:t>
      </w:r>
    </w:p>
    <w:p>
      <w:pPr>
        <w:numPr>
          <w:ilvl w:val="1"/>
          <w:numId w:val="9"/>
        </w:numPr>
        <w:tabs>
          <w:tab w:val="left" w:pos="1080"/>
          <w:tab w:val="left" w:pos="2014"/>
        </w:tabs>
        <w:snapToGrid w:val="0"/>
        <w:spacing w:line="360" w:lineRule="auto"/>
        <w:ind w:left="1080" w:hanging="720"/>
        <w:rPr>
          <w:sz w:val="24"/>
        </w:rPr>
      </w:pPr>
      <w:r>
        <w:rPr>
          <w:sz w:val="24"/>
        </w:rPr>
        <w:t>采购本国货物、工程和服务</w:t>
      </w:r>
    </w:p>
    <w:p>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9"/>
        </w:numPr>
        <w:tabs>
          <w:tab w:val="left" w:pos="2014"/>
        </w:tabs>
        <w:snapToGrid w:val="0"/>
        <w:spacing w:line="360" w:lineRule="auto"/>
        <w:rPr>
          <w:sz w:val="24"/>
        </w:rPr>
      </w:pPr>
      <w:r>
        <w:rPr>
          <w:sz w:val="24"/>
        </w:rPr>
        <w:t>本项目如接受非本国货物、工程、服务参与投标，则具体要求见第四章《采购需求》。</w:t>
      </w:r>
    </w:p>
    <w:p>
      <w:pPr>
        <w:numPr>
          <w:ilvl w:val="2"/>
          <w:numId w:val="9"/>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9"/>
        </w:numPr>
        <w:snapToGrid w:val="0"/>
        <w:spacing w:line="360" w:lineRule="auto"/>
        <w:rPr>
          <w:sz w:val="24"/>
        </w:rPr>
      </w:pPr>
      <w:r>
        <w:rPr>
          <w:sz w:val="24"/>
        </w:rPr>
        <w:t>中小企业定义：</w:t>
      </w:r>
    </w:p>
    <w:p>
      <w:pPr>
        <w:pStyle w:val="7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10"/>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10"/>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7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sz w:val="24"/>
        </w:rPr>
      </w:pPr>
      <w:r>
        <w:rPr>
          <w:sz w:val="24"/>
        </w:rPr>
        <w:t>本项目是否专门面向中小企业预留采购份额见第一章《采购邀请》。</w:t>
      </w:r>
    </w:p>
    <w:p>
      <w:pPr>
        <w:numPr>
          <w:ilvl w:val="2"/>
          <w:numId w:val="9"/>
        </w:numPr>
        <w:snapToGrid w:val="0"/>
        <w:spacing w:line="360" w:lineRule="auto"/>
        <w:rPr>
          <w:sz w:val="24"/>
        </w:rPr>
      </w:pPr>
      <w:r>
        <w:rPr>
          <w:sz w:val="24"/>
        </w:rPr>
        <w:t>采购标的对应的中小企业划分标准所属行业见《供应商须知资料表》。</w:t>
      </w:r>
    </w:p>
    <w:p>
      <w:pPr>
        <w:numPr>
          <w:ilvl w:val="2"/>
          <w:numId w:val="9"/>
        </w:numPr>
        <w:snapToGrid w:val="0"/>
        <w:spacing w:line="360" w:lineRule="auto"/>
        <w:rPr>
          <w:sz w:val="24"/>
        </w:rPr>
      </w:pPr>
      <w:r>
        <w:rPr>
          <w:sz w:val="24"/>
        </w:rPr>
        <w:t>小微企业价格评审优惠的政策调整：见第三章《评审程序和评定成交的标准》。</w:t>
      </w:r>
    </w:p>
    <w:p>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bookmarkStart w:id="165" w:name="_Hlk97501674"/>
      <w:r>
        <w:rPr>
          <w:sz w:val="24"/>
        </w:rPr>
        <w:t>，否则</w:t>
      </w:r>
      <w:r>
        <w:rPr>
          <w:b/>
          <w:bCs/>
          <w:sz w:val="24"/>
        </w:rPr>
        <w:t>响应无效</w:t>
      </w:r>
      <w:bookmarkEnd w:id="165"/>
      <w:r>
        <w:rPr>
          <w:sz w:val="24"/>
        </w:rPr>
        <w:t>；</w:t>
      </w:r>
    </w:p>
    <w:p>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非政府强制采购的节能产品或环境标志产品，依据品目清单和认证证书实施政府优先采购。优先采购的具体规定见第三章《评审程序和评定成交的标准》（如涉及）。</w:t>
      </w:r>
    </w:p>
    <w:p>
      <w:pPr>
        <w:numPr>
          <w:ilvl w:val="1"/>
          <w:numId w:val="9"/>
        </w:numPr>
        <w:tabs>
          <w:tab w:val="left" w:pos="1080"/>
          <w:tab w:val="left" w:pos="2014"/>
        </w:tabs>
        <w:snapToGrid w:val="0"/>
        <w:spacing w:line="360" w:lineRule="auto"/>
        <w:ind w:left="1080" w:hanging="720"/>
        <w:rPr>
          <w:sz w:val="24"/>
        </w:rPr>
      </w:pPr>
      <w:r>
        <w:rPr>
          <w:sz w:val="24"/>
        </w:rPr>
        <w:t>支持乡村产业振兴管理</w:t>
      </w:r>
    </w:p>
    <w:p>
      <w:pPr>
        <w:numPr>
          <w:ilvl w:val="2"/>
          <w:numId w:val="9"/>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w:t>
      </w:r>
      <w:r>
        <w:rPr>
          <w:rFonts w:hint="eastAsia"/>
          <w:sz w:val="24"/>
        </w:rPr>
        <w:t>产业</w:t>
      </w:r>
      <w:r>
        <w:rPr>
          <w:sz w:val="24"/>
        </w:rPr>
        <w:t>振兴管理的相关要求见第</w:t>
      </w:r>
      <w:r>
        <w:rPr>
          <w:rFonts w:hint="eastAsia"/>
          <w:sz w:val="24"/>
        </w:rPr>
        <w:t>四</w:t>
      </w:r>
      <w:r>
        <w:rPr>
          <w:sz w:val="24"/>
        </w:rPr>
        <w:t>章《采购需求》（如涉及）。</w:t>
      </w:r>
    </w:p>
    <w:p>
      <w:pPr>
        <w:numPr>
          <w:ilvl w:val="1"/>
          <w:numId w:val="9"/>
        </w:numPr>
        <w:tabs>
          <w:tab w:val="left" w:pos="1080"/>
          <w:tab w:val="left" w:pos="2014"/>
        </w:tabs>
        <w:snapToGrid w:val="0"/>
        <w:spacing w:line="360" w:lineRule="auto"/>
        <w:ind w:left="1080" w:hanging="720"/>
        <w:rPr>
          <w:sz w:val="24"/>
        </w:rPr>
      </w:pPr>
      <w:r>
        <w:rPr>
          <w:sz w:val="24"/>
        </w:rPr>
        <w:t>正版软件</w:t>
      </w:r>
    </w:p>
    <w:p>
      <w:pPr>
        <w:numPr>
          <w:ilvl w:val="2"/>
          <w:numId w:val="9"/>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b/>
          <w:bCs/>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ind w:left="1080" w:hanging="720"/>
        <w:rPr>
          <w:sz w:val="24"/>
        </w:rPr>
      </w:pPr>
      <w:r>
        <w:rPr>
          <w:rFonts w:eastAsiaTheme="minorEastAsia"/>
          <w:sz w:val="24"/>
        </w:rPr>
        <w:t>网络安全专用产品</w:t>
      </w:r>
    </w:p>
    <w:p>
      <w:pPr>
        <w:numPr>
          <w:ilvl w:val="2"/>
          <w:numId w:val="9"/>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w:t>
      </w:r>
      <w:r>
        <w:rPr>
          <w:b/>
          <w:bCs/>
          <w:sz w:val="24"/>
        </w:rPr>
        <w:t>响应无效</w:t>
      </w:r>
      <w:r>
        <w:rPr>
          <w:sz w:val="24"/>
        </w:rPr>
        <w:t>；属于推荐性标准的，优先采购，具体见第三章《评审程序和评定成交的标准》。</w:t>
      </w:r>
    </w:p>
    <w:p>
      <w:pPr>
        <w:numPr>
          <w:ilvl w:val="1"/>
          <w:numId w:val="9"/>
        </w:numPr>
        <w:tabs>
          <w:tab w:val="left" w:pos="1080"/>
          <w:tab w:val="left" w:pos="2014"/>
        </w:tabs>
        <w:snapToGrid w:val="0"/>
        <w:spacing w:line="360" w:lineRule="auto"/>
        <w:ind w:left="1080" w:hanging="720"/>
        <w:rPr>
          <w:sz w:val="24"/>
        </w:rPr>
      </w:pPr>
      <w:r>
        <w:rPr>
          <w:sz w:val="24"/>
        </w:rPr>
        <w:t>采购需求标准</w:t>
      </w:r>
    </w:p>
    <w:p>
      <w:pPr>
        <w:numPr>
          <w:ilvl w:val="2"/>
          <w:numId w:val="9"/>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9"/>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pPr>
        <w:numPr>
          <w:ilvl w:val="0"/>
          <w:numId w:val="9"/>
        </w:numPr>
        <w:tabs>
          <w:tab w:val="left" w:pos="360"/>
        </w:tabs>
        <w:snapToGrid w:val="0"/>
        <w:spacing w:line="360" w:lineRule="auto"/>
        <w:ind w:left="357" w:hanging="357"/>
        <w:outlineLvl w:val="1"/>
        <w:rPr>
          <w:sz w:val="24"/>
        </w:rPr>
      </w:pPr>
      <w:r>
        <w:rPr>
          <w:sz w:val="24"/>
        </w:rPr>
        <w:t>响应费用</w:t>
      </w:r>
    </w:p>
    <w:p>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供应商应自行承担所有与准备和参加竞争性谈判响应有关的费用，无论响应的结果如何，采购人或采购代理机构在任何情况下均无承担这些费用的义务和责任。</w:t>
      </w:r>
    </w:p>
    <w:p>
      <w:pPr>
        <w:tabs>
          <w:tab w:val="left" w:pos="1080"/>
        </w:tabs>
        <w:snapToGrid w:val="0"/>
        <w:spacing w:line="360" w:lineRule="auto"/>
        <w:ind w:left="1080"/>
        <w:rPr>
          <w:sz w:val="28"/>
        </w:rPr>
      </w:pPr>
      <w:bookmarkStart w:id="166" w:name="_1.8_计量单位"/>
      <w:bookmarkEnd w:id="166"/>
    </w:p>
    <w:p>
      <w:pPr>
        <w:pStyle w:val="4"/>
        <w:spacing w:before="0" w:line="360" w:lineRule="auto"/>
        <w:rPr>
          <w:rFonts w:ascii="Times New Roman" w:hAnsi="Times New Roman" w:eastAsia="宋体"/>
          <w:sz w:val="28"/>
        </w:rPr>
      </w:pPr>
      <w:r>
        <w:rPr>
          <w:rFonts w:ascii="Times New Roman" w:hAnsi="Times New Roman" w:eastAsia="宋体"/>
          <w:sz w:val="28"/>
        </w:rPr>
        <w:t xml:space="preserve">二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Times New Roman" w:hAnsi="Times New Roman" w:eastAsia="宋体"/>
          <w:sz w:val="28"/>
        </w:rPr>
        <w:t>谈判文件</w:t>
      </w:r>
    </w:p>
    <w:p>
      <w:pPr>
        <w:numPr>
          <w:ilvl w:val="0"/>
          <w:numId w:val="9"/>
        </w:numPr>
        <w:tabs>
          <w:tab w:val="left" w:pos="360"/>
        </w:tabs>
        <w:snapToGrid w:val="0"/>
        <w:spacing w:line="360" w:lineRule="auto"/>
        <w:ind w:left="357" w:hanging="357"/>
        <w:outlineLvl w:val="1"/>
        <w:rPr>
          <w:sz w:val="24"/>
        </w:rPr>
      </w:pPr>
      <w:bookmarkStart w:id="167" w:name="_Toc150509274"/>
      <w:bookmarkStart w:id="168" w:name="_Toc226965796"/>
      <w:bookmarkStart w:id="169" w:name="_Toc151193911"/>
      <w:bookmarkStart w:id="170" w:name="_Toc520356147"/>
      <w:bookmarkStart w:id="171" w:name="_Toc164608637"/>
      <w:bookmarkStart w:id="172" w:name="_Toc164351617"/>
      <w:bookmarkStart w:id="173" w:name="_Toc226965713"/>
      <w:bookmarkStart w:id="174" w:name="_Toc195842888"/>
      <w:bookmarkStart w:id="175" w:name="_Toc142311025"/>
      <w:bookmarkStart w:id="176" w:name="_Toc151190150"/>
      <w:bookmarkStart w:id="177" w:name="_Toc164229364"/>
      <w:bookmarkStart w:id="178" w:name="_Toc150774728"/>
      <w:bookmarkStart w:id="179" w:name="_Toc150480761"/>
      <w:bookmarkStart w:id="180" w:name="_Toc164229218"/>
      <w:bookmarkStart w:id="181" w:name="_Toc151193765"/>
      <w:bookmarkStart w:id="182" w:name="_Toc151193837"/>
      <w:bookmarkStart w:id="183" w:name="_Toc265228361"/>
      <w:bookmarkStart w:id="184" w:name="_Toc305158865"/>
      <w:bookmarkStart w:id="185" w:name="_Toc127161437"/>
      <w:bookmarkStart w:id="186" w:name="_Toc127151724"/>
      <w:bookmarkStart w:id="187" w:name="_Toc226309767"/>
      <w:bookmarkStart w:id="188" w:name="_Toc151193621"/>
      <w:bookmarkStart w:id="189" w:name="_Toc264969213"/>
      <w:bookmarkStart w:id="190" w:name="_Toc226337219"/>
      <w:bookmarkStart w:id="191" w:name="_Toc151193693"/>
      <w:bookmarkStart w:id="192" w:name="_Toc164608792"/>
      <w:bookmarkStart w:id="193" w:name="_Toc149720816"/>
      <w:bookmarkStart w:id="194" w:name="_Toc150774623"/>
      <w:bookmarkStart w:id="195" w:name="_Toc305158791"/>
      <w:bookmarkStart w:id="196" w:name="_Toc127151523"/>
      <w:r>
        <w:rPr>
          <w:sz w:val="24"/>
        </w:rPr>
        <w:t>谈判文件构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z w:val="24"/>
        </w:rPr>
        <w:t>成</w:t>
      </w:r>
    </w:p>
    <w:p>
      <w:pPr>
        <w:numPr>
          <w:ilvl w:val="1"/>
          <w:numId w:val="9"/>
        </w:numPr>
        <w:tabs>
          <w:tab w:val="left" w:pos="1080"/>
          <w:tab w:val="left" w:pos="2014"/>
        </w:tabs>
        <w:snapToGrid w:val="0"/>
        <w:spacing w:line="360" w:lineRule="auto"/>
        <w:ind w:left="1080" w:hanging="720"/>
        <w:rPr>
          <w:sz w:val="24"/>
        </w:rPr>
      </w:pPr>
      <w:r>
        <w:rPr>
          <w:sz w:val="24"/>
        </w:rPr>
        <w:t>谈判文件包括以下部分：</w:t>
      </w:r>
    </w:p>
    <w:p>
      <w:pPr>
        <w:numPr>
          <w:ilvl w:val="0"/>
          <w:numId w:val="11"/>
        </w:numPr>
        <w:tabs>
          <w:tab w:val="left" w:pos="1980"/>
          <w:tab w:val="left" w:pos="2520"/>
        </w:tabs>
        <w:snapToGrid w:val="0"/>
        <w:spacing w:line="360" w:lineRule="auto"/>
        <w:ind w:left="1440" w:firstLine="5"/>
        <w:rPr>
          <w:sz w:val="24"/>
        </w:rPr>
      </w:pPr>
      <w:r>
        <w:rPr>
          <w:sz w:val="24"/>
        </w:rPr>
        <w:t>采购邀请</w:t>
      </w:r>
    </w:p>
    <w:p>
      <w:pPr>
        <w:numPr>
          <w:ilvl w:val="0"/>
          <w:numId w:val="11"/>
        </w:numPr>
        <w:tabs>
          <w:tab w:val="left" w:pos="1980"/>
          <w:tab w:val="left" w:pos="2520"/>
        </w:tabs>
        <w:snapToGrid w:val="0"/>
        <w:spacing w:line="360" w:lineRule="auto"/>
        <w:ind w:left="1440" w:firstLine="5"/>
        <w:rPr>
          <w:sz w:val="24"/>
        </w:rPr>
      </w:pPr>
      <w:r>
        <w:rPr>
          <w:sz w:val="24"/>
        </w:rPr>
        <w:t>供应商须知</w:t>
      </w:r>
    </w:p>
    <w:p>
      <w:pPr>
        <w:numPr>
          <w:ilvl w:val="0"/>
          <w:numId w:val="11"/>
        </w:numPr>
        <w:tabs>
          <w:tab w:val="left" w:pos="1980"/>
          <w:tab w:val="left" w:pos="2520"/>
        </w:tabs>
        <w:snapToGrid w:val="0"/>
        <w:spacing w:line="360" w:lineRule="auto"/>
        <w:ind w:left="1440" w:firstLine="5"/>
        <w:rPr>
          <w:sz w:val="24"/>
        </w:rPr>
      </w:pPr>
      <w:r>
        <w:rPr>
          <w:sz w:val="24"/>
        </w:rPr>
        <w:t>评审程序和评定成交的标准</w:t>
      </w:r>
    </w:p>
    <w:p>
      <w:pPr>
        <w:numPr>
          <w:ilvl w:val="0"/>
          <w:numId w:val="11"/>
        </w:numPr>
        <w:tabs>
          <w:tab w:val="left" w:pos="1980"/>
          <w:tab w:val="left" w:pos="2520"/>
        </w:tabs>
        <w:snapToGrid w:val="0"/>
        <w:spacing w:line="360" w:lineRule="auto"/>
        <w:ind w:left="1440" w:firstLine="5"/>
        <w:rPr>
          <w:sz w:val="24"/>
        </w:rPr>
      </w:pPr>
      <w:r>
        <w:rPr>
          <w:sz w:val="24"/>
        </w:rPr>
        <w:t>采购需求</w:t>
      </w:r>
    </w:p>
    <w:p>
      <w:pPr>
        <w:numPr>
          <w:ilvl w:val="0"/>
          <w:numId w:val="11"/>
        </w:numPr>
        <w:tabs>
          <w:tab w:val="left" w:pos="1980"/>
          <w:tab w:val="left" w:pos="2520"/>
        </w:tabs>
        <w:snapToGrid w:val="0"/>
        <w:spacing w:line="360" w:lineRule="auto"/>
        <w:ind w:left="1440" w:firstLine="5"/>
        <w:rPr>
          <w:sz w:val="24"/>
        </w:rPr>
      </w:pPr>
      <w:r>
        <w:rPr>
          <w:sz w:val="24"/>
        </w:rPr>
        <w:t>合同草案条款</w:t>
      </w:r>
    </w:p>
    <w:p>
      <w:pPr>
        <w:numPr>
          <w:ilvl w:val="0"/>
          <w:numId w:val="11"/>
        </w:numPr>
        <w:tabs>
          <w:tab w:val="left" w:pos="1980"/>
          <w:tab w:val="left" w:pos="2520"/>
        </w:tabs>
        <w:snapToGrid w:val="0"/>
        <w:spacing w:line="360" w:lineRule="auto"/>
        <w:ind w:left="1440" w:firstLine="5"/>
        <w:rPr>
          <w:sz w:val="24"/>
        </w:rPr>
      </w:pPr>
      <w:r>
        <w:rPr>
          <w:sz w:val="24"/>
        </w:rPr>
        <w:t>响应文件格式</w:t>
      </w:r>
    </w:p>
    <w:p>
      <w:pPr>
        <w:numPr>
          <w:ilvl w:val="1"/>
          <w:numId w:val="9"/>
        </w:numPr>
        <w:tabs>
          <w:tab w:val="left" w:pos="1080"/>
          <w:tab w:val="left" w:pos="2014"/>
        </w:tabs>
        <w:snapToGrid w:val="0"/>
        <w:spacing w:line="360" w:lineRule="auto"/>
        <w:ind w:left="1080" w:hanging="720"/>
        <w:rPr>
          <w:sz w:val="24"/>
        </w:rPr>
      </w:pPr>
      <w:r>
        <w:rPr>
          <w:sz w:val="24"/>
        </w:rPr>
        <w:t>供应商应认真阅读谈判文件的全部内容。供应商应按照谈判文件要求提交响应文件并保证所提供的全部资料的真实性，并对谈判文件做出实质性响应，否则</w:t>
      </w:r>
      <w:r>
        <w:rPr>
          <w:b/>
          <w:bCs/>
          <w:sz w:val="24"/>
        </w:rPr>
        <w:t>响应无效</w:t>
      </w:r>
      <w:r>
        <w:rPr>
          <w:sz w:val="24"/>
        </w:rPr>
        <w:t>。</w:t>
      </w:r>
    </w:p>
    <w:p>
      <w:pPr>
        <w:numPr>
          <w:ilvl w:val="0"/>
          <w:numId w:val="9"/>
        </w:numPr>
        <w:tabs>
          <w:tab w:val="left" w:pos="1080"/>
          <w:tab w:val="left" w:pos="2014"/>
        </w:tabs>
        <w:snapToGrid w:val="0"/>
        <w:spacing w:line="360" w:lineRule="auto"/>
        <w:ind w:left="357" w:hanging="357"/>
        <w:outlineLvl w:val="1"/>
        <w:rPr>
          <w:sz w:val="24"/>
        </w:rPr>
      </w:pPr>
      <w:r>
        <w:rPr>
          <w:sz w:val="24"/>
        </w:rPr>
        <w:t>对谈判文件的澄清或修改</w:t>
      </w:r>
    </w:p>
    <w:p>
      <w:pPr>
        <w:numPr>
          <w:ilvl w:val="1"/>
          <w:numId w:val="9"/>
        </w:numPr>
        <w:tabs>
          <w:tab w:val="left" w:pos="1080"/>
          <w:tab w:val="left" w:pos="1561"/>
          <w:tab w:val="left" w:pos="2014"/>
        </w:tabs>
        <w:snapToGrid w:val="0"/>
        <w:spacing w:line="360" w:lineRule="auto"/>
        <w:ind w:left="1080" w:hanging="720"/>
        <w:rPr>
          <w:sz w:val="24"/>
        </w:rPr>
      </w:pPr>
      <w:r>
        <w:rPr>
          <w:rFonts w:hint="eastAsia"/>
          <w:sz w:val="24"/>
        </w:rPr>
        <w:t>采购人、采购代理机构或者谈判小组</w:t>
      </w:r>
      <w:r>
        <w:rPr>
          <w:sz w:val="24"/>
        </w:rPr>
        <w:t>对已发出的谈判文件进行必要澄清或者修改的，将以书面形式通知所有获取谈判文件的潜在供应商。</w:t>
      </w:r>
      <w:r>
        <w:rPr>
          <w:rFonts w:eastAsiaTheme="minorEastAsia"/>
          <w:sz w:val="24"/>
        </w:rPr>
        <w:t>采用公告方式邀请供应商参与的，还将在原公告发布媒体上发布更正公告。</w:t>
      </w:r>
    </w:p>
    <w:p>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上述书面通知，按照获取谈判文件的潜在供应商提供的联系方式发出，因提供的信息有误导致通知延迟或无法通知的，采购人或采购代理机构不承担责任。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澄清或者修改的内容为谈判文件的组成部分，并对所有获取谈判文件的潜在供应商具有约束力。澄清或者修改的内容可能影响响应文件编制的，将在</w:t>
      </w:r>
      <w:r>
        <w:rPr>
          <w:color w:val="000000"/>
          <w:sz w:val="24"/>
        </w:rPr>
        <w:t>提交首次响应文件截止之日3个工作日</w:t>
      </w:r>
      <w:r>
        <w:rPr>
          <w:sz w:val="24"/>
        </w:rPr>
        <w:t>前，以书面形式通知所有接收谈判文件的供应商；不足</w:t>
      </w:r>
      <w:r>
        <w:rPr>
          <w:color w:val="000000"/>
          <w:sz w:val="24"/>
        </w:rPr>
        <w:t>3个工作日</w:t>
      </w:r>
      <w:r>
        <w:rPr>
          <w:sz w:val="24"/>
        </w:rPr>
        <w:t>的，将顺延</w:t>
      </w:r>
      <w:r>
        <w:rPr>
          <w:color w:val="000000"/>
          <w:sz w:val="24"/>
        </w:rPr>
        <w:t>提交</w:t>
      </w:r>
      <w:bookmarkStart w:id="197" w:name="_Hlk137130263"/>
      <w:r>
        <w:rPr>
          <w:color w:val="000000"/>
          <w:sz w:val="24"/>
        </w:rPr>
        <w:t>首次响应文件</w:t>
      </w:r>
      <w:bookmarkEnd w:id="197"/>
      <w:r>
        <w:rPr>
          <w:color w:val="000000"/>
          <w:sz w:val="24"/>
        </w:rPr>
        <w:t>截止之日</w:t>
      </w:r>
      <w:r>
        <w:rPr>
          <w:sz w:val="24"/>
        </w:rPr>
        <w:t>。</w:t>
      </w:r>
    </w:p>
    <w:p>
      <w:pPr>
        <w:tabs>
          <w:tab w:val="left" w:pos="900"/>
          <w:tab w:val="left" w:pos="1080"/>
          <w:tab w:val="left" w:pos="1561"/>
          <w:tab w:val="left" w:pos="1589"/>
        </w:tabs>
        <w:snapToGrid w:val="0"/>
        <w:spacing w:line="360" w:lineRule="auto"/>
        <w:ind w:left="1080"/>
        <w:rPr>
          <w:sz w:val="24"/>
        </w:rPr>
      </w:pPr>
    </w:p>
    <w:p>
      <w:pPr>
        <w:pStyle w:val="4"/>
        <w:spacing w:before="0" w:line="360" w:lineRule="auto"/>
        <w:rPr>
          <w:rFonts w:ascii="Times New Roman" w:hAnsi="Times New Roman" w:eastAsia="宋体"/>
          <w:sz w:val="28"/>
        </w:rPr>
      </w:pPr>
      <w:bookmarkStart w:id="198" w:name="_Toc516367020"/>
      <w:bookmarkStart w:id="199" w:name="_Toc226965716"/>
      <w:bookmarkStart w:id="200" w:name="_Toc226965799"/>
      <w:bookmarkStart w:id="201" w:name="_Toc151193768"/>
      <w:bookmarkStart w:id="202" w:name="_Toc195842891"/>
      <w:bookmarkStart w:id="203" w:name="_Toc150774626"/>
      <w:bookmarkStart w:id="204" w:name="_Toc305158868"/>
      <w:bookmarkStart w:id="205" w:name="_Toc226309770"/>
      <w:bookmarkStart w:id="206" w:name="_Toc151193840"/>
      <w:bookmarkStart w:id="207" w:name="_Toc150480764"/>
      <w:bookmarkStart w:id="208" w:name="_Toc151193696"/>
      <w:bookmarkStart w:id="209" w:name="_Toc127151526"/>
      <w:bookmarkStart w:id="210" w:name="_Toc226337222"/>
      <w:bookmarkStart w:id="211" w:name="_Toc150509277"/>
      <w:bookmarkStart w:id="212" w:name="_Toc150774731"/>
      <w:bookmarkStart w:id="213" w:name="_Toc264969216"/>
      <w:bookmarkStart w:id="214" w:name="_Toc265228364"/>
      <w:bookmarkStart w:id="215" w:name="_Toc151193624"/>
      <w:bookmarkStart w:id="216" w:name="_Toc151193914"/>
      <w:bookmarkStart w:id="217" w:name="_Toc305158794"/>
      <w:bookmarkStart w:id="218" w:name="_Toc151190153"/>
      <w:bookmarkStart w:id="219" w:name="_Toc520356150"/>
      <w:bookmarkStart w:id="220" w:name="_Toc142311028"/>
      <w:r>
        <w:rPr>
          <w:rFonts w:ascii="Times New Roman" w:hAnsi="Times New Roman" w:eastAsia="宋体"/>
          <w:sz w:val="28"/>
        </w:rPr>
        <w:t>三   响应文件</w:t>
      </w:r>
      <w:bookmarkEnd w:id="198"/>
      <w:r>
        <w:rPr>
          <w:rFonts w:ascii="Times New Roman" w:hAnsi="Times New Roman" w:eastAsia="宋体"/>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numPr>
          <w:ilvl w:val="0"/>
          <w:numId w:val="9"/>
        </w:numPr>
        <w:tabs>
          <w:tab w:val="left" w:pos="360"/>
        </w:tabs>
        <w:snapToGrid w:val="0"/>
        <w:spacing w:line="360" w:lineRule="auto"/>
        <w:ind w:left="357" w:hanging="357"/>
        <w:outlineLvl w:val="1"/>
        <w:rPr>
          <w:sz w:val="24"/>
        </w:rPr>
      </w:pPr>
      <w:bookmarkStart w:id="221" w:name="_Toc127151527"/>
      <w:bookmarkStart w:id="222" w:name="_Toc150509278"/>
      <w:bookmarkStart w:id="223" w:name="_Toc127161441"/>
      <w:bookmarkStart w:id="224" w:name="_Toc164608796"/>
      <w:bookmarkStart w:id="225" w:name="_Toc151193697"/>
      <w:bookmarkStart w:id="226" w:name="_Toc164608641"/>
      <w:bookmarkStart w:id="227" w:name="_Toc151193625"/>
      <w:bookmarkStart w:id="228" w:name="_Toc127151728"/>
      <w:bookmarkStart w:id="229" w:name="_Toc151190154"/>
      <w:bookmarkStart w:id="230" w:name="_Toc150480765"/>
      <w:bookmarkStart w:id="231" w:name="_Toc151193915"/>
      <w:bookmarkStart w:id="232" w:name="_Toc520356151"/>
      <w:bookmarkStart w:id="233" w:name="_Toc305158869"/>
      <w:bookmarkStart w:id="234" w:name="_Toc516367021"/>
      <w:bookmarkStart w:id="235" w:name="_Toc264969217"/>
      <w:bookmarkStart w:id="236" w:name="_Toc149720820"/>
      <w:bookmarkStart w:id="237" w:name="_Toc195842892"/>
      <w:bookmarkStart w:id="238" w:name="_Toc142311029"/>
      <w:bookmarkStart w:id="239" w:name="_Toc164351621"/>
      <w:bookmarkStart w:id="240" w:name="_Toc226309771"/>
      <w:bookmarkStart w:id="241" w:name="_Toc226965800"/>
      <w:bookmarkStart w:id="242" w:name="_Toc151193841"/>
      <w:bookmarkStart w:id="243" w:name="_Toc151193769"/>
      <w:bookmarkStart w:id="244" w:name="_Toc226337223"/>
      <w:bookmarkStart w:id="245" w:name="_Toc305158795"/>
      <w:bookmarkStart w:id="246" w:name="_Toc150774732"/>
      <w:bookmarkStart w:id="247" w:name="_Toc226965717"/>
      <w:bookmarkStart w:id="248" w:name="_Toc164229222"/>
      <w:bookmarkStart w:id="249" w:name="_Toc164229368"/>
      <w:bookmarkStart w:id="250" w:name="_Toc265228365"/>
      <w:bookmarkStart w:id="251" w:name="_Toc150774627"/>
      <w:r>
        <w:rPr>
          <w:sz w:val="24"/>
        </w:rPr>
        <w:t>响应范围、响应文件中计量单位的使用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sz w:val="24"/>
        </w:rPr>
        <w:t>及响应语言</w:t>
      </w:r>
    </w:p>
    <w:p>
      <w:pPr>
        <w:numPr>
          <w:ilvl w:val="1"/>
          <w:numId w:val="9"/>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bCs/>
          <w:sz w:val="24"/>
        </w:rPr>
        <w:t>无效响应</w:t>
      </w:r>
      <w:r>
        <w:rPr>
          <w:sz w:val="24"/>
        </w:rPr>
        <w:t>。</w:t>
      </w:r>
    </w:p>
    <w:p>
      <w:pPr>
        <w:numPr>
          <w:ilvl w:val="1"/>
          <w:numId w:val="9"/>
        </w:numPr>
        <w:tabs>
          <w:tab w:val="left" w:pos="1080"/>
          <w:tab w:val="left" w:pos="2014"/>
        </w:tabs>
        <w:snapToGrid w:val="0"/>
        <w:spacing w:line="360" w:lineRule="auto"/>
        <w:ind w:left="1080" w:hanging="720"/>
        <w:rPr>
          <w:sz w:val="24"/>
        </w:rPr>
      </w:pPr>
      <w:r>
        <w:rPr>
          <w:sz w:val="24"/>
        </w:rPr>
        <w:t>除谈判文件有特殊要求外，本项目响应所使用的计量单位，应采用中华人民共和国法定计量单位。</w:t>
      </w:r>
    </w:p>
    <w:p>
      <w:pPr>
        <w:numPr>
          <w:ilvl w:val="1"/>
          <w:numId w:val="9"/>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9"/>
        </w:numPr>
        <w:tabs>
          <w:tab w:val="left" w:pos="360"/>
        </w:tabs>
        <w:snapToGrid w:val="0"/>
        <w:spacing w:line="360" w:lineRule="auto"/>
        <w:ind w:left="357" w:hanging="357"/>
        <w:outlineLvl w:val="1"/>
        <w:rPr>
          <w:sz w:val="24"/>
        </w:rPr>
      </w:pPr>
      <w:bookmarkStart w:id="252" w:name="_Toc226965801"/>
      <w:bookmarkStart w:id="253" w:name="_Toc151193698"/>
      <w:bookmarkStart w:id="254" w:name="_Toc151193842"/>
      <w:bookmarkStart w:id="255" w:name="_Toc150774733"/>
      <w:bookmarkStart w:id="256" w:name="_Toc226309772"/>
      <w:bookmarkStart w:id="257" w:name="_Toc164351622"/>
      <w:bookmarkStart w:id="258" w:name="_Toc520356152"/>
      <w:bookmarkStart w:id="259" w:name="_Toc149720821"/>
      <w:bookmarkStart w:id="260" w:name="_Toc127151528"/>
      <w:bookmarkStart w:id="261" w:name="_Toc127151729"/>
      <w:bookmarkStart w:id="262" w:name="_Toc164229369"/>
      <w:bookmarkStart w:id="263" w:name="_Toc164608797"/>
      <w:bookmarkStart w:id="264" w:name="_Toc305158870"/>
      <w:bookmarkStart w:id="265" w:name="_Toc151193916"/>
      <w:bookmarkStart w:id="266" w:name="_Toc226337224"/>
      <w:bookmarkStart w:id="267" w:name="_Toc164229223"/>
      <w:bookmarkStart w:id="268" w:name="_Toc195842893"/>
      <w:bookmarkStart w:id="269" w:name="_Toc142311030"/>
      <w:bookmarkStart w:id="270" w:name="_Toc151193770"/>
      <w:bookmarkStart w:id="271" w:name="_Toc226965718"/>
      <w:bookmarkStart w:id="272" w:name="_Toc164608642"/>
      <w:bookmarkStart w:id="273" w:name="_Toc150480766"/>
      <w:bookmarkStart w:id="274" w:name="_Toc150774628"/>
      <w:bookmarkStart w:id="275" w:name="_Toc150509279"/>
      <w:bookmarkStart w:id="276" w:name="_Toc127161442"/>
      <w:bookmarkStart w:id="277" w:name="_Toc151190155"/>
      <w:bookmarkStart w:id="278" w:name="_Toc265228366"/>
      <w:bookmarkStart w:id="279" w:name="_Toc264969218"/>
      <w:bookmarkStart w:id="280" w:name="_Toc305158796"/>
      <w:bookmarkStart w:id="281" w:name="_Toc151193626"/>
      <w:r>
        <w:rPr>
          <w:sz w:val="24"/>
        </w:rPr>
        <w:t>响应文件构成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numPr>
          <w:ilvl w:val="1"/>
          <w:numId w:val="9"/>
        </w:numPr>
        <w:tabs>
          <w:tab w:val="left" w:pos="1080"/>
          <w:tab w:val="left" w:pos="2014"/>
        </w:tabs>
        <w:snapToGrid w:val="0"/>
        <w:spacing w:line="360" w:lineRule="auto"/>
        <w:ind w:left="1077" w:hanging="720"/>
        <w:rPr>
          <w:sz w:val="24"/>
        </w:rPr>
      </w:pPr>
      <w:bookmarkStart w:id="282" w:name="_Ref467052588"/>
      <w:r>
        <w:rPr>
          <w:sz w:val="24"/>
        </w:rPr>
        <w:t>供应商应当按照谈判文件的要求编制响应文件，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9"/>
        </w:numPr>
        <w:tabs>
          <w:tab w:val="left" w:pos="1080"/>
          <w:tab w:val="left" w:pos="2014"/>
        </w:tabs>
        <w:snapToGrid w:val="0"/>
        <w:spacing w:line="360" w:lineRule="auto"/>
        <w:ind w:left="1077" w:hanging="720"/>
        <w:rPr>
          <w:sz w:val="24"/>
        </w:rPr>
      </w:pP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Cs/>
          <w:kern w:val="0"/>
          <w:sz w:val="24"/>
        </w:rPr>
        <w:t>否则</w:t>
      </w:r>
      <w:r>
        <w:rPr>
          <w:b/>
          <w:kern w:val="0"/>
          <w:sz w:val="24"/>
        </w:rPr>
        <w:t>响应无效</w:t>
      </w:r>
      <w:r>
        <w:rPr>
          <w:kern w:val="0"/>
          <w:sz w:val="24"/>
        </w:rPr>
        <w:t>。未标记“实质性格式”的文件和谈判文件未提供格式的内容，可由供应商自行编写。</w:t>
      </w:r>
    </w:p>
    <w:p>
      <w:pPr>
        <w:numPr>
          <w:ilvl w:val="1"/>
          <w:numId w:val="9"/>
        </w:numPr>
        <w:tabs>
          <w:tab w:val="left" w:pos="1080"/>
          <w:tab w:val="left" w:pos="2014"/>
        </w:tabs>
        <w:snapToGrid w:val="0"/>
        <w:spacing w:line="360" w:lineRule="auto"/>
        <w:ind w:left="1077" w:hanging="720"/>
        <w:rPr>
          <w:sz w:val="24"/>
        </w:rPr>
      </w:pPr>
      <w:r>
        <w:rPr>
          <w:sz w:val="24"/>
        </w:rPr>
        <w:t>第三章《评审程序和评定成交的标准》中涉及的证明文件。</w:t>
      </w:r>
    </w:p>
    <w:p>
      <w:pPr>
        <w:numPr>
          <w:ilvl w:val="1"/>
          <w:numId w:val="9"/>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82"/>
    </w:p>
    <w:p>
      <w:pPr>
        <w:numPr>
          <w:ilvl w:val="0"/>
          <w:numId w:val="9"/>
        </w:numPr>
        <w:tabs>
          <w:tab w:val="left" w:pos="360"/>
        </w:tabs>
        <w:snapToGrid w:val="0"/>
        <w:spacing w:line="360" w:lineRule="auto"/>
        <w:ind w:left="357" w:hanging="357"/>
        <w:outlineLvl w:val="1"/>
        <w:rPr>
          <w:sz w:val="24"/>
        </w:rPr>
      </w:pPr>
      <w:r>
        <w:rPr>
          <w:sz w:val="24"/>
        </w:rPr>
        <w:t>报价</w:t>
      </w:r>
    </w:p>
    <w:p>
      <w:pPr>
        <w:numPr>
          <w:ilvl w:val="1"/>
          <w:numId w:val="9"/>
        </w:numPr>
        <w:tabs>
          <w:tab w:val="left" w:pos="1080"/>
          <w:tab w:val="left" w:pos="2014"/>
        </w:tabs>
        <w:snapToGrid w:val="0"/>
        <w:spacing w:line="360" w:lineRule="auto"/>
        <w:ind w:left="1077" w:hanging="720"/>
        <w:rPr>
          <w:sz w:val="24"/>
        </w:rPr>
      </w:pPr>
      <w:r>
        <w:rPr>
          <w:sz w:val="24"/>
        </w:rPr>
        <w:t>所有响应均以人民币报价。</w:t>
      </w:r>
    </w:p>
    <w:p>
      <w:pPr>
        <w:numPr>
          <w:ilvl w:val="1"/>
          <w:numId w:val="9"/>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w:t>
      </w:r>
      <w:r>
        <w:rPr>
          <w:rFonts w:eastAsiaTheme="minorEastAsia"/>
          <w:sz w:val="24"/>
        </w:rPr>
        <w:t>供应商的报价应包括但不限于下列内容，《供应商须知资料表》中有特殊规定的，从其规定。</w:t>
      </w:r>
    </w:p>
    <w:p>
      <w:pPr>
        <w:numPr>
          <w:ilvl w:val="2"/>
          <w:numId w:val="9"/>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9"/>
        </w:numPr>
        <w:snapToGrid w:val="0"/>
        <w:spacing w:line="360" w:lineRule="auto"/>
        <w:rPr>
          <w:sz w:val="24"/>
        </w:rPr>
      </w:pPr>
      <w:r>
        <w:rPr>
          <w:sz w:val="24"/>
        </w:rPr>
        <w:t xml:space="preserve">按照谈判文件要求完成本项目的全部相关费用。 </w:t>
      </w:r>
    </w:p>
    <w:p>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77" w:hanging="720"/>
        <w:rPr>
          <w:sz w:val="24"/>
        </w:rPr>
      </w:pPr>
      <w:r>
        <w:rPr>
          <w:sz w:val="24"/>
        </w:rPr>
        <w:t>供应商不能提供任何有选择性或可调整的最后报价（谈判文件另有规定的除外），否则其</w:t>
      </w:r>
      <w:r>
        <w:rPr>
          <w:b/>
          <w:bCs/>
          <w:sz w:val="24"/>
        </w:rPr>
        <w:t>响应无效</w:t>
      </w:r>
      <w:r>
        <w:rPr>
          <w:sz w:val="24"/>
        </w:rPr>
        <w:t>。</w:t>
      </w:r>
    </w:p>
    <w:p>
      <w:pPr>
        <w:numPr>
          <w:ilvl w:val="0"/>
          <w:numId w:val="9"/>
        </w:numPr>
        <w:tabs>
          <w:tab w:val="left" w:pos="360"/>
        </w:tabs>
        <w:snapToGrid w:val="0"/>
        <w:spacing w:line="360" w:lineRule="auto"/>
        <w:ind w:left="357" w:hanging="357"/>
        <w:outlineLvl w:val="1"/>
        <w:rPr>
          <w:sz w:val="24"/>
        </w:rPr>
      </w:pPr>
      <w:r>
        <w:rPr>
          <w:sz w:val="24"/>
        </w:rPr>
        <w:t>保证金</w:t>
      </w:r>
    </w:p>
    <w:p>
      <w:pPr>
        <w:numPr>
          <w:ilvl w:val="1"/>
          <w:numId w:val="9"/>
        </w:numPr>
        <w:tabs>
          <w:tab w:val="left" w:pos="1080"/>
          <w:tab w:val="left" w:pos="2014"/>
        </w:tabs>
        <w:snapToGrid w:val="0"/>
        <w:spacing w:line="360" w:lineRule="auto"/>
        <w:ind w:left="1077" w:hanging="720"/>
        <w:rPr>
          <w:sz w:val="24"/>
        </w:rPr>
      </w:pPr>
      <w:bookmarkStart w:id="283" w:name="_Ref467306302"/>
      <w:r>
        <w:rPr>
          <w:sz w:val="24"/>
        </w:rPr>
        <w:t>供应商应按《供应商须知资料表》中规定的金额及要求交纳保证金</w:t>
      </w:r>
      <w:bookmarkEnd w:id="283"/>
      <w:r>
        <w:rPr>
          <w:sz w:val="24"/>
        </w:rPr>
        <w:t>。</w:t>
      </w:r>
    </w:p>
    <w:p>
      <w:pPr>
        <w:numPr>
          <w:ilvl w:val="1"/>
          <w:numId w:val="9"/>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sz w:val="24"/>
        </w:rPr>
      </w:pPr>
      <w:r>
        <w:rPr>
          <w:sz w:val="24"/>
        </w:rPr>
        <w:t>保证金到账（保函提交）截止时间同首次响应文件提交截止时间。以支票、汇票、本票、网上银行支付等形式提交保证金的，应在首次响应文件提交截止时间前</w:t>
      </w:r>
      <w:r>
        <w:rPr>
          <w:rFonts w:eastAsiaTheme="minorEastAsia"/>
          <w:sz w:val="24"/>
        </w:rPr>
        <w:t>到账；</w:t>
      </w:r>
      <w:r>
        <w:rPr>
          <w:sz w:val="24"/>
        </w:rPr>
        <w:t>以金融机构、担保机构出具的保函等形式提交保证金的，应在首次响应文件提交截止时间前将原件提交至采购代理机构；由于到账时间晚于首次响应文件提交截止时间的，或者票据错误、印鉴不清等原因导致不能到账的，其</w:t>
      </w:r>
      <w:r>
        <w:rPr>
          <w:b/>
          <w:bCs/>
          <w:sz w:val="24"/>
        </w:rPr>
        <w:t>响应无效</w:t>
      </w:r>
      <w:r>
        <w:rPr>
          <w:sz w:val="24"/>
        </w:rPr>
        <w:t>。</w:t>
      </w:r>
    </w:p>
    <w:p>
      <w:pPr>
        <w:numPr>
          <w:ilvl w:val="1"/>
          <w:numId w:val="9"/>
        </w:numPr>
        <w:tabs>
          <w:tab w:val="left" w:pos="1080"/>
          <w:tab w:val="left" w:pos="2014"/>
        </w:tabs>
        <w:snapToGrid w:val="0"/>
        <w:spacing w:line="360" w:lineRule="auto"/>
        <w:ind w:left="1077" w:hanging="720"/>
        <w:rPr>
          <w:sz w:val="24"/>
        </w:rPr>
      </w:pPr>
      <w:r>
        <w:rPr>
          <w:sz w:val="24"/>
        </w:rPr>
        <w:t>保证金有效期同响应有效期。</w:t>
      </w:r>
    </w:p>
    <w:p>
      <w:pPr>
        <w:numPr>
          <w:ilvl w:val="1"/>
          <w:numId w:val="9"/>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pPr>
        <w:numPr>
          <w:ilvl w:val="1"/>
          <w:numId w:val="9"/>
        </w:numPr>
        <w:tabs>
          <w:tab w:val="left" w:pos="1080"/>
          <w:tab w:val="left" w:pos="2014"/>
        </w:tabs>
        <w:snapToGrid w:val="0"/>
        <w:spacing w:line="360" w:lineRule="auto"/>
        <w:ind w:left="1077" w:hanging="720"/>
        <w:rPr>
          <w:sz w:val="24"/>
        </w:rPr>
      </w:pPr>
      <w:r>
        <w:rPr>
          <w:sz w:val="24"/>
        </w:rPr>
        <w:t>采购人、采购代理机构将及时退还供应商的保证金，</w:t>
      </w:r>
      <w:r>
        <w:rPr>
          <w:rFonts w:eastAsiaTheme="minorEastAsia"/>
          <w:sz w:val="24"/>
        </w:rPr>
        <w:t>采用银行保函、担保机构担保函等形式递交的保证金，经供应商同意后采购人、采购代理机构可以不再退还，</w:t>
      </w:r>
      <w:r>
        <w:rPr>
          <w:sz w:val="24"/>
        </w:rPr>
        <w:t>但因供应商自身原因导致无法及时退还的除外：</w:t>
      </w:r>
    </w:p>
    <w:p>
      <w:pPr>
        <w:numPr>
          <w:ilvl w:val="2"/>
          <w:numId w:val="9"/>
        </w:numPr>
        <w:snapToGrid w:val="0"/>
        <w:spacing w:line="360" w:lineRule="auto"/>
        <w:rPr>
          <w:sz w:val="24"/>
        </w:rPr>
      </w:pPr>
      <w:r>
        <w:rPr>
          <w:sz w:val="24"/>
        </w:rPr>
        <w:t>已提交响应文件的供应商，在提交最后报价之前退出谈判的，采购人、采购代理机构将退还退出谈判的供应商的保证金；</w:t>
      </w:r>
    </w:p>
    <w:p>
      <w:pPr>
        <w:numPr>
          <w:ilvl w:val="2"/>
          <w:numId w:val="9"/>
        </w:numPr>
        <w:snapToGrid w:val="0"/>
        <w:spacing w:line="360" w:lineRule="auto"/>
        <w:rPr>
          <w:sz w:val="24"/>
        </w:rPr>
      </w:pPr>
      <w:r>
        <w:rPr>
          <w:sz w:val="24"/>
        </w:rPr>
        <w:t>成交供应商的保证金，自采购合同签订之日起5个工作日内退还成交供应商；</w:t>
      </w:r>
    </w:p>
    <w:p>
      <w:pPr>
        <w:numPr>
          <w:ilvl w:val="2"/>
          <w:numId w:val="9"/>
        </w:numPr>
        <w:snapToGrid w:val="0"/>
        <w:spacing w:line="360" w:lineRule="auto"/>
        <w:rPr>
          <w:sz w:val="24"/>
        </w:rPr>
      </w:pPr>
      <w:r>
        <w:rPr>
          <w:sz w:val="24"/>
        </w:rPr>
        <w:t>未成交供应商的保证金，自成交通知书发出之日起5个工作日内退还未成交供应商。</w:t>
      </w:r>
    </w:p>
    <w:p>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pPr>
        <w:numPr>
          <w:ilvl w:val="2"/>
          <w:numId w:val="9"/>
        </w:numPr>
        <w:snapToGrid w:val="0"/>
        <w:spacing w:line="360" w:lineRule="auto"/>
        <w:rPr>
          <w:sz w:val="24"/>
        </w:rPr>
      </w:pPr>
      <w:r>
        <w:rPr>
          <w:sz w:val="24"/>
        </w:rPr>
        <w:t xml:space="preserve">供应商在响应文件提交截止时间后撤回响应文件的； </w:t>
      </w:r>
    </w:p>
    <w:p>
      <w:pPr>
        <w:numPr>
          <w:ilvl w:val="2"/>
          <w:numId w:val="9"/>
        </w:numPr>
        <w:snapToGrid w:val="0"/>
        <w:spacing w:line="360" w:lineRule="auto"/>
        <w:rPr>
          <w:sz w:val="24"/>
        </w:rPr>
      </w:pPr>
      <w:r>
        <w:rPr>
          <w:sz w:val="24"/>
        </w:rPr>
        <w:t xml:space="preserve">供应商在响应文件中提供虚假材料的； </w:t>
      </w:r>
    </w:p>
    <w:p>
      <w:pPr>
        <w:numPr>
          <w:ilvl w:val="2"/>
          <w:numId w:val="9"/>
        </w:numPr>
        <w:snapToGrid w:val="0"/>
        <w:spacing w:line="360" w:lineRule="auto"/>
        <w:rPr>
          <w:sz w:val="24"/>
        </w:rPr>
      </w:pPr>
      <w:r>
        <w:rPr>
          <w:sz w:val="24"/>
        </w:rPr>
        <w:t xml:space="preserve">除因不可抗力或谈判文件认可的情形以外，成交供应商不与采购人签订合同的； </w:t>
      </w:r>
    </w:p>
    <w:p>
      <w:pPr>
        <w:numPr>
          <w:ilvl w:val="2"/>
          <w:numId w:val="9"/>
        </w:numPr>
        <w:snapToGrid w:val="0"/>
        <w:spacing w:line="360" w:lineRule="auto"/>
        <w:rPr>
          <w:sz w:val="24"/>
        </w:rPr>
      </w:pPr>
      <w:r>
        <w:rPr>
          <w:sz w:val="24"/>
        </w:rPr>
        <w:t>供应商与采购人、其他供应商或者采购代理机构恶意串通的；</w:t>
      </w:r>
    </w:p>
    <w:p>
      <w:pPr>
        <w:numPr>
          <w:ilvl w:val="2"/>
          <w:numId w:val="9"/>
        </w:numPr>
        <w:tabs>
          <w:tab w:val="left" w:pos="900"/>
          <w:tab w:val="left" w:pos="1080"/>
          <w:tab w:val="left" w:pos="2014"/>
        </w:tabs>
        <w:snapToGrid w:val="0"/>
        <w:spacing w:line="360" w:lineRule="auto"/>
        <w:rPr>
          <w:sz w:val="24"/>
        </w:rPr>
      </w:pPr>
      <w:r>
        <w:rPr>
          <w:sz w:val="24"/>
        </w:rPr>
        <w:t>《供应商须知资料表》中规定的其他情形。</w:t>
      </w:r>
    </w:p>
    <w:p>
      <w:pPr>
        <w:numPr>
          <w:ilvl w:val="0"/>
          <w:numId w:val="9"/>
        </w:numPr>
        <w:tabs>
          <w:tab w:val="left" w:pos="360"/>
        </w:tabs>
        <w:snapToGrid w:val="0"/>
        <w:spacing w:line="360" w:lineRule="auto"/>
        <w:ind w:left="357" w:hanging="357"/>
        <w:outlineLvl w:val="1"/>
        <w:rPr>
          <w:sz w:val="24"/>
        </w:rPr>
      </w:pPr>
      <w:r>
        <w:rPr>
          <w:sz w:val="24"/>
        </w:rPr>
        <w:t>响应有效期</w:t>
      </w:r>
    </w:p>
    <w:p>
      <w:pPr>
        <w:numPr>
          <w:ilvl w:val="1"/>
          <w:numId w:val="9"/>
        </w:numPr>
        <w:tabs>
          <w:tab w:val="left" w:pos="1080"/>
          <w:tab w:val="left" w:pos="2014"/>
        </w:tabs>
        <w:snapToGrid w:val="0"/>
        <w:spacing w:line="360" w:lineRule="auto"/>
        <w:ind w:left="1077" w:hanging="720"/>
        <w:rPr>
          <w:sz w:val="24"/>
        </w:rPr>
      </w:pPr>
      <w:r>
        <w:rPr>
          <w:sz w:val="24"/>
        </w:rPr>
        <w:t>响应文件应在本谈判文件《供应商须知资料表》中规定的响应有效期内保持有效，响应有效期少于谈判文件规定期限的，其</w:t>
      </w:r>
      <w:r>
        <w:rPr>
          <w:b/>
          <w:sz w:val="24"/>
        </w:rPr>
        <w:t>响应无效</w:t>
      </w:r>
      <w:r>
        <w:rPr>
          <w:sz w:val="24"/>
        </w:rPr>
        <w:t>。</w:t>
      </w:r>
    </w:p>
    <w:p>
      <w:pPr>
        <w:numPr>
          <w:ilvl w:val="0"/>
          <w:numId w:val="9"/>
        </w:numPr>
        <w:tabs>
          <w:tab w:val="left" w:pos="360"/>
        </w:tabs>
        <w:snapToGrid w:val="0"/>
        <w:spacing w:line="360" w:lineRule="auto"/>
        <w:ind w:left="357" w:hanging="357"/>
        <w:outlineLvl w:val="1"/>
        <w:rPr>
          <w:sz w:val="24"/>
        </w:rPr>
      </w:pPr>
      <w:bookmarkStart w:id="284" w:name="_Toc151193847"/>
      <w:bookmarkStart w:id="285" w:name="_Toc164351627"/>
      <w:bookmarkStart w:id="286" w:name="_Toc150509284"/>
      <w:bookmarkStart w:id="287" w:name="_Toc142311035"/>
      <w:bookmarkStart w:id="288" w:name="_Toc226309777"/>
      <w:bookmarkStart w:id="289" w:name="_Toc264969223"/>
      <w:bookmarkStart w:id="290" w:name="_Toc164229374"/>
      <w:bookmarkStart w:id="291" w:name="_Toc195842898"/>
      <w:bookmarkStart w:id="292" w:name="_Toc150774738"/>
      <w:bookmarkStart w:id="293" w:name="_Toc127151734"/>
      <w:bookmarkStart w:id="294" w:name="_Toc305158801"/>
      <w:bookmarkStart w:id="295" w:name="_Toc151193921"/>
      <w:bookmarkStart w:id="296" w:name="_Toc164608647"/>
      <w:bookmarkStart w:id="297" w:name="_Toc127161447"/>
      <w:bookmarkStart w:id="298" w:name="_Toc226337229"/>
      <w:bookmarkStart w:id="299" w:name="_Toc226965806"/>
      <w:bookmarkStart w:id="300" w:name="_Toc151193631"/>
      <w:bookmarkStart w:id="301" w:name="_Toc149720826"/>
      <w:bookmarkStart w:id="302" w:name="_Toc520356158"/>
      <w:bookmarkStart w:id="303" w:name="_Toc151190160"/>
      <w:bookmarkStart w:id="304" w:name="_Toc150774633"/>
      <w:bookmarkStart w:id="305" w:name="_Toc151193703"/>
      <w:bookmarkStart w:id="306" w:name="_Toc150480771"/>
      <w:bookmarkStart w:id="307" w:name="_Toc164229228"/>
      <w:bookmarkStart w:id="308" w:name="_Toc164608802"/>
      <w:bookmarkStart w:id="309" w:name="_Toc305158875"/>
      <w:bookmarkStart w:id="310" w:name="_Toc127151533"/>
      <w:bookmarkStart w:id="311" w:name="_Toc265228371"/>
      <w:bookmarkStart w:id="312" w:name="_Toc226965723"/>
      <w:bookmarkStart w:id="313" w:name="_Toc151193775"/>
      <w:r>
        <w:rPr>
          <w:sz w:val="24"/>
        </w:rPr>
        <w:t>响应文件的签署</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sz w:val="24"/>
        </w:rPr>
        <w:t>、盖章</w:t>
      </w:r>
    </w:p>
    <w:p>
      <w:pPr>
        <w:numPr>
          <w:ilvl w:val="1"/>
          <w:numId w:val="9"/>
        </w:numPr>
        <w:tabs>
          <w:tab w:val="left" w:pos="1080"/>
          <w:tab w:val="left" w:pos="2014"/>
        </w:tabs>
        <w:snapToGrid w:val="0"/>
        <w:spacing w:line="360" w:lineRule="auto"/>
        <w:ind w:left="1077" w:hanging="720"/>
        <w:rPr>
          <w:sz w:val="24"/>
        </w:rPr>
      </w:pPr>
      <w:bookmarkStart w:id="314" w:name="_Toc305158876"/>
      <w:bookmarkStart w:id="315" w:name="_Toc520356159"/>
      <w:bookmarkStart w:id="316" w:name="_Toc151193632"/>
      <w:bookmarkStart w:id="317" w:name="_Toc150509285"/>
      <w:bookmarkStart w:id="318" w:name="_Toc264969224"/>
      <w:bookmarkStart w:id="319" w:name="_Toc151193776"/>
      <w:bookmarkStart w:id="320" w:name="_Toc265228372"/>
      <w:bookmarkStart w:id="321" w:name="_Toc150480772"/>
      <w:bookmarkStart w:id="322" w:name="_Toc151193922"/>
      <w:bookmarkStart w:id="323" w:name="_Toc142311036"/>
      <w:bookmarkStart w:id="324" w:name="_Toc195842899"/>
      <w:bookmarkStart w:id="325" w:name="_Toc226965724"/>
      <w:bookmarkStart w:id="326" w:name="_Toc226337230"/>
      <w:bookmarkStart w:id="327" w:name="_Toc226965807"/>
      <w:bookmarkStart w:id="328" w:name="_Toc151193848"/>
      <w:bookmarkStart w:id="329" w:name="_Toc127151534"/>
      <w:bookmarkStart w:id="330" w:name="_Toc150774739"/>
      <w:bookmarkStart w:id="331" w:name="_Toc305158802"/>
      <w:bookmarkStart w:id="332" w:name="_Toc226309778"/>
      <w:bookmarkStart w:id="333" w:name="_Toc150774634"/>
      <w:bookmarkStart w:id="334" w:name="_Toc151190161"/>
      <w:bookmarkStart w:id="335" w:name="_Toc151193704"/>
      <w:r>
        <w:rPr>
          <w:rFonts w:hint="eastAsia"/>
          <w:sz w:val="24"/>
        </w:rPr>
        <w:t>供应商应提供响应文件</w:t>
      </w:r>
      <w:r>
        <w:rPr>
          <w:rFonts w:hint="eastAsia"/>
          <w:b/>
          <w:bCs/>
          <w:sz w:val="24"/>
        </w:rPr>
        <w:t>正本1份，副本</w:t>
      </w:r>
      <w:r>
        <w:rPr>
          <w:b/>
          <w:bCs/>
          <w:sz w:val="24"/>
        </w:rPr>
        <w:t>2</w:t>
      </w:r>
      <w:r>
        <w:rPr>
          <w:rFonts w:hint="eastAsia"/>
          <w:b/>
          <w:bCs/>
          <w:sz w:val="24"/>
        </w:rPr>
        <w:t>份，电子文档1份</w:t>
      </w:r>
      <w:r>
        <w:rPr>
          <w:rFonts w:hint="eastAsia"/>
          <w:sz w:val="24"/>
        </w:rPr>
        <w:t>（采用U盘，均应包含纸质首次响应文件全部内容（每份电子版中均应含 word 等可编辑文件与首次响应正本文件盖章扫描后的 pdf 文件各</w:t>
      </w:r>
      <w:r>
        <w:rPr>
          <w:sz w:val="24"/>
        </w:rPr>
        <w:t>1</w:t>
      </w:r>
      <w:r>
        <w:rPr>
          <w:rFonts w:hint="eastAsia"/>
          <w:sz w:val="24"/>
        </w:rPr>
        <w:t>份，首次响应文件包括的其他电子文档也应包含在内）准备首次响应文件。首次响应文件纸质正本及副本须在封面清楚地标明“正本”或“副本”，若首次响应文件有其它纸质组成部分或再分为多册装订等情况，则除了在封面清楚地标明“正本”或“副本”外，还应尽量注明该纸质文件的内容（例如“上册”、“下册”、“图纸”或“附件”等）。若首次响应文件副本与正本不符，以正本为准。电子版与纸质文件不符，以纸质文件为准</w:t>
      </w:r>
      <w:r>
        <w:rPr>
          <w:sz w:val="24"/>
        </w:rPr>
        <w:t>。</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响应文件幅面规格请使用 A4 规格纸张，按照谈判文件第六章规定的顺序，统一编目编码装订，采用双面印刷。由于编排混乱导致响应文件被误读或相关信息查找不到，其责任应当由供应商承担。响应文件装订采用胶订或线订形式进行牢固装订） （左侧装订），不得采用活页装订。未牢固装订的纸质材料将不作为首次响应文件的组成部分，不作为评审依据，但供应商在响应文件提交截止时间前提交的响应文件的补充或修改材料、供应商根据</w:t>
      </w:r>
      <w:r>
        <w:rPr>
          <w:rFonts w:hint="eastAsia" w:ascii="宋体" w:hAnsi="宋体" w:cs="宋体"/>
          <w:spacing w:val="2"/>
          <w:sz w:val="24"/>
        </w:rPr>
        <w:t>谈判</w:t>
      </w:r>
      <w:r>
        <w:rPr>
          <w:rFonts w:hint="eastAsia" w:ascii="宋体" w:hAnsi="宋体"/>
          <w:sz w:val="24"/>
        </w:rPr>
        <w:t>文件的变动情况和</w:t>
      </w:r>
      <w:r>
        <w:rPr>
          <w:rFonts w:hint="eastAsia" w:ascii="宋体" w:hAnsi="宋体" w:cs="宋体"/>
          <w:spacing w:val="2"/>
          <w:sz w:val="24"/>
        </w:rPr>
        <w:t>谈判</w:t>
      </w:r>
      <w:r>
        <w:rPr>
          <w:rFonts w:hint="eastAsia" w:ascii="宋体" w:hAnsi="宋体"/>
          <w:sz w:val="24"/>
        </w:rPr>
        <w:t>小组的要求提交的澄清、修改、更正、响应文件变更内容、重新提交的响应文件和报价等书面材料除外</w:t>
      </w:r>
      <w:r>
        <w:rPr>
          <w:rFonts w:ascii="宋体" w:hAnsi="宋体"/>
          <w:sz w:val="24"/>
        </w:rPr>
        <w:t>。</w:t>
      </w:r>
    </w:p>
    <w:p>
      <w:pPr>
        <w:pStyle w:val="13"/>
        <w:spacing w:line="360" w:lineRule="auto"/>
        <w:ind w:left="1058" w:leftChars="200" w:hanging="638" w:hangingChars="266"/>
        <w:rPr>
          <w:rFonts w:ascii="Times New Roman"/>
        </w:rPr>
      </w:pPr>
      <w:r>
        <w:rPr>
          <w:rFonts w:hint="eastAsia" w:ascii="Times New Roman"/>
        </w:rPr>
        <w:t>12.3  供应商在响应文件及相关文件的签订、履行、通知等事项的书面文件中的单位盖章、印章、公章等处均是指与当事人名称全称相一致的标准公章，如使用投标专用章或其它印章，须提供特别说明函，明确该投标专用章或其它印章效力等同于公章(该特别说明函须同时加盖公章和投标专用章或其它印章)</w:t>
      </w:r>
    </w:p>
    <w:p>
      <w:pPr>
        <w:pStyle w:val="13"/>
        <w:spacing w:line="360" w:lineRule="auto"/>
        <w:ind w:left="1058" w:leftChars="161" w:hanging="720" w:hangingChars="300"/>
        <w:rPr>
          <w:rFonts w:ascii="Times New Roman"/>
        </w:rPr>
      </w:pPr>
      <w:r>
        <w:rPr>
          <w:rFonts w:hint="eastAsia" w:ascii="Times New Roman"/>
        </w:rPr>
        <w:t>12.4  首次响应文件的正本应用不褪色的墨水书写或打印，在所有纸质组成部分的封面加盖供应商公章（由于封面使用了光滑纸张等不便盖章情况的，则认可在扉页或封面之后的第一页盖章）并在响应函中由供应商的法定代表人签署（法定代表人签署说明：法定代表人签字、盖手签章或盖姓名章均为有效签署）或者由法定代表人授权的代理人（也称“被授权人”，下同）签字后有效。由代理人签字的，应附《授权委托书》应符合第六章的格式要求。供应商为无法定代表人的其他团体组织等时，法定代表人则系指其负责人，下同。首次响应文件的副本可采用正本的复印件。</w:t>
      </w:r>
    </w:p>
    <w:p>
      <w:pPr>
        <w:pStyle w:val="13"/>
        <w:spacing w:line="360" w:lineRule="auto"/>
        <w:ind w:left="1056" w:leftChars="200" w:hanging="636" w:hangingChars="265"/>
        <w:rPr>
          <w:rFonts w:ascii="Times New Roman"/>
        </w:rPr>
      </w:pPr>
      <w:r>
        <w:rPr>
          <w:rFonts w:hint="eastAsia" w:ascii="Times New Roman"/>
        </w:rPr>
        <w:t>12.5  响应文件应尽量避免涂改、行间插字或增删，如果出现上述情况，改动之处必须由法定代表人签署或者被授权人签字或者盖公章才有效。</w:t>
      </w:r>
    </w:p>
    <w:p>
      <w:pPr>
        <w:spacing w:line="360" w:lineRule="auto"/>
        <w:ind w:left="1058" w:leftChars="200" w:hanging="638" w:hangingChars="266"/>
        <w:rPr>
          <w:sz w:val="24"/>
        </w:rPr>
      </w:pPr>
      <w:r>
        <w:rPr>
          <w:rFonts w:hint="eastAsia"/>
          <w:sz w:val="24"/>
        </w:rPr>
        <w:t>12.6  若本项目采购需求分为两个或以上包件，除非谈判文件中另有规定，供应商参与本项目的多个包件时，首次响应文件须按包件分别编制并装订提交。</w:t>
      </w:r>
    </w:p>
    <w:p>
      <w:pPr>
        <w:spacing w:line="360" w:lineRule="auto"/>
        <w:ind w:left="1053" w:leftChars="200" w:hanging="633" w:hangingChars="264"/>
        <w:rPr>
          <w:sz w:val="24"/>
        </w:rPr>
      </w:pPr>
      <w:r>
        <w:rPr>
          <w:rFonts w:hint="eastAsia"/>
          <w:sz w:val="24"/>
        </w:rPr>
        <w:t>12.7  供应商在谈判过程中，根据谈判文件的变动情况和谈判小组的要求提交的响应文件变更内容、重新提交的响应文件和报价等书面材料的格式按照谈判小组现场要求执行，谈判小组无格式要求的书面材料由供应商自拟。以上书面材料应逐页加盖公章或者由供应商法定代表人逐页签署或由被授权人逐页签字。</w:t>
      </w:r>
    </w:p>
    <w:p>
      <w:pPr>
        <w:pStyle w:val="13"/>
        <w:ind w:left="959" w:leftChars="228" w:hanging="480" w:hangingChars="200"/>
        <w:rPr>
          <w:rFonts w:hAnsi="宋体"/>
        </w:rPr>
      </w:pPr>
    </w:p>
    <w:p>
      <w:pPr>
        <w:tabs>
          <w:tab w:val="left" w:pos="900"/>
          <w:tab w:val="left" w:pos="1080"/>
        </w:tabs>
        <w:snapToGrid w:val="0"/>
        <w:spacing w:line="360" w:lineRule="auto"/>
        <w:ind w:left="357"/>
      </w:pPr>
    </w:p>
    <w:p>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numPr>
          <w:ilvl w:val="0"/>
          <w:numId w:val="9"/>
        </w:numPr>
        <w:tabs>
          <w:tab w:val="left" w:pos="360"/>
        </w:tabs>
        <w:snapToGrid w:val="0"/>
        <w:spacing w:line="360" w:lineRule="auto"/>
        <w:ind w:left="357" w:hanging="357"/>
        <w:outlineLvl w:val="1"/>
        <w:rPr>
          <w:sz w:val="24"/>
        </w:rPr>
      </w:pPr>
      <w:bookmarkStart w:id="336" w:name="_Toc151193633"/>
      <w:bookmarkStart w:id="337" w:name="_Toc226309779"/>
      <w:bookmarkStart w:id="338" w:name="_Toc195842900"/>
      <w:bookmarkStart w:id="339" w:name="_Toc151193777"/>
      <w:bookmarkStart w:id="340" w:name="_Toc151193849"/>
      <w:bookmarkStart w:id="341" w:name="_Toc520356160"/>
      <w:bookmarkStart w:id="342" w:name="_Toc150774740"/>
      <w:bookmarkStart w:id="343" w:name="_Toc164229230"/>
      <w:bookmarkStart w:id="344" w:name="_Toc150480773"/>
      <w:bookmarkStart w:id="345" w:name="_Toc151193923"/>
      <w:bookmarkStart w:id="346" w:name="_Toc164351629"/>
      <w:bookmarkStart w:id="347" w:name="_Toc150774635"/>
      <w:bookmarkStart w:id="348" w:name="_Toc127151535"/>
      <w:bookmarkStart w:id="349" w:name="_Toc127151736"/>
      <w:bookmarkStart w:id="350" w:name="_Toc226965808"/>
      <w:bookmarkStart w:id="351" w:name="_Toc151190162"/>
      <w:bookmarkStart w:id="352" w:name="_Toc127161449"/>
      <w:bookmarkStart w:id="353" w:name="_Toc264969225"/>
      <w:bookmarkStart w:id="354" w:name="_Toc164608649"/>
      <w:bookmarkStart w:id="355" w:name="_Toc142311037"/>
      <w:bookmarkStart w:id="356" w:name="_Toc305158803"/>
      <w:bookmarkStart w:id="357" w:name="_Toc305158877"/>
      <w:bookmarkStart w:id="358" w:name="_Toc164608804"/>
      <w:bookmarkStart w:id="359" w:name="_Toc265228373"/>
      <w:bookmarkStart w:id="360" w:name="_Toc151193705"/>
      <w:bookmarkStart w:id="361" w:name="_Toc150509286"/>
      <w:bookmarkStart w:id="362" w:name="_Toc226337231"/>
      <w:bookmarkStart w:id="363" w:name="_Toc149720828"/>
      <w:bookmarkStart w:id="364" w:name="_Toc226965725"/>
      <w:bookmarkStart w:id="365" w:name="_Toc164229376"/>
      <w:r>
        <w:rPr>
          <w:sz w:val="24"/>
        </w:rPr>
        <w:t>响应文件的</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sz w:val="24"/>
        </w:rPr>
        <w:t>提交</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响应文件的包装及标记要求</w:t>
      </w:r>
    </w:p>
    <w:p>
      <w:pPr>
        <w:numPr>
          <w:ilvl w:val="2"/>
          <w:numId w:val="9"/>
        </w:numPr>
        <w:tabs>
          <w:tab w:val="left" w:pos="1080"/>
          <w:tab w:val="left" w:pos="2014"/>
          <w:tab w:val="clear" w:pos="1980"/>
        </w:tabs>
        <w:snapToGrid w:val="0"/>
        <w:spacing w:line="360" w:lineRule="auto"/>
        <w:rPr>
          <w:rFonts w:ascii="宋体" w:hAnsi="宋体"/>
          <w:sz w:val="24"/>
        </w:rPr>
      </w:pPr>
      <w:r>
        <w:rPr>
          <w:rFonts w:hint="eastAsia" w:ascii="宋体" w:hAnsi="宋体"/>
          <w:sz w:val="24"/>
        </w:rPr>
        <w:t>供应商应将首次响应文件纸质正本和副本进行包装，在包装袋上标明参与项目名称、项目编号、包件号、包件名称、供应商名称、“正本”或“副本”和“于【首次响应文件提交截止时间】之前不得启封”的字样。</w:t>
      </w:r>
    </w:p>
    <w:p>
      <w:pPr>
        <w:pStyle w:val="13"/>
        <w:numPr>
          <w:ilvl w:val="2"/>
          <w:numId w:val="9"/>
        </w:numPr>
        <w:spacing w:line="360" w:lineRule="auto"/>
        <w:rPr>
          <w:rFonts w:hAnsi="宋体"/>
        </w:rPr>
      </w:pPr>
      <w:r>
        <w:rPr>
          <w:rFonts w:hAnsi="宋体"/>
        </w:rPr>
        <w:t>供应商应将首次响应文件纸质正本和副本进行包装，在包装袋上标明参与项目名称、项目编号、包件号、包件名称、供应商名称、“正本”或“副本”和“于【首次响应文件提交截止时间】之前不得启封”的字样。</w:t>
      </w:r>
      <w:r>
        <w:rPr>
          <w:rFonts w:hint="eastAsia" w:hAnsi="宋体"/>
        </w:rPr>
        <w:t>保证金或其凭证单独置于一个包装袋内，并在该包装袋上标明参与项目名称、项目编号、包件号、包件名称、供应商名称、“保证金”和“于【响应文件提交截止时间】之前不得启封”的字样。</w:t>
      </w:r>
    </w:p>
    <w:p>
      <w:pPr>
        <w:pStyle w:val="13"/>
        <w:numPr>
          <w:ilvl w:val="2"/>
          <w:numId w:val="9"/>
        </w:numPr>
        <w:spacing w:line="360" w:lineRule="auto"/>
        <w:rPr>
          <w:rFonts w:hAnsi="宋体"/>
        </w:rPr>
      </w:pPr>
      <w:r>
        <w:rPr>
          <w:rFonts w:hint="eastAsia" w:hAnsi="宋体"/>
        </w:rPr>
        <w:t>若响应文件有其它组成部分或分册装订等情况，除均应按上述第 13.1.1条规定包装、标记外，还应尽量注明包装袋内的内容（例如“资格证明文件册”“商务技术册”“上册”、“下册”、“图纸”或“附件”等）。</w:t>
      </w:r>
    </w:p>
    <w:p>
      <w:pPr>
        <w:pStyle w:val="13"/>
        <w:numPr>
          <w:ilvl w:val="2"/>
          <w:numId w:val="9"/>
        </w:numPr>
        <w:spacing w:line="360" w:lineRule="auto"/>
        <w:rPr>
          <w:rFonts w:hAnsi="宋体"/>
        </w:rPr>
      </w:pPr>
      <w:r>
        <w:rPr>
          <w:rFonts w:hint="eastAsia" w:hAnsi="宋体"/>
        </w:rPr>
        <w:t>供应商在响应文件提交截止时间前提交对其响应文件的修改的通知（如有）的，应按本须知 15.2 条规定施加明显标记并包装，否则采购人和采购代理机构对发生的遗漏或错误开启不承担责任。</w:t>
      </w:r>
    </w:p>
    <w:p>
      <w:pPr>
        <w:pStyle w:val="13"/>
        <w:numPr>
          <w:ilvl w:val="2"/>
          <w:numId w:val="9"/>
        </w:numPr>
        <w:tabs>
          <w:tab w:val="clear" w:pos="1980"/>
        </w:tabs>
        <w:spacing w:line="360" w:lineRule="auto"/>
      </w:pPr>
      <w:r>
        <w:rPr>
          <w:rFonts w:hint="eastAsia" w:hAnsi="宋体"/>
        </w:rPr>
        <w:t>在谈判过程中提交的响应文件变更内容、重新提交的响应文件和最后报价等书面材料也须进行包装，在外包装上简单注明供应商名称即可。</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如果供应商未按上述要求密封及加写标记，采购单位对响应文件的误投或过早启封概不负责。</w:t>
      </w:r>
    </w:p>
    <w:p>
      <w:pPr>
        <w:numPr>
          <w:ilvl w:val="0"/>
          <w:numId w:val="9"/>
        </w:numPr>
        <w:tabs>
          <w:tab w:val="left" w:pos="360"/>
        </w:tabs>
        <w:snapToGrid w:val="0"/>
        <w:spacing w:line="360" w:lineRule="auto"/>
        <w:ind w:left="357" w:hanging="357"/>
        <w:outlineLvl w:val="1"/>
        <w:rPr>
          <w:sz w:val="24"/>
        </w:rPr>
      </w:pPr>
      <w:r>
        <w:rPr>
          <w:sz w:val="24"/>
        </w:rPr>
        <w:t>响应文件提交截止时间</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响应文件提交截止时间见第一章采购邀请。</w:t>
      </w:r>
    </w:p>
    <w:p>
      <w:pPr>
        <w:numPr>
          <w:ilvl w:val="1"/>
          <w:numId w:val="9"/>
        </w:numPr>
        <w:tabs>
          <w:tab w:val="left" w:pos="1080"/>
          <w:tab w:val="left" w:pos="2014"/>
        </w:tabs>
        <w:snapToGrid w:val="0"/>
        <w:spacing w:line="360" w:lineRule="auto"/>
        <w:ind w:left="1077" w:hanging="720"/>
      </w:pPr>
      <w:r>
        <w:rPr>
          <w:rFonts w:hint="eastAsia" w:ascii="宋体" w:hAnsi="宋体"/>
          <w:sz w:val="24"/>
        </w:rPr>
        <w:t>响应文件须按照谈判文件规定的时间、地点送达，在响应文件提交截止时间以后送达或者未按照谈判文件要求密封的响应文件，采购代理机构将拒收。</w:t>
      </w:r>
    </w:p>
    <w:p>
      <w:pPr>
        <w:numPr>
          <w:ilvl w:val="0"/>
          <w:numId w:val="9"/>
        </w:numPr>
        <w:tabs>
          <w:tab w:val="left" w:pos="360"/>
        </w:tabs>
        <w:snapToGrid w:val="0"/>
        <w:spacing w:line="360" w:lineRule="auto"/>
        <w:ind w:left="357" w:hanging="357"/>
        <w:outlineLvl w:val="1"/>
        <w:rPr>
          <w:sz w:val="24"/>
        </w:rPr>
      </w:pPr>
      <w:bookmarkStart w:id="366" w:name="_Toc226337233"/>
      <w:bookmarkStart w:id="367" w:name="_Toc195842902"/>
      <w:bookmarkStart w:id="368" w:name="_Toc127151738"/>
      <w:bookmarkStart w:id="369" w:name="_Toc164608651"/>
      <w:bookmarkStart w:id="370" w:name="_Toc151193635"/>
      <w:bookmarkStart w:id="371" w:name="_Toc151193707"/>
      <w:bookmarkStart w:id="372" w:name="_Toc151190164"/>
      <w:bookmarkStart w:id="373" w:name="_Toc142311039"/>
      <w:bookmarkStart w:id="374" w:name="_Toc305158805"/>
      <w:bookmarkStart w:id="375" w:name="_Toc164229232"/>
      <w:bookmarkStart w:id="376" w:name="_Toc164608806"/>
      <w:bookmarkStart w:id="377" w:name="_Toc150480775"/>
      <w:bookmarkStart w:id="378" w:name="_Toc151193851"/>
      <w:bookmarkStart w:id="379" w:name="_Toc305158879"/>
      <w:bookmarkStart w:id="380" w:name="_Toc149720830"/>
      <w:bookmarkStart w:id="381" w:name="_Toc226965727"/>
      <w:bookmarkStart w:id="382" w:name="_Toc150774637"/>
      <w:bookmarkStart w:id="383" w:name="_Toc151193925"/>
      <w:bookmarkStart w:id="384" w:name="_Toc265228375"/>
      <w:bookmarkStart w:id="385" w:name="_Toc127161451"/>
      <w:bookmarkStart w:id="386" w:name="_Toc151193779"/>
      <w:bookmarkStart w:id="387" w:name="_Toc264969227"/>
      <w:bookmarkStart w:id="388" w:name="_Toc520356162"/>
      <w:bookmarkStart w:id="389" w:name="_Toc226965810"/>
      <w:bookmarkStart w:id="390" w:name="_Toc150774742"/>
      <w:bookmarkStart w:id="391" w:name="_Toc127151537"/>
      <w:bookmarkStart w:id="392" w:name="_Toc226309781"/>
      <w:bookmarkStart w:id="393" w:name="_Toc164351631"/>
      <w:bookmarkStart w:id="394" w:name="_Toc164229378"/>
      <w:bookmarkStart w:id="395" w:name="_Toc150509288"/>
      <w:r>
        <w:rPr>
          <w:sz w:val="24"/>
        </w:rPr>
        <w:t>响应文件的修改与撤回</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numPr>
          <w:ilvl w:val="1"/>
          <w:numId w:val="9"/>
        </w:numPr>
        <w:tabs>
          <w:tab w:val="left" w:pos="1080"/>
          <w:tab w:val="left" w:pos="2014"/>
        </w:tabs>
        <w:snapToGrid w:val="0"/>
        <w:spacing w:line="360" w:lineRule="auto"/>
        <w:ind w:left="1077" w:hanging="720"/>
        <w:rPr>
          <w:sz w:val="24"/>
        </w:rPr>
      </w:pPr>
      <w:r>
        <w:rPr>
          <w:sz w:val="24"/>
        </w:rPr>
        <w:t>提交响应文件截止时间前，供应商对所提交的响应文件进行补充、修改或者撤回</w:t>
      </w:r>
      <w:r>
        <w:rPr>
          <w:rFonts w:hint="eastAsia"/>
          <w:sz w:val="24"/>
        </w:rPr>
        <w:t>，并以书面形式通知采购代理机构。响应文件的修改是响应文件的组成部分</w:t>
      </w:r>
      <w:r>
        <w:rPr>
          <w:sz w:val="24"/>
        </w:rPr>
        <w:t>。</w:t>
      </w:r>
    </w:p>
    <w:p>
      <w:pPr>
        <w:numPr>
          <w:ilvl w:val="1"/>
          <w:numId w:val="9"/>
        </w:numPr>
        <w:tabs>
          <w:tab w:val="left" w:pos="1080"/>
          <w:tab w:val="left" w:pos="2014"/>
        </w:tabs>
        <w:snapToGrid w:val="0"/>
        <w:spacing w:line="360" w:lineRule="auto"/>
        <w:ind w:left="1077" w:hanging="720"/>
        <w:rPr>
          <w:sz w:val="24"/>
        </w:rPr>
      </w:pPr>
      <w:r>
        <w:rPr>
          <w:sz w:val="24"/>
        </w:rPr>
        <w:t>供应商对响应文件的补充、修改的内容应当按照谈判文件要求签署、盖章，作为响应文件的组成部分。补充、修改的内容与响应文件不一致的，以补充、修改的内容为准。</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供应商修改响应文件的通知应逐页加盖公章或者逐页由供应商法定代表人签署或由被授权人签字，并应单独包装，同时在包装袋上标明“响应文件修改通知”、 项目名称、项目编号、包件号、包件名称、供应商名称和“在【响应文件提交截止时间】之前不得启封”的字样，单独密封后提交。由于供应商的修改通知未按照本条规定包装、密封，采购人、采购代理机构对评审时的遗漏概不负责。</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供应商撤回响应文件的通知应加盖公章或由供应商法定代表人签署或由被授权人签字。</w:t>
      </w:r>
    </w:p>
    <w:p>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从响应文件提交截止时间起至响应有效期期满这段时间内，供应商不得撤回其响应文件，否则采购人或采购代理机构可以按照本须知的规定不退还其保证金。</w:t>
      </w:r>
    </w:p>
    <w:p>
      <w:pPr>
        <w:spacing w:line="360" w:lineRule="auto"/>
        <w:rPr>
          <w:sz w:val="24"/>
        </w:rPr>
      </w:pPr>
    </w:p>
    <w:p>
      <w:pPr>
        <w:pStyle w:val="4"/>
        <w:spacing w:before="0" w:line="360" w:lineRule="auto"/>
        <w:rPr>
          <w:rFonts w:ascii="Times New Roman" w:hAnsi="Times New Roman" w:eastAsia="宋体"/>
          <w:sz w:val="28"/>
        </w:rPr>
      </w:pPr>
      <w:bookmarkStart w:id="396" w:name="_Toc226965728"/>
      <w:bookmarkStart w:id="397" w:name="_Toc151193926"/>
      <w:bookmarkStart w:id="398" w:name="_Toc150509289"/>
      <w:bookmarkStart w:id="399" w:name="_Toc305158880"/>
      <w:bookmarkStart w:id="400" w:name="_Toc264969228"/>
      <w:bookmarkStart w:id="401" w:name="_Toc226309782"/>
      <w:bookmarkStart w:id="402" w:name="_Toc151190165"/>
      <w:bookmarkStart w:id="403" w:name="_Toc151193708"/>
      <w:bookmarkStart w:id="404" w:name="_Toc151193852"/>
      <w:bookmarkStart w:id="405" w:name="_Toc151193780"/>
      <w:bookmarkStart w:id="406" w:name="_Toc195842903"/>
      <w:bookmarkStart w:id="407" w:name="_Toc150480776"/>
      <w:bookmarkStart w:id="408" w:name="_Toc127151538"/>
      <w:bookmarkStart w:id="409" w:name="_Toc150774638"/>
      <w:bookmarkStart w:id="410" w:name="_Toc265228376"/>
      <w:bookmarkStart w:id="411" w:name="_Toc520356163"/>
      <w:bookmarkStart w:id="412" w:name="_Toc142311040"/>
      <w:bookmarkStart w:id="413" w:name="_Toc151193636"/>
      <w:bookmarkStart w:id="414" w:name="_Toc226965811"/>
      <w:bookmarkStart w:id="415" w:name="_Toc150774743"/>
      <w:bookmarkStart w:id="416" w:name="_Toc305158806"/>
      <w:bookmarkStart w:id="417" w:name="_Toc226337234"/>
      <w:r>
        <w:rPr>
          <w:rFonts w:ascii="Times New Roman" w:hAnsi="Times New Roman" w:eastAsia="宋体"/>
          <w:sz w:val="28"/>
        </w:rPr>
        <w:t xml:space="preserve">五   </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Start w:id="418" w:name="_Hlk97413571"/>
      <w:r>
        <w:rPr>
          <w:rFonts w:ascii="Times New Roman" w:hAnsi="Times New Roman" w:eastAsia="宋体"/>
          <w:sz w:val="28"/>
        </w:rPr>
        <w:t>评审</w:t>
      </w:r>
      <w:bookmarkEnd w:id="418"/>
    </w:p>
    <w:p>
      <w:pPr>
        <w:numPr>
          <w:ilvl w:val="0"/>
          <w:numId w:val="9"/>
        </w:numPr>
        <w:tabs>
          <w:tab w:val="left" w:pos="360"/>
        </w:tabs>
        <w:snapToGrid w:val="0"/>
        <w:spacing w:line="360" w:lineRule="auto"/>
        <w:ind w:left="357" w:hanging="357"/>
        <w:outlineLvl w:val="1"/>
        <w:rPr>
          <w:sz w:val="24"/>
        </w:rPr>
      </w:pPr>
      <w:r>
        <w:rPr>
          <w:rFonts w:hint="eastAsia"/>
          <w:color w:val="000000"/>
          <w:sz w:val="24"/>
        </w:rPr>
        <w:t>谈判</w:t>
      </w:r>
    </w:p>
    <w:p>
      <w:pPr>
        <w:numPr>
          <w:ilvl w:val="1"/>
          <w:numId w:val="9"/>
        </w:numPr>
        <w:tabs>
          <w:tab w:val="left" w:pos="1080"/>
          <w:tab w:val="left" w:pos="2014"/>
        </w:tabs>
        <w:snapToGrid w:val="0"/>
        <w:spacing w:line="360" w:lineRule="auto"/>
        <w:ind w:left="1077" w:hanging="720"/>
        <w:rPr>
          <w:color w:val="000000"/>
          <w:sz w:val="24"/>
        </w:rPr>
      </w:pPr>
      <w:r>
        <w:rPr>
          <w:color w:val="000000"/>
          <w:sz w:val="24"/>
        </w:rPr>
        <w:t>采购人或采购代理机构将按谈判文件的规定，在响应文件提交截止时间的同一时间和《供应商须知资料表》约定的地点组织</w:t>
      </w:r>
      <w:r>
        <w:rPr>
          <w:rFonts w:hint="eastAsia"/>
          <w:color w:val="000000"/>
          <w:sz w:val="24"/>
        </w:rPr>
        <w:t>谈判</w:t>
      </w:r>
      <w:r>
        <w:rPr>
          <w:color w:val="000000"/>
          <w:sz w:val="24"/>
        </w:rPr>
        <w:t xml:space="preserve">。 </w:t>
      </w:r>
    </w:p>
    <w:p>
      <w:pPr>
        <w:numPr>
          <w:ilvl w:val="1"/>
          <w:numId w:val="9"/>
        </w:numPr>
        <w:tabs>
          <w:tab w:val="left" w:pos="1080"/>
          <w:tab w:val="left" w:pos="2014"/>
        </w:tabs>
        <w:snapToGrid w:val="0"/>
        <w:spacing w:line="360" w:lineRule="auto"/>
        <w:ind w:left="1077" w:hanging="720"/>
        <w:rPr>
          <w:color w:val="000000"/>
          <w:sz w:val="24"/>
        </w:rPr>
      </w:pPr>
      <w:r>
        <w:rPr>
          <w:color w:val="000000"/>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应当回避。</w:t>
      </w:r>
    </w:p>
    <w:p>
      <w:pPr>
        <w:numPr>
          <w:ilvl w:val="1"/>
          <w:numId w:val="9"/>
        </w:numPr>
        <w:tabs>
          <w:tab w:val="left" w:pos="1080"/>
          <w:tab w:val="left" w:pos="2014"/>
        </w:tabs>
        <w:snapToGrid w:val="0"/>
        <w:spacing w:line="360" w:lineRule="auto"/>
        <w:ind w:left="1077" w:hanging="720"/>
        <w:rPr>
          <w:sz w:val="24"/>
        </w:rPr>
      </w:pPr>
      <w:r>
        <w:rPr>
          <w:color w:val="000000"/>
          <w:sz w:val="24"/>
        </w:rPr>
        <w:t>本项目不公开报价</w:t>
      </w:r>
      <w:r>
        <w:rPr>
          <w:sz w:val="24"/>
        </w:rPr>
        <w:t>。</w:t>
      </w:r>
    </w:p>
    <w:p>
      <w:pPr>
        <w:numPr>
          <w:ilvl w:val="0"/>
          <w:numId w:val="9"/>
        </w:numPr>
        <w:tabs>
          <w:tab w:val="left" w:pos="360"/>
        </w:tabs>
        <w:snapToGrid w:val="0"/>
        <w:spacing w:line="360" w:lineRule="auto"/>
        <w:ind w:left="357" w:hanging="357"/>
        <w:outlineLvl w:val="1"/>
        <w:rPr>
          <w:sz w:val="24"/>
        </w:rPr>
      </w:pPr>
      <w:bookmarkStart w:id="419" w:name="_Toc164229381"/>
      <w:bookmarkStart w:id="420" w:name="_Toc151190167"/>
      <w:bookmarkStart w:id="421" w:name="_Toc164608654"/>
      <w:bookmarkStart w:id="422" w:name="_Toc226309784"/>
      <w:bookmarkStart w:id="423" w:name="_Toc264969230"/>
      <w:bookmarkStart w:id="424" w:name="_Toc150774745"/>
      <w:bookmarkStart w:id="425" w:name="_Toc149720833"/>
      <w:bookmarkStart w:id="426" w:name="_Toc151193782"/>
      <w:bookmarkStart w:id="427" w:name="_Toc142311042"/>
      <w:bookmarkStart w:id="428" w:name="_Toc150480778"/>
      <w:bookmarkStart w:id="429" w:name="_Toc164229235"/>
      <w:bookmarkStart w:id="430" w:name="_Toc127151741"/>
      <w:bookmarkStart w:id="431" w:name="_Toc226965730"/>
      <w:bookmarkStart w:id="432" w:name="_Toc226965813"/>
      <w:bookmarkStart w:id="433" w:name="_Toc151193928"/>
      <w:bookmarkStart w:id="434" w:name="_Toc127151540"/>
      <w:bookmarkStart w:id="435" w:name="_Toc265228378"/>
      <w:bookmarkStart w:id="436" w:name="_Toc127161454"/>
      <w:bookmarkStart w:id="437" w:name="_Toc195842905"/>
      <w:bookmarkStart w:id="438" w:name="_Toc151193710"/>
      <w:bookmarkStart w:id="439" w:name="_Toc305158808"/>
      <w:bookmarkStart w:id="440" w:name="_Toc305158882"/>
      <w:bookmarkStart w:id="441" w:name="_Toc164351634"/>
      <w:bookmarkStart w:id="442" w:name="_Toc150774640"/>
      <w:bookmarkStart w:id="443" w:name="_Toc226337236"/>
      <w:bookmarkStart w:id="444" w:name="_Toc150509291"/>
      <w:bookmarkStart w:id="445" w:name="_Toc151193638"/>
      <w:bookmarkStart w:id="446" w:name="_Toc151193854"/>
      <w:bookmarkStart w:id="447" w:name="_Toc164608809"/>
      <w:r>
        <w:rPr>
          <w:sz w:val="24"/>
        </w:rPr>
        <w:t>谈判小组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numPr>
          <w:ilvl w:val="1"/>
          <w:numId w:val="9"/>
        </w:numPr>
        <w:tabs>
          <w:tab w:val="left" w:pos="1080"/>
          <w:tab w:val="left" w:pos="2014"/>
        </w:tabs>
        <w:snapToGrid w:val="0"/>
        <w:spacing w:line="360" w:lineRule="auto"/>
        <w:ind w:left="1077" w:hanging="720"/>
        <w:rPr>
          <w:sz w:val="24"/>
        </w:rPr>
      </w:pPr>
      <w:r>
        <w:rPr>
          <w:sz w:val="24"/>
        </w:rPr>
        <w:t>谈判小组根据政府采购有关规定和本次采购项目的特点进行组建，并负责具体评审与谈判事务，独立履行职责。</w:t>
      </w:r>
      <w:bookmarkStart w:id="448" w:name="_Toc520356166"/>
    </w:p>
    <w:p>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48"/>
      <w:bookmarkStart w:id="449" w:name="_Toc520356169"/>
    </w:p>
    <w:p>
      <w:pPr>
        <w:numPr>
          <w:ilvl w:val="0"/>
          <w:numId w:val="9"/>
        </w:numPr>
        <w:tabs>
          <w:tab w:val="left" w:pos="360"/>
        </w:tabs>
        <w:snapToGrid w:val="0"/>
        <w:spacing w:line="360" w:lineRule="auto"/>
        <w:ind w:left="357" w:hanging="357"/>
        <w:outlineLvl w:val="1"/>
        <w:rPr>
          <w:sz w:val="24"/>
        </w:rPr>
      </w:pPr>
      <w:bookmarkStart w:id="450" w:name="_Hlk97413435"/>
      <w:r>
        <w:rPr>
          <w:sz w:val="24"/>
        </w:rPr>
        <w:t>评审程序和评定成交的标准</w:t>
      </w:r>
    </w:p>
    <w:p>
      <w:pPr>
        <w:numPr>
          <w:ilvl w:val="1"/>
          <w:numId w:val="9"/>
        </w:numPr>
        <w:tabs>
          <w:tab w:val="left" w:pos="1080"/>
          <w:tab w:val="left" w:pos="2014"/>
        </w:tabs>
        <w:snapToGrid w:val="0"/>
        <w:spacing w:line="360" w:lineRule="auto"/>
        <w:ind w:left="1077" w:hanging="720"/>
        <w:rPr>
          <w:sz w:val="24"/>
        </w:rPr>
      </w:pPr>
      <w:bookmarkStart w:id="451" w:name="_Toc83547671"/>
      <w:r>
        <w:rPr>
          <w:sz w:val="24"/>
        </w:rPr>
        <w:t>见第三章《评审程序和评定成交的标准》。</w:t>
      </w:r>
    </w:p>
    <w:bookmarkEnd w:id="450"/>
    <w:bookmarkEnd w:id="451"/>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452" w:name="_Toc195842910"/>
      <w:bookmarkStart w:id="453" w:name="_Toc226965818"/>
      <w:bookmarkStart w:id="454" w:name="_Toc305158887"/>
      <w:bookmarkStart w:id="455" w:name="_Toc151193715"/>
      <w:bookmarkStart w:id="456" w:name="_Toc305158813"/>
      <w:bookmarkStart w:id="457" w:name="_Toc226309789"/>
      <w:bookmarkStart w:id="458" w:name="_Toc151193859"/>
      <w:bookmarkStart w:id="459" w:name="_Toc150480783"/>
      <w:bookmarkStart w:id="460" w:name="_Toc150774750"/>
      <w:bookmarkStart w:id="461" w:name="_Toc265228383"/>
      <w:bookmarkStart w:id="462" w:name="_Toc150774645"/>
      <w:bookmarkStart w:id="463" w:name="_Toc151190172"/>
      <w:bookmarkStart w:id="464" w:name="_Toc150509296"/>
      <w:bookmarkStart w:id="465" w:name="_Toc151193643"/>
      <w:bookmarkStart w:id="466" w:name="_Toc127151545"/>
      <w:bookmarkStart w:id="467" w:name="_Toc142311047"/>
      <w:bookmarkStart w:id="468" w:name="_Toc226965735"/>
      <w:bookmarkStart w:id="469" w:name="_Toc151193787"/>
      <w:bookmarkStart w:id="470" w:name="_Toc264969235"/>
      <w:bookmarkStart w:id="471" w:name="_Toc151193933"/>
      <w:bookmarkStart w:id="472" w:name="_Toc226337241"/>
      <w:r>
        <w:rPr>
          <w:rFonts w:ascii="Times New Roman" w:hAnsi="Times New Roman" w:eastAsia="宋体"/>
          <w:sz w:val="28"/>
        </w:rPr>
        <w:t xml:space="preserve">六   </w:t>
      </w:r>
      <w:bookmarkEnd w:id="449"/>
      <w:r>
        <w:rPr>
          <w:rFonts w:ascii="Times New Roman" w:hAnsi="Times New Roman" w:eastAsia="宋体"/>
          <w:sz w:val="28"/>
        </w:rPr>
        <w:t>确定</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Fonts w:ascii="Times New Roman" w:hAnsi="Times New Roman" w:eastAsia="宋体"/>
          <w:sz w:val="28"/>
        </w:rPr>
        <w:t>成交</w:t>
      </w:r>
    </w:p>
    <w:p>
      <w:pPr>
        <w:numPr>
          <w:ilvl w:val="0"/>
          <w:numId w:val="9"/>
        </w:numPr>
        <w:tabs>
          <w:tab w:val="left" w:pos="360"/>
        </w:tabs>
        <w:snapToGrid w:val="0"/>
        <w:spacing w:line="360" w:lineRule="auto"/>
        <w:ind w:left="357" w:hanging="357"/>
        <w:outlineLvl w:val="1"/>
        <w:rPr>
          <w:sz w:val="24"/>
        </w:rPr>
      </w:pPr>
      <w:bookmarkStart w:id="473" w:name="_Toc164229388"/>
      <w:bookmarkStart w:id="474" w:name="_Toc150774752"/>
      <w:bookmarkStart w:id="475" w:name="_Toc226965737"/>
      <w:bookmarkStart w:id="476" w:name="_Toc151193861"/>
      <w:bookmarkStart w:id="477" w:name="_Toc164608816"/>
      <w:bookmarkStart w:id="478" w:name="_Toc226309791"/>
      <w:bookmarkStart w:id="479" w:name="_Toc226337243"/>
      <w:bookmarkStart w:id="480" w:name="_Toc164351641"/>
      <w:bookmarkStart w:id="481" w:name="_Toc305158815"/>
      <w:bookmarkStart w:id="482" w:name="_Toc142311049"/>
      <w:bookmarkStart w:id="483" w:name="_Toc150480785"/>
      <w:bookmarkStart w:id="484" w:name="_Toc164608661"/>
      <w:bookmarkStart w:id="485" w:name="_Toc127151748"/>
      <w:bookmarkStart w:id="486" w:name="_Toc151193645"/>
      <w:bookmarkStart w:id="487" w:name="_Toc149720840"/>
      <w:bookmarkStart w:id="488" w:name="_Toc127151547"/>
      <w:bookmarkStart w:id="489" w:name="_Toc151193717"/>
      <w:bookmarkStart w:id="490" w:name="_Toc151190174"/>
      <w:bookmarkStart w:id="491" w:name="_Toc164229242"/>
      <w:bookmarkStart w:id="492" w:name="_Toc127161461"/>
      <w:bookmarkStart w:id="493" w:name="_Toc226965820"/>
      <w:bookmarkStart w:id="494" w:name="_Toc151193935"/>
      <w:bookmarkStart w:id="495" w:name="_Toc195842912"/>
      <w:bookmarkStart w:id="496" w:name="_Toc264969237"/>
      <w:bookmarkStart w:id="497" w:name="_Toc305158889"/>
      <w:bookmarkStart w:id="498" w:name="_Toc150509298"/>
      <w:bookmarkStart w:id="499" w:name="_Toc151193789"/>
      <w:bookmarkStart w:id="500" w:name="_Toc265228385"/>
      <w:bookmarkStart w:id="501" w:name="_Toc150774647"/>
      <w:r>
        <w:rPr>
          <w:sz w:val="24"/>
        </w:rPr>
        <w:t>确定成交供应商</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numPr>
          <w:ilvl w:val="1"/>
          <w:numId w:val="9"/>
        </w:numPr>
        <w:tabs>
          <w:tab w:val="left" w:pos="1080"/>
          <w:tab w:val="left" w:pos="2014"/>
        </w:tabs>
        <w:snapToGrid w:val="0"/>
        <w:spacing w:line="360" w:lineRule="auto"/>
        <w:ind w:left="1077" w:hanging="720"/>
        <w:rPr>
          <w:sz w:val="24"/>
        </w:rPr>
      </w:pPr>
      <w:r>
        <w:rPr>
          <w:color w:val="000000"/>
          <w:sz w:val="24"/>
        </w:rPr>
        <w:t>采购人将在评审报告提出的成交候选人中，根据质量和服务均能满足</w:t>
      </w:r>
      <w:r>
        <w:rPr>
          <w:rFonts w:hint="eastAsia"/>
          <w:color w:val="000000"/>
          <w:sz w:val="24"/>
        </w:rPr>
        <w:t>谈判文件</w:t>
      </w:r>
      <w:r>
        <w:rPr>
          <w:color w:val="000000"/>
          <w:sz w:val="24"/>
        </w:rPr>
        <w:t>实质性响应要求且最后报价最低的原则确定成交供应商。</w:t>
      </w:r>
      <w:r>
        <w:rPr>
          <w:rFonts w:eastAsiaTheme="minorEastAsia"/>
          <w:sz w:val="24"/>
        </w:rPr>
        <w:t>采购人是否授权谈判小组直接确定成交供应商，见《供应商须知资料表》。成交候选人并列的，按照《供应商须知资料表》要求确定成交供应商。</w:t>
      </w:r>
    </w:p>
    <w:p>
      <w:pPr>
        <w:numPr>
          <w:ilvl w:val="0"/>
          <w:numId w:val="9"/>
        </w:numPr>
        <w:tabs>
          <w:tab w:val="left" w:pos="360"/>
        </w:tabs>
        <w:snapToGrid w:val="0"/>
        <w:spacing w:line="360" w:lineRule="auto"/>
        <w:ind w:left="357" w:hanging="357"/>
        <w:outlineLvl w:val="1"/>
        <w:rPr>
          <w:sz w:val="24"/>
        </w:rPr>
      </w:pPr>
      <w:bookmarkStart w:id="502" w:name="_Toc305158817"/>
      <w:bookmarkStart w:id="503" w:name="_Toc305158891"/>
      <w:bookmarkStart w:id="504" w:name="_Toc150774649"/>
      <w:bookmarkStart w:id="505" w:name="_Toc264969239"/>
      <w:bookmarkStart w:id="506" w:name="_Toc226337245"/>
      <w:bookmarkStart w:id="507" w:name="_Toc127151549"/>
      <w:bookmarkStart w:id="508" w:name="_Toc150480787"/>
      <w:bookmarkStart w:id="509" w:name="_Toc142311051"/>
      <w:bookmarkStart w:id="510" w:name="_Toc164608663"/>
      <w:bookmarkStart w:id="511" w:name="_Toc149720842"/>
      <w:bookmarkStart w:id="512" w:name="_Toc164229244"/>
      <w:bookmarkStart w:id="513" w:name="_Toc195842914"/>
      <w:bookmarkStart w:id="514" w:name="_Toc127151750"/>
      <w:bookmarkStart w:id="515" w:name="_Toc127161463"/>
      <w:bookmarkStart w:id="516" w:name="_Toc164351643"/>
      <w:bookmarkStart w:id="517" w:name="_Toc151193719"/>
      <w:bookmarkStart w:id="518" w:name="_Toc265228387"/>
      <w:bookmarkStart w:id="519" w:name="_Toc226965822"/>
      <w:bookmarkStart w:id="520" w:name="_Toc151193647"/>
      <w:bookmarkStart w:id="521" w:name="_Toc150774754"/>
      <w:bookmarkStart w:id="522" w:name="_Toc226965739"/>
      <w:bookmarkStart w:id="523" w:name="_Toc164608818"/>
      <w:bookmarkStart w:id="524" w:name="_Toc151190176"/>
      <w:bookmarkStart w:id="525" w:name="_Toc151193791"/>
      <w:bookmarkStart w:id="526" w:name="_Toc226309793"/>
      <w:bookmarkStart w:id="527" w:name="_Toc150509300"/>
      <w:bookmarkStart w:id="528" w:name="_Toc151193937"/>
      <w:bookmarkStart w:id="529" w:name="_Toc151193863"/>
      <w:bookmarkStart w:id="530" w:name="_Toc164229390"/>
      <w:bookmarkStart w:id="531" w:name="_Toc520356176"/>
      <w:bookmarkStart w:id="532" w:name="_Ref467307090"/>
      <w:bookmarkStart w:id="533" w:name="_Ref467306425"/>
      <w:r>
        <w:rPr>
          <w:sz w:val="24"/>
        </w:rPr>
        <w:t>成交公告与成交通知书</w:t>
      </w:r>
      <w:bookmarkEnd w:id="502"/>
      <w:bookmarkEnd w:id="503"/>
    </w:p>
    <w:p>
      <w:pPr>
        <w:numPr>
          <w:ilvl w:val="1"/>
          <w:numId w:val="9"/>
        </w:numPr>
        <w:tabs>
          <w:tab w:val="left" w:pos="1080"/>
          <w:tab w:val="left" w:pos="2014"/>
        </w:tabs>
        <w:snapToGrid w:val="0"/>
        <w:spacing w:line="360" w:lineRule="auto"/>
        <w:ind w:left="1077" w:hanging="720"/>
        <w:rPr>
          <w:color w:val="000000"/>
          <w:sz w:val="24"/>
        </w:rPr>
      </w:pPr>
      <w:r>
        <w:rPr>
          <w:color w:val="000000"/>
          <w:sz w:val="24"/>
        </w:rPr>
        <w:t>采购人或采购代理机构将在成交供应商确定后2个工作日内，在</w:t>
      </w:r>
      <w:r>
        <w:rPr>
          <w:rFonts w:hint="eastAsia"/>
          <w:color w:val="000000"/>
          <w:sz w:val="24"/>
        </w:rPr>
        <w:t>中国政府采购网上发布</w:t>
      </w:r>
      <w:r>
        <w:rPr>
          <w:color w:val="000000"/>
          <w:sz w:val="24"/>
        </w:rPr>
        <w:t>公告成交结果，同时向成交供应商发出成交通知书，成交公告期限为1个工作日。</w:t>
      </w:r>
    </w:p>
    <w:p>
      <w:pPr>
        <w:numPr>
          <w:ilvl w:val="1"/>
          <w:numId w:val="9"/>
        </w:numPr>
        <w:tabs>
          <w:tab w:val="left" w:pos="1080"/>
          <w:tab w:val="left" w:pos="2014"/>
        </w:tabs>
        <w:snapToGrid w:val="0"/>
        <w:spacing w:line="360" w:lineRule="auto"/>
        <w:ind w:left="1077" w:hanging="720"/>
        <w:rPr>
          <w:color w:val="000000"/>
          <w:sz w:val="24"/>
        </w:rPr>
      </w:pPr>
      <w:r>
        <w:rPr>
          <w:color w:val="000000"/>
          <w:sz w:val="24"/>
        </w:rPr>
        <w:t>成交通知书对采购人和成交供应商均具有法律效力。成交通知书发出后，采购人改变成交结果的，或者成交供应商放弃成交项目的，应当依法承担法律责任。</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numPr>
          <w:ilvl w:val="0"/>
          <w:numId w:val="9"/>
        </w:numPr>
        <w:tabs>
          <w:tab w:val="left" w:pos="360"/>
        </w:tabs>
        <w:snapToGrid w:val="0"/>
        <w:spacing w:line="360" w:lineRule="auto"/>
        <w:ind w:left="357" w:hanging="357"/>
        <w:outlineLvl w:val="1"/>
        <w:rPr>
          <w:sz w:val="24"/>
        </w:rPr>
      </w:pPr>
      <w:bookmarkStart w:id="534" w:name="_Toc305158892"/>
      <w:bookmarkStart w:id="535" w:name="_Toc151193938"/>
      <w:bookmarkStart w:id="536" w:name="_Toc151193864"/>
      <w:bookmarkStart w:id="537" w:name="_Toc151190177"/>
      <w:bookmarkStart w:id="538" w:name="_Toc164608819"/>
      <w:bookmarkStart w:id="539" w:name="_Toc127151550"/>
      <w:bookmarkStart w:id="540" w:name="_Toc164229245"/>
      <w:bookmarkStart w:id="541" w:name="_Toc226337246"/>
      <w:bookmarkStart w:id="542" w:name="_Toc150774650"/>
      <w:bookmarkStart w:id="543" w:name="_Ref467306377"/>
      <w:bookmarkStart w:id="544" w:name="_Toc265228388"/>
      <w:bookmarkStart w:id="545" w:name="_Toc150509301"/>
      <w:bookmarkStart w:id="546" w:name="_Toc520356175"/>
      <w:bookmarkStart w:id="547" w:name="_Toc150774755"/>
      <w:bookmarkStart w:id="548" w:name="_Ref467307062"/>
      <w:bookmarkStart w:id="549" w:name="_Ref467307204"/>
      <w:bookmarkStart w:id="550" w:name="_Toc164229391"/>
      <w:bookmarkStart w:id="551" w:name="_Toc264969240"/>
      <w:bookmarkStart w:id="552" w:name="_Toc150480788"/>
      <w:bookmarkStart w:id="553" w:name="_Toc164351644"/>
      <w:bookmarkStart w:id="554" w:name="_Toc142311052"/>
      <w:bookmarkStart w:id="555" w:name="_Ref467306978"/>
      <w:bookmarkStart w:id="556" w:name="_Toc305158818"/>
      <w:bookmarkStart w:id="557" w:name="_Toc195842915"/>
      <w:bookmarkStart w:id="558" w:name="_Toc151193720"/>
      <w:bookmarkStart w:id="559" w:name="_Toc127151751"/>
      <w:bookmarkStart w:id="560" w:name="_Toc149720843"/>
      <w:bookmarkStart w:id="561" w:name="_Toc226965740"/>
      <w:bookmarkStart w:id="562" w:name="_Toc226965823"/>
      <w:bookmarkStart w:id="563" w:name="_Toc151193648"/>
      <w:bookmarkStart w:id="564" w:name="_Toc127161464"/>
      <w:bookmarkStart w:id="565" w:name="_Toc164608664"/>
      <w:bookmarkStart w:id="566" w:name="_Toc151193792"/>
      <w:bookmarkStart w:id="567" w:name="_Toc226309794"/>
      <w:r>
        <w:rPr>
          <w:sz w:val="24"/>
        </w:rPr>
        <w:t>终止</w:t>
      </w:r>
    </w:p>
    <w:p>
      <w:pPr>
        <w:numPr>
          <w:ilvl w:val="1"/>
          <w:numId w:val="9"/>
        </w:numPr>
        <w:tabs>
          <w:tab w:val="left" w:pos="1080"/>
          <w:tab w:val="left" w:pos="2014"/>
        </w:tabs>
        <w:snapToGrid w:val="0"/>
        <w:spacing w:line="360" w:lineRule="auto"/>
        <w:ind w:left="1077" w:hanging="720"/>
        <w:rPr>
          <w:color w:val="000000"/>
          <w:sz w:val="24"/>
        </w:rPr>
      </w:pPr>
      <w:r>
        <w:rPr>
          <w:color w:val="000000"/>
          <w:sz w:val="24"/>
        </w:rPr>
        <w:t>出现下列情形之一的，采购人或采购代理机构将终止竞争性谈判采购活动，发布项目终止公告并说明原因，重新开展采购活动：</w:t>
      </w:r>
    </w:p>
    <w:p>
      <w:pPr>
        <w:numPr>
          <w:ilvl w:val="2"/>
          <w:numId w:val="9"/>
        </w:numPr>
        <w:snapToGrid w:val="0"/>
        <w:spacing w:line="360" w:lineRule="auto"/>
        <w:rPr>
          <w:sz w:val="24"/>
        </w:rPr>
      </w:pPr>
      <w:r>
        <w:rPr>
          <w:sz w:val="24"/>
        </w:rPr>
        <w:t>因情况变化，不再符合规定的竞争性谈判采购方式适用情形的；</w:t>
      </w:r>
    </w:p>
    <w:p>
      <w:pPr>
        <w:numPr>
          <w:ilvl w:val="2"/>
          <w:numId w:val="9"/>
        </w:numPr>
        <w:snapToGrid w:val="0"/>
        <w:spacing w:line="360" w:lineRule="auto"/>
        <w:rPr>
          <w:sz w:val="24"/>
        </w:rPr>
      </w:pPr>
      <w:r>
        <w:rPr>
          <w:sz w:val="24"/>
        </w:rPr>
        <w:t>出现影响采购公正的违法、违规行为的；</w:t>
      </w:r>
    </w:p>
    <w:p>
      <w:pPr>
        <w:numPr>
          <w:ilvl w:val="2"/>
          <w:numId w:val="9"/>
        </w:numPr>
        <w:snapToGrid w:val="0"/>
        <w:spacing w:line="360" w:lineRule="auto"/>
        <w:rPr>
          <w:sz w:val="24"/>
        </w:rPr>
      </w:pPr>
      <w:r>
        <w:rPr>
          <w:sz w:val="24"/>
        </w:rPr>
        <w:t>在采购过程中符合竞争要求的供应商或者报价未超过采购预算的供应商不足3 家的，但《政府采购非招标采购方式管理办法》第二十七条第二款规定的情形除外。</w:t>
      </w:r>
    </w:p>
    <w:p>
      <w:pPr>
        <w:numPr>
          <w:ilvl w:val="0"/>
          <w:numId w:val="9"/>
        </w:numPr>
        <w:tabs>
          <w:tab w:val="left" w:pos="360"/>
        </w:tabs>
        <w:snapToGrid w:val="0"/>
        <w:spacing w:line="360" w:lineRule="auto"/>
        <w:ind w:left="357" w:hanging="357"/>
        <w:outlineLvl w:val="1"/>
        <w:rPr>
          <w:sz w:val="24"/>
        </w:rPr>
      </w:pPr>
      <w:r>
        <w:rPr>
          <w:sz w:val="24"/>
        </w:rPr>
        <w:t>签订合同</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numPr>
          <w:ilvl w:val="1"/>
          <w:numId w:val="9"/>
        </w:numPr>
        <w:tabs>
          <w:tab w:val="left" w:pos="1080"/>
          <w:tab w:val="left" w:pos="2014"/>
        </w:tabs>
        <w:snapToGrid w:val="0"/>
        <w:spacing w:line="360" w:lineRule="auto"/>
        <w:ind w:left="1077" w:hanging="720"/>
        <w:rPr>
          <w:sz w:val="24"/>
        </w:rPr>
      </w:pPr>
      <w:r>
        <w:rPr>
          <w:sz w:val="24"/>
        </w:rPr>
        <w:t>采购人与成交供应商应当在成交通知书发出之日起30日内，按照谈判文件确定的合同文本以及采购标的、规格型号、采购金额、采购数量、技术和服务要求等事项签订政府采购合同。</w:t>
      </w:r>
    </w:p>
    <w:p>
      <w:pPr>
        <w:numPr>
          <w:ilvl w:val="1"/>
          <w:numId w:val="9"/>
        </w:numPr>
        <w:tabs>
          <w:tab w:val="left" w:pos="1080"/>
          <w:tab w:val="left" w:pos="2014"/>
        </w:tabs>
        <w:snapToGrid w:val="0"/>
        <w:spacing w:line="360" w:lineRule="auto"/>
        <w:ind w:left="1077" w:hanging="720"/>
        <w:rPr>
          <w:sz w:val="24"/>
        </w:rPr>
      </w:pPr>
      <w:r>
        <w:rPr>
          <w:rFonts w:eastAsiaTheme="minorEastAsia"/>
          <w:sz w:val="24"/>
        </w:rPr>
        <w:t>成交供应商拒绝签订政府采购合同的，采购人可以按照评审报告推荐的成交候选人名单排序，确定下一候选人为成交供应商，也可以重新开展采购活动。</w:t>
      </w:r>
      <w:r>
        <w:rPr>
          <w:sz w:val="24"/>
        </w:rPr>
        <w:t>拒绝签订政府采购合同的成交供应商不得参加对该项目重新开展的采购活动。</w:t>
      </w:r>
    </w:p>
    <w:p>
      <w:pPr>
        <w:numPr>
          <w:ilvl w:val="1"/>
          <w:numId w:val="9"/>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pPr>
        <w:numPr>
          <w:ilvl w:val="1"/>
          <w:numId w:val="9"/>
        </w:numPr>
        <w:tabs>
          <w:tab w:val="left" w:pos="1080"/>
          <w:tab w:val="left" w:pos="2014"/>
        </w:tabs>
        <w:snapToGrid w:val="0"/>
        <w:spacing w:line="360" w:lineRule="auto"/>
        <w:ind w:left="1077" w:hanging="720"/>
        <w:rPr>
          <w:sz w:val="24"/>
        </w:rPr>
      </w:pPr>
      <w:r>
        <w:rPr>
          <w:sz w:val="24"/>
        </w:rPr>
        <w:t>政府采购合同不能转包。</w:t>
      </w:r>
    </w:p>
    <w:p>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b/>
          <w:bCs/>
          <w:sz w:val="24"/>
        </w:rPr>
        <w:t>响应无效</w:t>
      </w:r>
      <w:r>
        <w:rPr>
          <w:sz w:val="24"/>
        </w:rPr>
        <w:t>。成交供应商就采购项目和分包项目向采购人负责，分包供应商就分包项目承担责任。</w:t>
      </w:r>
    </w:p>
    <w:bookmarkEnd w:id="531"/>
    <w:bookmarkEnd w:id="532"/>
    <w:bookmarkEnd w:id="533"/>
    <w:p>
      <w:pPr>
        <w:numPr>
          <w:ilvl w:val="0"/>
          <w:numId w:val="9"/>
        </w:numPr>
        <w:tabs>
          <w:tab w:val="left" w:pos="360"/>
        </w:tabs>
        <w:snapToGrid w:val="0"/>
        <w:spacing w:line="360" w:lineRule="auto"/>
        <w:ind w:left="357" w:hanging="357"/>
        <w:outlineLvl w:val="1"/>
        <w:rPr>
          <w:sz w:val="24"/>
        </w:rPr>
      </w:pPr>
      <w:r>
        <w:rPr>
          <w:sz w:val="24"/>
        </w:rPr>
        <w:t>询问与质疑</w:t>
      </w:r>
    </w:p>
    <w:p>
      <w:pPr>
        <w:numPr>
          <w:ilvl w:val="1"/>
          <w:numId w:val="9"/>
        </w:numPr>
        <w:tabs>
          <w:tab w:val="left" w:pos="1080"/>
          <w:tab w:val="left" w:pos="2014"/>
        </w:tabs>
        <w:snapToGrid w:val="0"/>
        <w:spacing w:line="360" w:lineRule="auto"/>
        <w:ind w:left="1077" w:hanging="720"/>
        <w:rPr>
          <w:sz w:val="24"/>
        </w:rPr>
      </w:pPr>
      <w:r>
        <w:rPr>
          <w:sz w:val="24"/>
        </w:rPr>
        <w:t>询问</w:t>
      </w:r>
    </w:p>
    <w:p>
      <w:pPr>
        <w:numPr>
          <w:ilvl w:val="2"/>
          <w:numId w:val="9"/>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sz w:val="24"/>
        </w:rPr>
      </w:pPr>
      <w:r>
        <w:rPr>
          <w:sz w:val="24"/>
        </w:rPr>
        <w:t>质疑</w:t>
      </w:r>
    </w:p>
    <w:p>
      <w:pPr>
        <w:numPr>
          <w:ilvl w:val="2"/>
          <w:numId w:val="9"/>
        </w:numPr>
        <w:snapToGrid w:val="0"/>
        <w:spacing w:line="360" w:lineRule="auto"/>
        <w:rPr>
          <w:sz w:val="24"/>
        </w:rPr>
      </w:pPr>
      <w:r>
        <w:rPr>
          <w:sz w:val="24"/>
        </w:rPr>
        <w:t>供应商认为谈判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9"/>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9"/>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9"/>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pPr>
        <w:numPr>
          <w:ilvl w:val="0"/>
          <w:numId w:val="9"/>
        </w:numPr>
        <w:tabs>
          <w:tab w:val="left" w:pos="360"/>
        </w:tabs>
        <w:snapToGrid w:val="0"/>
        <w:spacing w:line="360" w:lineRule="auto"/>
        <w:ind w:left="357" w:hanging="357"/>
        <w:outlineLvl w:val="1"/>
        <w:rPr>
          <w:sz w:val="24"/>
        </w:rPr>
      </w:pPr>
      <w:r>
        <w:rPr>
          <w:sz w:val="24"/>
        </w:rPr>
        <w:t>代理费</w:t>
      </w:r>
    </w:p>
    <w:p>
      <w:pPr>
        <w:numPr>
          <w:ilvl w:val="1"/>
          <w:numId w:val="9"/>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68" w:name="_Toc353873664"/>
      <w:bookmarkStart w:id="569" w:name="_Toc226965827"/>
      <w:bookmarkStart w:id="570" w:name="_Toc150480792"/>
      <w:bookmarkStart w:id="571" w:name="_Toc353873934"/>
      <w:bookmarkStart w:id="572" w:name="_Toc150774759"/>
      <w:bookmarkStart w:id="573" w:name="_Toc264969244"/>
      <w:bookmarkStart w:id="574" w:name="_Toc127151554"/>
      <w:bookmarkStart w:id="575" w:name="_Toc353825544"/>
      <w:bookmarkStart w:id="576" w:name="_Toc305158822"/>
      <w:bookmarkStart w:id="577" w:name="_Toc265228392"/>
      <w:bookmarkStart w:id="578" w:name="_Toc142311056"/>
      <w:bookmarkStart w:id="579" w:name="_Toc305158896"/>
      <w:bookmarkStart w:id="580" w:name="_Toc226337250"/>
      <w:r>
        <w:rPr>
          <w:sz w:val="24"/>
        </w:rPr>
        <w:br w:type="page"/>
      </w:r>
      <w:bookmarkStart w:id="581" w:name="_Toc99301375"/>
      <w:r>
        <w:rPr>
          <w:b/>
          <w:sz w:val="36"/>
          <w:szCs w:val="36"/>
        </w:rPr>
        <w:t xml:space="preserve">第三章   </w:t>
      </w:r>
      <w:bookmarkEnd w:id="568"/>
      <w:bookmarkEnd w:id="569"/>
      <w:bookmarkEnd w:id="570"/>
      <w:bookmarkEnd w:id="571"/>
      <w:bookmarkEnd w:id="572"/>
      <w:bookmarkEnd w:id="573"/>
      <w:bookmarkEnd w:id="574"/>
      <w:bookmarkEnd w:id="575"/>
      <w:bookmarkEnd w:id="576"/>
      <w:bookmarkEnd w:id="577"/>
      <w:bookmarkEnd w:id="578"/>
      <w:bookmarkEnd w:id="579"/>
      <w:bookmarkEnd w:id="580"/>
      <w:bookmarkStart w:id="582" w:name="_Hlk97413531"/>
      <w:bookmarkStart w:id="583" w:name="_Toc487900382"/>
      <w:r>
        <w:rPr>
          <w:b/>
          <w:sz w:val="36"/>
          <w:szCs w:val="36"/>
        </w:rPr>
        <w:t>评审程序和</w:t>
      </w:r>
      <w:bookmarkEnd w:id="582"/>
      <w:r>
        <w:rPr>
          <w:b/>
          <w:sz w:val="36"/>
          <w:szCs w:val="36"/>
        </w:rPr>
        <w:t>评定成交的标准</w:t>
      </w:r>
      <w:bookmarkEnd w:id="581"/>
    </w:p>
    <w:p>
      <w:pPr>
        <w:numPr>
          <w:ilvl w:val="0"/>
          <w:numId w:val="12"/>
        </w:numPr>
        <w:tabs>
          <w:tab w:val="left" w:pos="360"/>
        </w:tabs>
        <w:snapToGrid w:val="0"/>
        <w:spacing w:line="360" w:lineRule="auto"/>
        <w:outlineLvl w:val="1"/>
        <w:rPr>
          <w:sz w:val="24"/>
        </w:rPr>
      </w:pPr>
      <w:r>
        <w:rPr>
          <w:sz w:val="24"/>
        </w:rPr>
        <w:t>响应文件的资格审查和符合性审查</w:t>
      </w:r>
    </w:p>
    <w:p>
      <w:pPr>
        <w:numPr>
          <w:ilvl w:val="1"/>
          <w:numId w:val="12"/>
        </w:numPr>
        <w:tabs>
          <w:tab w:val="left" w:pos="1080"/>
          <w:tab w:val="left" w:pos="2014"/>
        </w:tabs>
        <w:snapToGrid w:val="0"/>
        <w:spacing w:line="360" w:lineRule="auto"/>
        <w:ind w:left="1077" w:hanging="720"/>
        <w:rPr>
          <w:sz w:val="24"/>
        </w:rPr>
      </w:pPr>
      <w:r>
        <w:rPr>
          <w:sz w:val="24"/>
        </w:rPr>
        <w:t>谈判小组将根据《资格审查要求》和《符合性审查要求》中规定的内容，对供应商进行审查，并形成审查结果。供应商《响应文件》有任何一项不符合《资格审查要求》的，视为未实质性响应谈判文件。未实质性响应谈判文件的响应文件按无效处理，谈判小组应当告知有关供应商。</w:t>
      </w:r>
    </w:p>
    <w:p>
      <w:pPr>
        <w:numPr>
          <w:ilvl w:val="1"/>
          <w:numId w:val="12"/>
        </w:numPr>
        <w:tabs>
          <w:tab w:val="left" w:pos="1080"/>
          <w:tab w:val="left" w:pos="2014"/>
        </w:tabs>
        <w:snapToGrid w:val="0"/>
        <w:spacing w:line="360" w:lineRule="auto"/>
        <w:ind w:left="1077" w:hanging="720"/>
        <w:rPr>
          <w:sz w:val="24"/>
        </w:rPr>
      </w:pPr>
      <w:r>
        <w:rPr>
          <w:rFonts w:eastAsiaTheme="minorEastAsia"/>
          <w:color w:val="000000" w:themeColor="text1"/>
          <w:kern w:val="0"/>
          <w:sz w:val="24"/>
          <w14:textFill>
            <w14:solidFill>
              <w14:schemeClr w14:val="tx1"/>
            </w14:solidFill>
          </w14:textFill>
        </w:rPr>
        <w:t>《资格审查要求》中对格式有要求的，除谈判文件另有规定外，均为“实质性格式”文件。</w:t>
      </w:r>
    </w:p>
    <w:p>
      <w:pPr>
        <w:numPr>
          <w:ilvl w:val="1"/>
          <w:numId w:val="12"/>
        </w:numPr>
        <w:tabs>
          <w:tab w:val="left" w:pos="1080"/>
          <w:tab w:val="left" w:pos="2014"/>
        </w:tabs>
        <w:snapToGrid w:val="0"/>
        <w:spacing w:line="360" w:lineRule="auto"/>
        <w:ind w:left="1077" w:hanging="720"/>
        <w:rPr>
          <w:sz w:val="24"/>
        </w:rPr>
      </w:pPr>
      <w:r>
        <w:rPr>
          <w:rFonts w:eastAsiaTheme="minorEastAsia"/>
          <w:color w:val="000000" w:themeColor="text1"/>
          <w:kern w:val="0"/>
          <w:sz w:val="24"/>
          <w14:textFill>
            <w14:solidFill>
              <w14:schemeClr w14:val="tx1"/>
            </w14:solidFill>
          </w14:textFill>
        </w:rPr>
        <w:t>《资格审查要求》见下表：</w:t>
      </w:r>
    </w:p>
    <w:p>
      <w:pPr>
        <w:tabs>
          <w:tab w:val="left" w:pos="1080"/>
        </w:tabs>
        <w:snapToGrid w:val="0"/>
        <w:spacing w:line="360" w:lineRule="auto"/>
        <w:jc w:val="center"/>
        <w:rPr>
          <w:b/>
          <w:sz w:val="24"/>
        </w:rPr>
      </w:pPr>
      <w:r>
        <w:rPr>
          <w:b/>
          <w:sz w:val="24"/>
        </w:rPr>
        <w:t>资格审查要求</w:t>
      </w:r>
    </w:p>
    <w:tbl>
      <w:tblPr>
        <w:tblStyle w:val="43"/>
        <w:tblW w:w="50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2185"/>
        <w:gridCol w:w="4875"/>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blHeader/>
        </w:trPr>
        <w:tc>
          <w:tcPr>
            <w:tcW w:w="461" w:type="pct"/>
            <w:vAlign w:val="center"/>
          </w:tcPr>
          <w:p>
            <w:pPr>
              <w:tabs>
                <w:tab w:val="left" w:pos="1080"/>
              </w:tabs>
              <w:snapToGrid w:val="0"/>
              <w:jc w:val="center"/>
              <w:rPr>
                <w:b/>
                <w:sz w:val="24"/>
              </w:rPr>
            </w:pPr>
            <w:r>
              <w:rPr>
                <w:b/>
                <w:sz w:val="24"/>
              </w:rPr>
              <w:t>序号</w:t>
            </w:r>
          </w:p>
        </w:tc>
        <w:tc>
          <w:tcPr>
            <w:tcW w:w="1156" w:type="pct"/>
            <w:vAlign w:val="center"/>
          </w:tcPr>
          <w:p>
            <w:pPr>
              <w:tabs>
                <w:tab w:val="left" w:pos="1080"/>
              </w:tabs>
              <w:snapToGrid w:val="0"/>
              <w:jc w:val="center"/>
              <w:rPr>
                <w:b/>
                <w:sz w:val="24"/>
              </w:rPr>
            </w:pPr>
            <w:r>
              <w:rPr>
                <w:b/>
                <w:sz w:val="24"/>
              </w:rPr>
              <w:t>审查因素</w:t>
            </w:r>
          </w:p>
        </w:tc>
        <w:tc>
          <w:tcPr>
            <w:tcW w:w="2578" w:type="pct"/>
            <w:vAlign w:val="center"/>
          </w:tcPr>
          <w:p>
            <w:pPr>
              <w:tabs>
                <w:tab w:val="left" w:pos="1080"/>
              </w:tabs>
              <w:snapToGrid w:val="0"/>
              <w:jc w:val="center"/>
              <w:rPr>
                <w:b/>
                <w:sz w:val="24"/>
              </w:rPr>
            </w:pPr>
            <w:r>
              <w:rPr>
                <w:b/>
                <w:sz w:val="24"/>
              </w:rPr>
              <w:t>审查内容</w:t>
            </w:r>
          </w:p>
        </w:tc>
        <w:tc>
          <w:tcPr>
            <w:tcW w:w="803"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w:t>
            </w:r>
          </w:p>
        </w:tc>
        <w:tc>
          <w:tcPr>
            <w:tcW w:w="1156" w:type="pct"/>
            <w:vAlign w:val="center"/>
          </w:tcPr>
          <w:p>
            <w:pPr>
              <w:spacing w:line="360" w:lineRule="auto"/>
              <w:rPr>
                <w:sz w:val="24"/>
              </w:rPr>
            </w:pPr>
            <w:r>
              <w:rPr>
                <w:sz w:val="24"/>
              </w:rPr>
              <w:t>满足《中华人民共和国</w:t>
            </w:r>
            <w:r>
              <w:rPr>
                <w:rFonts w:hint="eastAsia" w:ascii="宋体" w:hAnsi="宋体"/>
                <w:sz w:val="24"/>
              </w:rPr>
              <w:t>政府</w:t>
            </w:r>
            <w:r>
              <w:rPr>
                <w:sz w:val="24"/>
              </w:rPr>
              <w:t>采购法》第二十二条规定</w:t>
            </w:r>
          </w:p>
        </w:tc>
        <w:tc>
          <w:tcPr>
            <w:tcW w:w="2578" w:type="pct"/>
            <w:vAlign w:val="center"/>
          </w:tcPr>
          <w:p>
            <w:pPr>
              <w:tabs>
                <w:tab w:val="left" w:pos="1080"/>
              </w:tabs>
              <w:snapToGrid w:val="0"/>
              <w:rPr>
                <w:sz w:val="24"/>
              </w:rPr>
            </w:pPr>
            <w:r>
              <w:rPr>
                <w:sz w:val="24"/>
              </w:rPr>
              <w:t>具体规定见第一章《采购邀请》</w:t>
            </w:r>
          </w:p>
        </w:tc>
        <w:tc>
          <w:tcPr>
            <w:tcW w:w="803"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1-1</w:t>
            </w:r>
          </w:p>
        </w:tc>
        <w:tc>
          <w:tcPr>
            <w:tcW w:w="1156" w:type="pct"/>
            <w:vAlign w:val="center"/>
          </w:tcPr>
          <w:p>
            <w:pPr>
              <w:tabs>
                <w:tab w:val="left" w:pos="1080"/>
              </w:tabs>
              <w:snapToGrid w:val="0"/>
              <w:rPr>
                <w:sz w:val="24"/>
              </w:rPr>
            </w:pPr>
            <w:r>
              <w:rPr>
                <w:sz w:val="24"/>
              </w:rPr>
              <w:t>营业执照等证明文件</w:t>
            </w:r>
          </w:p>
        </w:tc>
        <w:tc>
          <w:tcPr>
            <w:tcW w:w="2578" w:type="pct"/>
            <w:vAlign w:val="center"/>
          </w:tcPr>
          <w:p>
            <w:pPr>
              <w:spacing w:line="360" w:lineRule="auto"/>
              <w:rPr>
                <w:sz w:val="24"/>
              </w:rPr>
            </w:pPr>
            <w:r>
              <w:rPr>
                <w:sz w:val="24"/>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w:t>
            </w:r>
            <w:r>
              <w:rPr>
                <w:rFonts w:hint="eastAsia" w:ascii="宋体" w:hAnsi="宋体"/>
                <w:sz w:val="24"/>
              </w:rPr>
              <w:t>工商户</w:t>
            </w:r>
            <w:r>
              <w:rPr>
                <w:sz w:val="24"/>
              </w:rPr>
              <w:t>营业执照”；供应商是自然人的，应提供有效的自然人身份证明。</w:t>
            </w:r>
          </w:p>
          <w:p>
            <w:pPr>
              <w:spacing w:line="360" w:lineRule="auto"/>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其他组织的相应证明文件；同时还应提供其所属法人/其他组织出具的授权其参与本项目的授权书（格式自拟，须加盖其所属法人/其他组织的公章）；对</w:t>
            </w:r>
            <w:r>
              <w:rPr>
                <w:sz w:val="24"/>
              </w:rPr>
              <w:t>于</w:t>
            </w:r>
            <w:r>
              <w:rPr>
                <w:iCs/>
                <w:sz w:val="24"/>
              </w:rPr>
              <w:t>银行、保险、石油石化、电力、电信等行业的分支机构，可以提供上述</w:t>
            </w:r>
            <w:r>
              <w:rPr>
                <w:sz w:val="24"/>
              </w:rPr>
              <w:t>授权，也可以提供其所属法人/其他</w:t>
            </w:r>
            <w:r>
              <w:rPr>
                <w:color w:val="000000"/>
                <w:sz w:val="24"/>
              </w:rPr>
              <w:t>组织的</w:t>
            </w:r>
            <w:r>
              <w:rPr>
                <w:rFonts w:hint="eastAsia" w:ascii="宋体" w:hAnsi="宋体"/>
                <w:sz w:val="24"/>
              </w:rPr>
              <w:t>有关文件</w:t>
            </w:r>
            <w:r>
              <w:rPr>
                <w:color w:val="000000"/>
                <w:sz w:val="24"/>
              </w:rPr>
              <w:t>或制度等能够证明授权其独立开展业务的证明材料。</w:t>
            </w:r>
          </w:p>
        </w:tc>
        <w:tc>
          <w:tcPr>
            <w:tcW w:w="803" w:type="pct"/>
            <w:vAlign w:val="center"/>
          </w:tcPr>
          <w:p>
            <w:pPr>
              <w:tabs>
                <w:tab w:val="left" w:pos="1080"/>
              </w:tabs>
              <w:snapToGrid w:val="0"/>
              <w:rPr>
                <w:sz w:val="24"/>
              </w:rPr>
            </w:pPr>
            <w:r>
              <w:rPr>
                <w:rFonts w:ascii="宋体" w:hAnsi="宋体"/>
                <w:sz w:val="24"/>
              </w:rPr>
              <w:t>提供</w:t>
            </w:r>
            <w:r>
              <w:rPr>
                <w:rFonts w:hint="eastAsia" w:ascii="宋体" w:hAnsi="宋体"/>
                <w:sz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1-2</w:t>
            </w:r>
          </w:p>
        </w:tc>
        <w:tc>
          <w:tcPr>
            <w:tcW w:w="1156" w:type="pct"/>
            <w:vAlign w:val="center"/>
          </w:tcPr>
          <w:p>
            <w:pPr>
              <w:tabs>
                <w:tab w:val="left" w:pos="1080"/>
              </w:tabs>
              <w:snapToGrid w:val="0"/>
              <w:rPr>
                <w:sz w:val="24"/>
              </w:rPr>
            </w:pPr>
            <w:r>
              <w:rPr>
                <w:sz w:val="24"/>
              </w:rPr>
              <w:t>供应商资格声明书</w:t>
            </w:r>
          </w:p>
        </w:tc>
        <w:tc>
          <w:tcPr>
            <w:tcW w:w="2578" w:type="pct"/>
            <w:vAlign w:val="center"/>
          </w:tcPr>
          <w:p>
            <w:pPr>
              <w:spacing w:line="360" w:lineRule="auto"/>
              <w:rPr>
                <w:sz w:val="24"/>
              </w:rPr>
            </w:pPr>
            <w:r>
              <w:rPr>
                <w:sz w:val="24"/>
              </w:rPr>
              <w:t>提供了</w:t>
            </w:r>
            <w:r>
              <w:rPr>
                <w:rFonts w:hint="eastAsia" w:ascii="宋体" w:hAnsi="宋体"/>
                <w:sz w:val="24"/>
              </w:rPr>
              <w:t>符合</w:t>
            </w:r>
            <w:r>
              <w:rPr>
                <w:rFonts w:hint="eastAsia"/>
                <w:sz w:val="24"/>
              </w:rPr>
              <w:t>谈判文件</w:t>
            </w:r>
            <w:r>
              <w:rPr>
                <w:sz w:val="24"/>
              </w:rPr>
              <w:t>要求的《供应商资格声明书》。</w:t>
            </w:r>
          </w:p>
        </w:tc>
        <w:tc>
          <w:tcPr>
            <w:tcW w:w="803" w:type="pct"/>
            <w:vAlign w:val="center"/>
          </w:tcPr>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1-3</w:t>
            </w:r>
          </w:p>
        </w:tc>
        <w:tc>
          <w:tcPr>
            <w:tcW w:w="1156" w:type="pct"/>
            <w:vAlign w:val="center"/>
          </w:tcPr>
          <w:p>
            <w:pPr>
              <w:tabs>
                <w:tab w:val="left" w:pos="1080"/>
              </w:tabs>
              <w:snapToGrid w:val="0"/>
              <w:rPr>
                <w:sz w:val="24"/>
              </w:rPr>
            </w:pPr>
            <w:r>
              <w:rPr>
                <w:sz w:val="24"/>
              </w:rPr>
              <w:t>供应商信用记录</w:t>
            </w:r>
          </w:p>
        </w:tc>
        <w:tc>
          <w:tcPr>
            <w:tcW w:w="2578" w:type="pct"/>
            <w:vAlign w:val="center"/>
          </w:tcPr>
          <w:p>
            <w:pPr>
              <w:spacing w:line="360" w:lineRule="auto"/>
              <w:rPr>
                <w:sz w:val="24"/>
              </w:rPr>
            </w:pPr>
            <w:r>
              <w:rPr>
                <w:sz w:val="24"/>
              </w:rPr>
              <w:t>查询</w:t>
            </w:r>
            <w:r>
              <w:rPr>
                <w:rFonts w:hint="eastAsia" w:ascii="宋体" w:hAnsi="宋体"/>
                <w:sz w:val="24"/>
              </w:rPr>
              <w:t>渠道</w:t>
            </w:r>
            <w:r>
              <w:rPr>
                <w:sz w:val="24"/>
              </w:rPr>
              <w:t>：信用中国网站和中国政府采购网</w:t>
            </w:r>
            <w:r>
              <w:rPr>
                <w:szCs w:val="21"/>
              </w:rPr>
              <w:t>（www.</w:t>
            </w:r>
            <w:r>
              <w:rPr>
                <w:rFonts w:hint="eastAsia" w:ascii="宋体" w:hAnsi="宋体"/>
                <w:szCs w:val="21"/>
              </w:rPr>
              <w:t>creditchina</w:t>
            </w:r>
            <w:r>
              <w:rPr>
                <w:szCs w:val="21"/>
              </w:rPr>
              <w:t>.gov.cn、www.</w:t>
            </w:r>
            <w:r>
              <w:rPr>
                <w:rFonts w:hint="eastAsia" w:ascii="宋体" w:hAnsi="宋体"/>
                <w:szCs w:val="21"/>
              </w:rPr>
              <w:t>ccgp</w:t>
            </w:r>
            <w:r>
              <w:rPr>
                <w:szCs w:val="21"/>
              </w:rPr>
              <w:t>.gov.cn）；</w:t>
            </w:r>
          </w:p>
          <w:p>
            <w:pPr>
              <w:spacing w:line="360" w:lineRule="auto"/>
              <w:rPr>
                <w:sz w:val="24"/>
              </w:rPr>
            </w:pPr>
            <w:r>
              <w:rPr>
                <w:sz w:val="24"/>
              </w:rPr>
              <w:t>截止时点：首次响应文件提交截止时间以后、资格审查阶段采购人或采购代理机构的实际查询时间；</w:t>
            </w:r>
          </w:p>
          <w:p>
            <w:pPr>
              <w:spacing w:line="360" w:lineRule="auto"/>
              <w:rPr>
                <w:sz w:val="24"/>
              </w:rPr>
            </w:pPr>
            <w:r>
              <w:rPr>
                <w:sz w:val="24"/>
              </w:rPr>
              <w:t>信用信息查询记录和证据留存具体方式：查询结果网页打印页作为查询记录和证据，与其他</w:t>
            </w:r>
            <w:r>
              <w:rPr>
                <w:rFonts w:hint="eastAsia"/>
                <w:sz w:val="24"/>
              </w:rPr>
              <w:t>谈判文件</w:t>
            </w:r>
            <w:r>
              <w:rPr>
                <w:sz w:val="24"/>
              </w:rPr>
              <w:t>一并保存；</w:t>
            </w:r>
          </w:p>
          <w:p>
            <w:pPr>
              <w:spacing w:line="360" w:lineRule="auto"/>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。联合体形式响应的，联合体成员存在不良信用记录，视同联合体存在不良信用记录。</w:t>
            </w:r>
          </w:p>
        </w:tc>
        <w:tc>
          <w:tcPr>
            <w:tcW w:w="803"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1-4</w:t>
            </w:r>
          </w:p>
        </w:tc>
        <w:tc>
          <w:tcPr>
            <w:tcW w:w="1156" w:type="pct"/>
            <w:vAlign w:val="center"/>
          </w:tcPr>
          <w:p>
            <w:pPr>
              <w:spacing w:line="360" w:lineRule="auto"/>
              <w:rPr>
                <w:sz w:val="24"/>
              </w:rPr>
            </w:pPr>
            <w:r>
              <w:rPr>
                <w:sz w:val="24"/>
              </w:rPr>
              <w:t>法律、行政法规规定的其他条件</w:t>
            </w:r>
          </w:p>
        </w:tc>
        <w:tc>
          <w:tcPr>
            <w:tcW w:w="2578" w:type="pct"/>
            <w:vAlign w:val="center"/>
          </w:tcPr>
          <w:p>
            <w:pPr>
              <w:spacing w:line="360" w:lineRule="auto"/>
              <w:rPr>
                <w:sz w:val="24"/>
              </w:rPr>
            </w:pPr>
            <w:r>
              <w:rPr>
                <w:sz w:val="24"/>
              </w:rPr>
              <w:t>法律、行政法规规定的其他条件</w:t>
            </w:r>
          </w:p>
        </w:tc>
        <w:tc>
          <w:tcPr>
            <w:tcW w:w="803" w:type="pct"/>
            <w:vAlign w:val="center"/>
          </w:tcPr>
          <w:p>
            <w:pPr>
              <w:tabs>
                <w:tab w:val="left" w:pos="1080"/>
              </w:tabs>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2</w:t>
            </w:r>
          </w:p>
        </w:tc>
        <w:tc>
          <w:tcPr>
            <w:tcW w:w="1156" w:type="pct"/>
            <w:vAlign w:val="center"/>
          </w:tcPr>
          <w:p>
            <w:pPr>
              <w:spacing w:line="360" w:lineRule="auto"/>
              <w:rPr>
                <w:sz w:val="24"/>
              </w:rPr>
            </w:pPr>
            <w:r>
              <w:rPr>
                <w:sz w:val="24"/>
              </w:rPr>
              <w:t>落实</w:t>
            </w:r>
            <w:r>
              <w:rPr>
                <w:rFonts w:hint="eastAsia" w:ascii="宋体" w:hAnsi="宋体"/>
                <w:sz w:val="24"/>
              </w:rPr>
              <w:t>政府</w:t>
            </w:r>
            <w:r>
              <w:rPr>
                <w:sz w:val="24"/>
              </w:rPr>
              <w:t>采购政策需</w:t>
            </w:r>
            <w:r>
              <w:rPr>
                <w:rFonts w:hint="eastAsia" w:ascii="宋体" w:hAnsi="宋体"/>
                <w:sz w:val="24"/>
              </w:rPr>
              <w:t>满足</w:t>
            </w:r>
            <w:r>
              <w:rPr>
                <w:sz w:val="24"/>
              </w:rPr>
              <w:t>的资格要求</w:t>
            </w:r>
          </w:p>
        </w:tc>
        <w:tc>
          <w:tcPr>
            <w:tcW w:w="2578" w:type="pct"/>
            <w:vAlign w:val="center"/>
          </w:tcPr>
          <w:p>
            <w:pPr>
              <w:spacing w:line="360" w:lineRule="auto"/>
              <w:rPr>
                <w:sz w:val="24"/>
              </w:rPr>
            </w:pPr>
            <w:r>
              <w:rPr>
                <w:sz w:val="24"/>
              </w:rPr>
              <w:t>具体</w:t>
            </w:r>
            <w:r>
              <w:rPr>
                <w:rFonts w:hint="eastAsia" w:ascii="宋体" w:hAnsi="宋体"/>
                <w:sz w:val="24"/>
              </w:rPr>
              <w:t>要求</w:t>
            </w:r>
            <w:r>
              <w:rPr>
                <w:sz w:val="24"/>
              </w:rPr>
              <w:t>见第一章《采购邀请》</w:t>
            </w:r>
          </w:p>
        </w:tc>
        <w:tc>
          <w:tcPr>
            <w:tcW w:w="803"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2-1-1</w:t>
            </w:r>
          </w:p>
        </w:tc>
        <w:tc>
          <w:tcPr>
            <w:tcW w:w="1156" w:type="pct"/>
            <w:vAlign w:val="center"/>
          </w:tcPr>
          <w:p>
            <w:pPr>
              <w:spacing w:line="360" w:lineRule="auto"/>
              <w:rPr>
                <w:sz w:val="24"/>
              </w:rPr>
            </w:pPr>
            <w:r>
              <w:rPr>
                <w:rFonts w:hint="eastAsia" w:ascii="宋体" w:hAnsi="宋体"/>
                <w:sz w:val="24"/>
              </w:rPr>
              <w:t>中小企业</w:t>
            </w:r>
            <w:r>
              <w:rPr>
                <w:sz w:val="24"/>
              </w:rPr>
              <w:t>证明文件</w:t>
            </w:r>
          </w:p>
        </w:tc>
        <w:tc>
          <w:tcPr>
            <w:tcW w:w="2578" w:type="pct"/>
            <w:vAlign w:val="center"/>
          </w:tcPr>
          <w:p>
            <w:pPr>
              <w:spacing w:line="360" w:lineRule="auto"/>
              <w:rPr>
                <w:bCs/>
                <w:sz w:val="24"/>
              </w:rPr>
            </w:pPr>
            <w:r>
              <w:rPr>
                <w:bCs/>
                <w:sz w:val="24"/>
              </w:rPr>
              <w:t>当本项目（包）涉及预留份额</w:t>
            </w:r>
            <w:r>
              <w:rPr>
                <w:b/>
                <w:sz w:val="24"/>
              </w:rPr>
              <w:t>专门面向中小企业</w:t>
            </w:r>
            <w:r>
              <w:rPr>
                <w:bCs/>
                <w:sz w:val="24"/>
              </w:rPr>
              <w:t>采购，</w:t>
            </w:r>
            <w:r>
              <w:rPr>
                <w:rFonts w:hint="eastAsia" w:ascii="宋体" w:hAnsi="宋体"/>
                <w:bCs/>
                <w:sz w:val="24"/>
              </w:rPr>
              <w:t>提供</w:t>
            </w:r>
            <w:r>
              <w:rPr>
                <w:rFonts w:eastAsiaTheme="minorEastAsia"/>
                <w:bCs/>
                <w:sz w:val="24"/>
              </w:rPr>
              <w:t>如下资料：</w:t>
            </w:r>
          </w:p>
          <w:p>
            <w:pPr>
              <w:spacing w:line="360" w:lineRule="auto"/>
              <w:rPr>
                <w:bCs/>
                <w:sz w:val="24"/>
              </w:rPr>
            </w:pPr>
            <w:r>
              <w:rPr>
                <w:bCs/>
                <w:sz w:val="24"/>
              </w:rPr>
              <w:t>1、供应商单独参与谈判的，应提供</w:t>
            </w:r>
            <w:r>
              <w:rPr>
                <w:sz w:val="24"/>
              </w:rPr>
              <w:t>《中小企业声明函》或《残疾人福利性单位声明函》或由省级以上监狱管理局、戒毒管理局（含新疆生产建设兵团）出具的属于监狱企业的证明文件</w:t>
            </w:r>
            <w:r>
              <w:rPr>
                <w:bCs/>
                <w:sz w:val="24"/>
              </w:rPr>
              <w:t>。</w:t>
            </w:r>
          </w:p>
          <w:p>
            <w:pPr>
              <w:spacing w:line="360" w:lineRule="auto"/>
              <w:rPr>
                <w:b/>
                <w:sz w:val="24"/>
              </w:rPr>
            </w:pPr>
            <w:r>
              <w:rPr>
                <w:bCs/>
                <w:sz w:val="24"/>
              </w:rPr>
              <w:t>2、如谈判文件要求以联合体形式参加或者要求合同分包的，且供应商为联合体或拟进行合同分包的，则联合体中的中小企业、签订分包意向协议的中小企业具体情况须在《中小企业声明函》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w:t>
            </w:r>
            <w:r>
              <w:rPr>
                <w:rFonts w:hint="eastAsia"/>
                <w:sz w:val="24"/>
              </w:rPr>
              <w:t>谈判文件</w:t>
            </w:r>
            <w:r>
              <w:rPr>
                <w:sz w:val="24"/>
              </w:rPr>
              <w:t>关于预留份额的要求</w:t>
            </w:r>
            <w:r>
              <w:rPr>
                <w:bCs/>
                <w:sz w:val="24"/>
              </w:rPr>
              <w:t>。</w:t>
            </w:r>
          </w:p>
        </w:tc>
        <w:tc>
          <w:tcPr>
            <w:tcW w:w="803" w:type="pct"/>
            <w:vAlign w:val="center"/>
          </w:tcPr>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3-3</w:t>
            </w:r>
          </w:p>
        </w:tc>
        <w:tc>
          <w:tcPr>
            <w:tcW w:w="1156" w:type="pct"/>
            <w:vAlign w:val="center"/>
          </w:tcPr>
          <w:p>
            <w:pPr>
              <w:spacing w:line="360" w:lineRule="auto"/>
              <w:rPr>
                <w:sz w:val="24"/>
              </w:rPr>
            </w:pPr>
            <w:r>
              <w:rPr>
                <w:sz w:val="24"/>
              </w:rPr>
              <w:t>其他特定资格要求</w:t>
            </w:r>
          </w:p>
        </w:tc>
        <w:tc>
          <w:tcPr>
            <w:tcW w:w="2578" w:type="pct"/>
            <w:vAlign w:val="center"/>
          </w:tcPr>
          <w:p>
            <w:pPr>
              <w:pStyle w:val="13"/>
              <w:spacing w:line="360" w:lineRule="auto"/>
              <w:ind w:firstLine="0"/>
            </w:pPr>
            <w:r>
              <w:rPr>
                <w:rFonts w:hint="eastAsia"/>
              </w:rPr>
              <w:t>（1）供应商具有建设主管部门核发的</w:t>
            </w:r>
            <w:r>
              <w:rPr>
                <w:rFonts w:hint="eastAsia"/>
                <w:lang w:eastAsia="zh-CN"/>
              </w:rPr>
              <w:t>工程监理综合资质</w:t>
            </w:r>
            <w:r>
              <w:rPr>
                <w:rFonts w:hint="eastAsia"/>
                <w:lang w:val="en-US" w:eastAsia="zh-CN"/>
              </w:rPr>
              <w:t>或工程监理电力工程专业乙级（含）以上资质</w:t>
            </w:r>
            <w:r>
              <w:rPr>
                <w:rFonts w:hint="eastAsia"/>
              </w:rPr>
              <w:t>；</w:t>
            </w:r>
          </w:p>
          <w:p>
            <w:pPr>
              <w:pStyle w:val="13"/>
              <w:spacing w:line="360" w:lineRule="auto"/>
              <w:ind w:firstLine="0"/>
            </w:pPr>
            <w:r>
              <w:rPr>
                <w:rFonts w:hint="eastAsia"/>
              </w:rPr>
              <w:t>（</w:t>
            </w:r>
            <w:r>
              <w:rPr>
                <w:rFonts w:hint="eastAsia"/>
                <w:lang w:val="en-US" w:eastAsia="zh-CN"/>
              </w:rPr>
              <w:t>2</w:t>
            </w:r>
            <w:r>
              <w:rPr>
                <w:rFonts w:hint="eastAsia"/>
              </w:rPr>
              <w:t>）单位负责人为同一人或者存在直接控股、管理关系的不同单位，不得参加本项目的谈判活动；</w:t>
            </w:r>
          </w:p>
          <w:p>
            <w:pPr>
              <w:pStyle w:val="13"/>
              <w:spacing w:line="360" w:lineRule="auto"/>
              <w:ind w:firstLine="0"/>
            </w:pPr>
            <w:r>
              <w:rPr>
                <w:rFonts w:hint="eastAsia"/>
              </w:rPr>
              <w:t>（</w:t>
            </w:r>
            <w:r>
              <w:rPr>
                <w:rFonts w:hint="eastAsia"/>
                <w:lang w:val="en-US" w:eastAsia="zh-CN"/>
              </w:rPr>
              <w:t>3</w:t>
            </w:r>
            <w:r>
              <w:rPr>
                <w:rFonts w:hint="eastAsia"/>
              </w:rPr>
              <w:t>）凡受托为本次采购的服务进行管理、检测、监理和其相关的咨询公司，及相关联的附属机构，不得参加本项目谈判。</w:t>
            </w:r>
          </w:p>
        </w:tc>
        <w:tc>
          <w:tcPr>
            <w:tcW w:w="803" w:type="pct"/>
            <w:vAlign w:val="center"/>
          </w:tcPr>
          <w:p>
            <w:pPr>
              <w:tabs>
                <w:tab w:val="left" w:pos="1080"/>
              </w:tabs>
              <w:snapToGrid w:val="0"/>
              <w:rPr>
                <w:sz w:val="24"/>
              </w:rPr>
            </w:pPr>
            <w:r>
              <w:rPr>
                <w:rFonts w:hint="eastAsia"/>
                <w:sz w:val="24"/>
              </w:rPr>
              <w:t>提供证明材料加盖公章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4" w:hRule="atLeast"/>
        </w:trPr>
        <w:tc>
          <w:tcPr>
            <w:tcW w:w="461" w:type="pct"/>
            <w:vAlign w:val="center"/>
          </w:tcPr>
          <w:p>
            <w:pPr>
              <w:tabs>
                <w:tab w:val="left" w:pos="1080"/>
              </w:tabs>
              <w:snapToGrid w:val="0"/>
              <w:jc w:val="center"/>
              <w:rPr>
                <w:sz w:val="24"/>
              </w:rPr>
            </w:pPr>
            <w:r>
              <w:rPr>
                <w:sz w:val="24"/>
              </w:rPr>
              <w:t>4</w:t>
            </w:r>
          </w:p>
        </w:tc>
        <w:tc>
          <w:tcPr>
            <w:tcW w:w="1156" w:type="pct"/>
            <w:vAlign w:val="center"/>
          </w:tcPr>
          <w:p>
            <w:pPr>
              <w:tabs>
                <w:tab w:val="left" w:pos="1080"/>
              </w:tabs>
              <w:snapToGrid w:val="0"/>
              <w:rPr>
                <w:sz w:val="24"/>
              </w:rPr>
            </w:pPr>
            <w:r>
              <w:rPr>
                <w:sz w:val="24"/>
              </w:rPr>
              <w:t>保证金</w:t>
            </w:r>
          </w:p>
        </w:tc>
        <w:tc>
          <w:tcPr>
            <w:tcW w:w="2578" w:type="pct"/>
            <w:vAlign w:val="center"/>
          </w:tcPr>
          <w:p>
            <w:pPr>
              <w:tabs>
                <w:tab w:val="left" w:pos="1080"/>
              </w:tabs>
              <w:snapToGrid w:val="0"/>
              <w:rPr>
                <w:color w:val="000000"/>
                <w:sz w:val="24"/>
              </w:rPr>
            </w:pPr>
            <w:r>
              <w:rPr>
                <w:color w:val="000000"/>
                <w:kern w:val="0"/>
                <w:sz w:val="24"/>
              </w:rPr>
              <w:t>按照谈判文件的规定提交保证金。</w:t>
            </w:r>
          </w:p>
        </w:tc>
        <w:tc>
          <w:tcPr>
            <w:tcW w:w="803" w:type="pct"/>
            <w:vAlign w:val="center"/>
          </w:tcPr>
          <w:p>
            <w:pPr>
              <w:tabs>
                <w:tab w:val="left" w:pos="1080"/>
              </w:tabs>
              <w:snapToGrid w:val="0"/>
              <w:rPr>
                <w:sz w:val="24"/>
              </w:rPr>
            </w:pPr>
          </w:p>
        </w:tc>
      </w:tr>
    </w:tbl>
    <w:p>
      <w:pPr>
        <w:snapToGrid w:val="0"/>
        <w:spacing w:line="360" w:lineRule="auto"/>
        <w:rPr>
          <w:sz w:val="24"/>
        </w:rPr>
      </w:pPr>
    </w:p>
    <w:p>
      <w:pPr>
        <w:pStyle w:val="13"/>
      </w:pPr>
    </w:p>
    <w:p>
      <w:pPr>
        <w:numPr>
          <w:ilvl w:val="1"/>
          <w:numId w:val="12"/>
        </w:numPr>
        <w:tabs>
          <w:tab w:val="left" w:pos="1080"/>
          <w:tab w:val="left" w:pos="2014"/>
        </w:tabs>
        <w:snapToGrid w:val="0"/>
        <w:spacing w:line="360" w:lineRule="auto"/>
        <w:ind w:left="1077" w:hanging="720"/>
        <w:rPr>
          <w:rFonts w:eastAsiaTheme="minorEastAsia"/>
          <w:color w:val="000000" w:themeColor="text1"/>
          <w:kern w:val="0"/>
          <w:sz w:val="24"/>
          <w14:textFill>
            <w14:solidFill>
              <w14:schemeClr w14:val="tx1"/>
            </w14:solidFill>
          </w14:textFill>
        </w:rPr>
      </w:pPr>
      <w:bookmarkStart w:id="584" w:name="_Toc353873940"/>
      <w:bookmarkStart w:id="585" w:name="_Toc353825550"/>
      <w:bookmarkStart w:id="586" w:name="_Toc127151779"/>
      <w:bookmarkStart w:id="587" w:name="_Toc127161490"/>
      <w:bookmarkStart w:id="588" w:name="_Toc226965858"/>
      <w:r>
        <w:rPr>
          <w:rFonts w:eastAsiaTheme="minorEastAsia"/>
          <w:color w:val="000000" w:themeColor="text1"/>
          <w:kern w:val="0"/>
          <w:sz w:val="24"/>
          <w14:textFill>
            <w14:solidFill>
              <w14:schemeClr w14:val="tx1"/>
            </w14:solidFill>
          </w14:textFill>
        </w:rPr>
        <w:t>《符合性审查要求》见下表：</w:t>
      </w:r>
      <w:bookmarkEnd w:id="584"/>
      <w:bookmarkEnd w:id="585"/>
      <w:bookmarkEnd w:id="586"/>
      <w:bookmarkEnd w:id="587"/>
      <w:bookmarkEnd w:id="588"/>
    </w:p>
    <w:p>
      <w:pPr>
        <w:jc w:val="center"/>
        <w:rPr>
          <w:b/>
          <w:sz w:val="24"/>
        </w:rPr>
      </w:pPr>
      <w:r>
        <w:rPr>
          <w:b/>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814"/>
        <w:gridCol w:w="392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360" w:type="pct"/>
            <w:shd w:val="clear" w:color="000000" w:fill="FFFFFF"/>
            <w:vAlign w:val="center"/>
          </w:tcPr>
          <w:p>
            <w:pPr>
              <w:widowControl/>
              <w:jc w:val="center"/>
              <w:rPr>
                <w:rFonts w:eastAsiaTheme="minorEastAsia"/>
                <w:b/>
                <w:color w:val="000000"/>
                <w:kern w:val="0"/>
                <w:sz w:val="24"/>
              </w:rPr>
            </w:pPr>
            <w:r>
              <w:rPr>
                <w:rFonts w:eastAsiaTheme="minorEastAsia"/>
                <w:b/>
                <w:color w:val="000000"/>
                <w:kern w:val="0"/>
                <w:sz w:val="24"/>
              </w:rPr>
              <w:t>序号</w:t>
            </w:r>
          </w:p>
        </w:tc>
        <w:tc>
          <w:tcPr>
            <w:tcW w:w="1514" w:type="pct"/>
            <w:shd w:val="clear" w:color="000000" w:fill="FFFFFF"/>
            <w:vAlign w:val="center"/>
          </w:tcPr>
          <w:p>
            <w:pPr>
              <w:widowControl/>
              <w:jc w:val="center"/>
              <w:rPr>
                <w:rFonts w:eastAsiaTheme="minorEastAsia"/>
                <w:b/>
                <w:color w:val="000000"/>
                <w:kern w:val="0"/>
                <w:sz w:val="24"/>
              </w:rPr>
            </w:pPr>
            <w:r>
              <w:rPr>
                <w:b/>
                <w:sz w:val="24"/>
              </w:rPr>
              <w:t>检查</w:t>
            </w:r>
            <w:r>
              <w:rPr>
                <w:rFonts w:eastAsiaTheme="minorEastAsia"/>
                <w:b/>
                <w:color w:val="000000"/>
                <w:kern w:val="0"/>
                <w:sz w:val="24"/>
              </w:rPr>
              <w:t>因素</w:t>
            </w:r>
          </w:p>
        </w:tc>
        <w:tc>
          <w:tcPr>
            <w:tcW w:w="2111" w:type="pct"/>
            <w:shd w:val="clear" w:color="000000" w:fill="FFFFFF"/>
            <w:vAlign w:val="center"/>
          </w:tcPr>
          <w:p>
            <w:pPr>
              <w:widowControl/>
              <w:jc w:val="center"/>
              <w:rPr>
                <w:rFonts w:eastAsiaTheme="minorEastAsia"/>
                <w:b/>
                <w:color w:val="000000"/>
                <w:kern w:val="0"/>
                <w:sz w:val="24"/>
              </w:rPr>
            </w:pPr>
            <w:r>
              <w:rPr>
                <w:b/>
                <w:sz w:val="24"/>
              </w:rPr>
              <w:t>检查</w:t>
            </w:r>
            <w:r>
              <w:rPr>
                <w:rFonts w:eastAsiaTheme="minorEastAsia"/>
                <w:b/>
                <w:color w:val="000000"/>
                <w:kern w:val="0"/>
                <w:sz w:val="24"/>
              </w:rPr>
              <w:t>内容</w:t>
            </w:r>
          </w:p>
        </w:tc>
        <w:tc>
          <w:tcPr>
            <w:tcW w:w="1013" w:type="pct"/>
            <w:shd w:val="clear" w:color="000000" w:fill="FFFFFF"/>
            <w:vAlign w:val="center"/>
          </w:tcPr>
          <w:p>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sz w:val="24"/>
              </w:rPr>
            </w:pPr>
            <w:r>
              <w:rPr>
                <w:rFonts w:hint="eastAsia" w:ascii="宋体" w:hAnsi="宋体"/>
                <w:sz w:val="24"/>
              </w:rPr>
              <w:t>1</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授权委托书</w:t>
            </w:r>
          </w:p>
        </w:tc>
        <w:tc>
          <w:tcPr>
            <w:tcW w:w="2111" w:type="pct"/>
            <w:shd w:val="clear" w:color="000000" w:fill="FFFFFF"/>
            <w:vAlign w:val="center"/>
          </w:tcPr>
          <w:p>
            <w:pPr>
              <w:spacing w:line="360" w:lineRule="auto"/>
              <w:rPr>
                <w:rFonts w:ascii="宋体" w:hAnsi="宋体"/>
                <w:sz w:val="24"/>
              </w:rPr>
            </w:pPr>
            <w:r>
              <w:rPr>
                <w:rFonts w:hint="eastAsia" w:ascii="宋体" w:hAnsi="宋体"/>
                <w:sz w:val="24"/>
              </w:rPr>
              <w:t>按谈判文件要求提供授权委托书</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cstheme="minorBidi"/>
                <w:sz w:val="24"/>
              </w:rPr>
            </w:pPr>
            <w:r>
              <w:rPr>
                <w:rFonts w:hint="eastAsia" w:ascii="宋体" w:hAnsi="宋体" w:cstheme="minorBidi"/>
                <w:sz w:val="24"/>
              </w:rPr>
              <w:t>2</w:t>
            </w:r>
          </w:p>
        </w:tc>
        <w:tc>
          <w:tcPr>
            <w:tcW w:w="1514" w:type="pct"/>
            <w:shd w:val="clear" w:color="000000" w:fill="FFFFFF"/>
            <w:vAlign w:val="center"/>
          </w:tcPr>
          <w:p>
            <w:pPr>
              <w:spacing w:line="360" w:lineRule="auto"/>
              <w:rPr>
                <w:rFonts w:ascii="宋体" w:hAnsi="宋体" w:cstheme="minorBidi"/>
                <w:sz w:val="24"/>
              </w:rPr>
            </w:pPr>
            <w:r>
              <w:rPr>
                <w:rFonts w:hint="eastAsia" w:ascii="宋体" w:hAnsi="宋体"/>
                <w:sz w:val="24"/>
              </w:rPr>
              <w:t>报价不得超过采购预算或最高限价</w:t>
            </w:r>
          </w:p>
        </w:tc>
        <w:tc>
          <w:tcPr>
            <w:tcW w:w="2111" w:type="pct"/>
            <w:shd w:val="clear" w:color="000000" w:fill="FFFFFF"/>
            <w:vAlign w:val="center"/>
          </w:tcPr>
          <w:p>
            <w:pPr>
              <w:spacing w:line="360" w:lineRule="auto"/>
              <w:rPr>
                <w:rFonts w:ascii="宋体" w:hAnsi="宋体" w:cstheme="minorBidi"/>
                <w:sz w:val="24"/>
              </w:rPr>
            </w:pPr>
            <w:r>
              <w:rPr>
                <w:rFonts w:hint="eastAsia" w:ascii="宋体" w:hAnsi="宋体"/>
                <w:sz w:val="24"/>
              </w:rPr>
              <w:t>采购预算、最高限价详见谈判文件第一章</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rPr>
                <w:rFonts w:ascii="宋体" w:hAnsi="宋体"/>
                <w:sz w:val="24"/>
              </w:rPr>
            </w:pPr>
            <w:r>
              <w:rPr>
                <w:rFonts w:hint="eastAsia" w:ascii="宋体" w:hAnsi="宋体"/>
                <w:sz w:val="24"/>
              </w:rPr>
              <w:t>3</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报价唯一性</w:t>
            </w:r>
          </w:p>
        </w:tc>
        <w:tc>
          <w:tcPr>
            <w:tcW w:w="2111" w:type="pct"/>
            <w:shd w:val="clear" w:color="000000" w:fill="FFFFFF"/>
            <w:vAlign w:val="center"/>
          </w:tcPr>
          <w:p>
            <w:pPr>
              <w:spacing w:line="360" w:lineRule="auto"/>
              <w:rPr>
                <w:rFonts w:ascii="宋体" w:hAnsi="宋体"/>
                <w:sz w:val="24"/>
              </w:rPr>
            </w:pPr>
            <w:r>
              <w:rPr>
                <w:rFonts w:hint="eastAsia" w:ascii="宋体" w:hAnsi="宋体"/>
                <w:sz w:val="24"/>
              </w:rPr>
              <w:t>响应文件未出现可选择或可调整的报价（谈判文件另有规定的除外）</w:t>
            </w:r>
          </w:p>
        </w:tc>
        <w:tc>
          <w:tcPr>
            <w:tcW w:w="1013" w:type="pct"/>
            <w:shd w:val="clear" w:color="000000" w:fill="FFFFFF"/>
            <w:vAlign w:val="center"/>
          </w:tcPr>
          <w:p>
            <w:pPr>
              <w:spacing w:line="360" w:lineRule="auto"/>
              <w:jc w:val="center"/>
              <w:rPr>
                <w:rFonts w:eastAsiaTheme="minorEastAsia"/>
                <w:color w:val="000000"/>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rPr>
                <w:rFonts w:ascii="宋体" w:hAnsi="宋体"/>
                <w:sz w:val="24"/>
              </w:rPr>
            </w:pPr>
            <w:r>
              <w:rPr>
                <w:rFonts w:hint="eastAsia" w:ascii="宋体" w:hAnsi="宋体"/>
                <w:sz w:val="24"/>
              </w:rPr>
              <w:t>4</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是否满足谈判文件中</w:t>
            </w:r>
            <w:r>
              <w:rPr>
                <w:rFonts w:ascii="仿宋" w:hAnsi="仿宋" w:eastAsia="仿宋" w:cs="仿宋"/>
                <w:color w:val="000000"/>
                <w:kern w:val="0"/>
                <w:sz w:val="24"/>
                <w:lang w:bidi="ar"/>
              </w:rPr>
              <w:t>★</w:t>
            </w:r>
            <w:r>
              <w:rPr>
                <w:rFonts w:hint="eastAsia" w:ascii="宋体" w:hAnsi="宋体"/>
                <w:sz w:val="24"/>
              </w:rPr>
              <w:t>条款</w:t>
            </w:r>
          </w:p>
        </w:tc>
        <w:tc>
          <w:tcPr>
            <w:tcW w:w="2111" w:type="pct"/>
            <w:shd w:val="clear" w:color="000000" w:fill="FFFFFF"/>
            <w:vAlign w:val="center"/>
          </w:tcPr>
          <w:p>
            <w:pPr>
              <w:spacing w:line="360" w:lineRule="auto"/>
              <w:rPr>
                <w:rFonts w:ascii="宋体" w:hAnsi="宋体"/>
                <w:sz w:val="24"/>
              </w:rPr>
            </w:pPr>
            <w:r>
              <w:rPr>
                <w:rFonts w:hint="eastAsia" w:ascii="宋体" w:hAnsi="宋体"/>
                <w:sz w:val="24"/>
              </w:rPr>
              <w:t>按谈判文件要求提供证明材料</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sz w:val="24"/>
              </w:rPr>
            </w:pPr>
            <w:r>
              <w:rPr>
                <w:rFonts w:hint="eastAsia" w:ascii="宋体" w:hAnsi="宋体"/>
                <w:sz w:val="24"/>
              </w:rPr>
              <w:t>5</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合同履行期限是否满足谈判文件要求</w:t>
            </w:r>
          </w:p>
        </w:tc>
        <w:tc>
          <w:tcPr>
            <w:tcW w:w="2111" w:type="pct"/>
            <w:shd w:val="clear" w:color="000000" w:fill="FFFFFF"/>
            <w:vAlign w:val="center"/>
          </w:tcPr>
          <w:p>
            <w:pPr>
              <w:spacing w:line="360" w:lineRule="auto"/>
              <w:rPr>
                <w:rFonts w:ascii="宋体" w:hAnsi="宋体"/>
                <w:sz w:val="24"/>
              </w:rPr>
            </w:pPr>
            <w:r>
              <w:rPr>
                <w:rFonts w:hint="eastAsia" w:ascii="宋体" w:hAnsi="宋体"/>
                <w:sz w:val="24"/>
              </w:rPr>
              <w:t>合同履行期限详见谈判文件第一章</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sz w:val="24"/>
              </w:rPr>
            </w:pPr>
            <w:r>
              <w:rPr>
                <w:rFonts w:hint="eastAsia" w:ascii="宋体" w:hAnsi="宋体"/>
                <w:sz w:val="24"/>
              </w:rPr>
              <w:t>6</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签署、盖章</w:t>
            </w:r>
          </w:p>
        </w:tc>
        <w:tc>
          <w:tcPr>
            <w:tcW w:w="2111" w:type="pct"/>
            <w:shd w:val="clear" w:color="000000" w:fill="FFFFFF"/>
            <w:vAlign w:val="center"/>
          </w:tcPr>
          <w:p>
            <w:pPr>
              <w:spacing w:line="360" w:lineRule="auto"/>
              <w:rPr>
                <w:rFonts w:ascii="宋体" w:hAnsi="宋体"/>
                <w:sz w:val="24"/>
              </w:rPr>
            </w:pPr>
            <w:r>
              <w:rPr>
                <w:rFonts w:hint="eastAsia" w:ascii="宋体" w:hAnsi="宋体"/>
                <w:sz w:val="24"/>
              </w:rPr>
              <w:t>按照谈判文件要求签署、盖章</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sz w:val="24"/>
              </w:rPr>
            </w:pPr>
            <w:r>
              <w:rPr>
                <w:rFonts w:hint="eastAsia" w:ascii="宋体" w:hAnsi="宋体"/>
                <w:sz w:val="24"/>
              </w:rPr>
              <w:t>7</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响应有效期</w:t>
            </w:r>
          </w:p>
        </w:tc>
        <w:tc>
          <w:tcPr>
            <w:tcW w:w="2111" w:type="pct"/>
            <w:shd w:val="clear" w:color="000000" w:fill="FFFFFF"/>
            <w:vAlign w:val="center"/>
          </w:tcPr>
          <w:p>
            <w:pPr>
              <w:spacing w:line="360" w:lineRule="auto"/>
              <w:rPr>
                <w:rFonts w:ascii="宋体" w:hAnsi="宋体"/>
                <w:sz w:val="24"/>
              </w:rPr>
            </w:pPr>
            <w:r>
              <w:rPr>
                <w:rFonts w:hint="eastAsia" w:ascii="宋体" w:hAnsi="宋体"/>
                <w:sz w:val="24"/>
              </w:rPr>
              <w:t>响应文件中承诺的响应有效期满足谈判文件中载明的响应有效期</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sz w:val="24"/>
              </w:rPr>
            </w:pPr>
            <w:r>
              <w:rPr>
                <w:rFonts w:hint="eastAsia" w:ascii="宋体" w:hAnsi="宋体"/>
                <w:sz w:val="24"/>
              </w:rPr>
              <w:t>8</w:t>
            </w:r>
          </w:p>
        </w:tc>
        <w:tc>
          <w:tcPr>
            <w:tcW w:w="1514" w:type="pct"/>
            <w:shd w:val="clear" w:color="000000" w:fill="FFFFFF"/>
            <w:vAlign w:val="center"/>
          </w:tcPr>
          <w:p>
            <w:pPr>
              <w:widowControl/>
              <w:jc w:val="left"/>
              <w:rPr>
                <w:rFonts w:ascii="宋体" w:hAnsi="宋体"/>
                <w:sz w:val="24"/>
              </w:rPr>
            </w:pPr>
            <w:r>
              <w:rPr>
                <w:rFonts w:hint="eastAsia" w:ascii="宋体" w:hAnsi="宋体" w:cs="宋体"/>
                <w:color w:val="000000"/>
                <w:kern w:val="0"/>
                <w:sz w:val="24"/>
                <w:lang w:bidi="ar"/>
              </w:rPr>
              <w:t>附加条件</w:t>
            </w:r>
          </w:p>
        </w:tc>
        <w:tc>
          <w:tcPr>
            <w:tcW w:w="2111" w:type="pct"/>
            <w:shd w:val="clear" w:color="000000" w:fill="FFFFFF"/>
            <w:vAlign w:val="center"/>
          </w:tcPr>
          <w:p>
            <w:pPr>
              <w:widowControl/>
              <w:jc w:val="left"/>
              <w:rPr>
                <w:rFonts w:ascii="宋体" w:hAnsi="宋体"/>
                <w:sz w:val="24"/>
              </w:rPr>
            </w:pPr>
            <w:r>
              <w:rPr>
                <w:rFonts w:hint="eastAsia" w:ascii="宋体" w:hAnsi="宋体" w:cs="宋体"/>
                <w:color w:val="000000"/>
                <w:kern w:val="0"/>
                <w:sz w:val="24"/>
                <w:lang w:bidi="ar"/>
              </w:rPr>
              <w:t>响应文件未含有采购人不能接受的附加条件的；</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0" w:type="pct"/>
            <w:shd w:val="clear" w:color="000000" w:fill="FFFFFF"/>
            <w:vAlign w:val="center"/>
          </w:tcPr>
          <w:p>
            <w:pPr>
              <w:spacing w:line="360" w:lineRule="auto"/>
              <w:jc w:val="center"/>
              <w:rPr>
                <w:rFonts w:ascii="宋体" w:hAnsi="宋体"/>
                <w:sz w:val="24"/>
              </w:rPr>
            </w:pPr>
            <w:r>
              <w:rPr>
                <w:rFonts w:hint="eastAsia" w:ascii="宋体" w:hAnsi="宋体"/>
                <w:sz w:val="24"/>
              </w:rPr>
              <w:t>9</w:t>
            </w:r>
          </w:p>
        </w:tc>
        <w:tc>
          <w:tcPr>
            <w:tcW w:w="1514" w:type="pct"/>
            <w:shd w:val="clear" w:color="000000" w:fill="FFFFFF"/>
            <w:vAlign w:val="center"/>
          </w:tcPr>
          <w:p>
            <w:pPr>
              <w:spacing w:line="360" w:lineRule="auto"/>
              <w:rPr>
                <w:rFonts w:ascii="宋体" w:hAnsi="宋体"/>
                <w:sz w:val="24"/>
              </w:rPr>
            </w:pPr>
            <w:r>
              <w:rPr>
                <w:rFonts w:hint="eastAsia" w:ascii="宋体" w:hAnsi="宋体"/>
                <w:sz w:val="24"/>
              </w:rPr>
              <w:t>其他无效响应情形</w:t>
            </w:r>
          </w:p>
        </w:tc>
        <w:tc>
          <w:tcPr>
            <w:tcW w:w="2111" w:type="pct"/>
            <w:shd w:val="clear" w:color="000000" w:fill="FFFFFF"/>
            <w:vAlign w:val="center"/>
          </w:tcPr>
          <w:p>
            <w:pPr>
              <w:widowControl/>
              <w:jc w:val="left"/>
              <w:rPr>
                <w:rFonts w:ascii="宋体" w:hAnsi="宋体"/>
                <w:sz w:val="24"/>
              </w:rPr>
            </w:pPr>
            <w:r>
              <w:rPr>
                <w:rFonts w:hint="eastAsia" w:ascii="宋体" w:hAnsi="宋体" w:cs="宋体"/>
                <w:color w:val="000000"/>
                <w:kern w:val="0"/>
                <w:sz w:val="24"/>
                <w:lang w:bidi="ar"/>
              </w:rPr>
              <w:t>供应商、响应文件不存在不符合法律、法规和谈判文件规定的其他无效情形。</w:t>
            </w:r>
          </w:p>
        </w:tc>
        <w:tc>
          <w:tcPr>
            <w:tcW w:w="1013" w:type="pct"/>
            <w:shd w:val="clear" w:color="000000" w:fill="FFFFFF"/>
            <w:vAlign w:val="center"/>
          </w:tcPr>
          <w:p>
            <w:pPr>
              <w:spacing w:line="360" w:lineRule="auto"/>
              <w:jc w:val="center"/>
              <w:rPr>
                <w:rFonts w:ascii="宋体" w:hAnsi="宋体"/>
                <w:sz w:val="24"/>
              </w:rPr>
            </w:pPr>
            <w:r>
              <w:rPr>
                <w:rFonts w:ascii="宋体" w:hAnsi="宋体"/>
                <w:sz w:val="24"/>
              </w:rPr>
              <w:t>不允许</w:t>
            </w:r>
          </w:p>
        </w:tc>
      </w:tr>
    </w:tbl>
    <w:p>
      <w:pPr>
        <w:widowControl/>
        <w:jc w:val="left"/>
        <w:rPr>
          <w:sz w:val="24"/>
        </w:rPr>
      </w:pPr>
    </w:p>
    <w:p>
      <w:pPr>
        <w:widowControl/>
        <w:jc w:val="left"/>
        <w:rPr>
          <w:sz w:val="24"/>
        </w:rPr>
      </w:pPr>
      <w:r>
        <w:rPr>
          <w:sz w:val="24"/>
        </w:rPr>
        <w:br w:type="page"/>
      </w:r>
    </w:p>
    <w:p>
      <w:pPr>
        <w:numPr>
          <w:ilvl w:val="0"/>
          <w:numId w:val="12"/>
        </w:numPr>
        <w:tabs>
          <w:tab w:val="left" w:pos="360"/>
        </w:tabs>
        <w:snapToGrid w:val="0"/>
        <w:spacing w:line="360" w:lineRule="auto"/>
        <w:outlineLvl w:val="1"/>
        <w:rPr>
          <w:sz w:val="24"/>
        </w:rPr>
      </w:pPr>
      <w:r>
        <w:rPr>
          <w:sz w:val="24"/>
        </w:rPr>
        <w:t>谈判、</w:t>
      </w:r>
      <w:r>
        <w:rPr>
          <w:rFonts w:eastAsiaTheme="minorEastAsia"/>
          <w:sz w:val="24"/>
        </w:rPr>
        <w:t>响应文件有关事项的澄清、说明或者更正</w:t>
      </w:r>
      <w:r>
        <w:rPr>
          <w:sz w:val="24"/>
        </w:rPr>
        <w:t>和最后报价</w:t>
      </w:r>
    </w:p>
    <w:p>
      <w:pPr>
        <w:numPr>
          <w:ilvl w:val="1"/>
          <w:numId w:val="12"/>
        </w:numPr>
        <w:tabs>
          <w:tab w:val="left" w:pos="1080"/>
          <w:tab w:val="left" w:pos="2014"/>
        </w:tabs>
        <w:snapToGrid w:val="0"/>
        <w:spacing w:line="360" w:lineRule="auto"/>
        <w:ind w:left="1077" w:hanging="720"/>
        <w:rPr>
          <w:sz w:val="24"/>
        </w:rPr>
      </w:pPr>
      <w:r>
        <w:rPr>
          <w:sz w:val="24"/>
        </w:rPr>
        <w:t>谈判小组所有成员将集中与单一供应商分别进行谈判，并给予所有参加谈判的供应商平等的谈判机会。在谈判中，谈判的任何一方不得透露与谈判有关的其他供应商的技术资料、价格和其他信息。</w:t>
      </w:r>
    </w:p>
    <w:p>
      <w:pPr>
        <w:numPr>
          <w:ilvl w:val="1"/>
          <w:numId w:val="12"/>
        </w:numPr>
        <w:tabs>
          <w:tab w:val="left" w:pos="1080"/>
          <w:tab w:val="left" w:pos="2014"/>
        </w:tabs>
        <w:snapToGrid w:val="0"/>
        <w:spacing w:line="360" w:lineRule="auto"/>
        <w:ind w:left="1077" w:hanging="720"/>
        <w:rPr>
          <w:sz w:val="24"/>
        </w:rPr>
      </w:pPr>
      <w:r>
        <w:rPr>
          <w:sz w:val="24"/>
        </w:rPr>
        <w:t>在谈判过程中，谈判小组可以根据谈判文件和谈判情况实质性变动采购需求中的技术、服务要求以及合同草案条款，但不得变动谈判文件中的其他内容。实质性变动的内容，须经采购人代表确认。</w:t>
      </w:r>
    </w:p>
    <w:p>
      <w:pPr>
        <w:numPr>
          <w:ilvl w:val="1"/>
          <w:numId w:val="12"/>
        </w:numPr>
        <w:tabs>
          <w:tab w:val="left" w:pos="1080"/>
          <w:tab w:val="left" w:pos="2014"/>
        </w:tabs>
        <w:snapToGrid w:val="0"/>
        <w:spacing w:line="360" w:lineRule="auto"/>
        <w:ind w:left="1077" w:hanging="720"/>
        <w:rPr>
          <w:sz w:val="24"/>
        </w:rPr>
      </w:pPr>
      <w:r>
        <w:rPr>
          <w:sz w:val="24"/>
        </w:rPr>
        <w:t>对谈判文件作出的实质性变动是谈判文件的有效组成部分，谈判小组将及时以书面形式同时通知所有参加谈判的供应商。</w:t>
      </w:r>
    </w:p>
    <w:p>
      <w:pPr>
        <w:numPr>
          <w:ilvl w:val="1"/>
          <w:numId w:val="12"/>
        </w:numPr>
        <w:tabs>
          <w:tab w:val="left" w:pos="1080"/>
          <w:tab w:val="left" w:pos="2014"/>
        </w:tabs>
        <w:snapToGrid w:val="0"/>
        <w:spacing w:line="360" w:lineRule="auto"/>
        <w:ind w:left="1077" w:hanging="720"/>
        <w:rPr>
          <w:sz w:val="24"/>
        </w:rPr>
      </w:pPr>
      <w:r>
        <w:rPr>
          <w:sz w:val="24"/>
        </w:rPr>
        <w:t>供应商应当按照谈判文件的变动情况和谈判小组的要求重新提交响应文件，并由其法定代表人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sz w:val="24"/>
        </w:rPr>
        <w:t>或授权代表签字或者加盖公章。</w:t>
      </w:r>
      <w:r>
        <w:rPr>
          <w:rFonts w:eastAsiaTheme="minorEastAsia"/>
          <w:kern w:val="0"/>
          <w:sz w:val="24"/>
        </w:rPr>
        <w:t>由授权代表签字的，应当附授权委托书。</w:t>
      </w:r>
      <w:r>
        <w:rPr>
          <w:sz w:val="24"/>
        </w:rPr>
        <w:t>供应商为自然人的，应当由本人签字并附身份证明。</w:t>
      </w:r>
    </w:p>
    <w:p>
      <w:pPr>
        <w:numPr>
          <w:ilvl w:val="1"/>
          <w:numId w:val="12"/>
        </w:numPr>
        <w:tabs>
          <w:tab w:val="left" w:pos="1080"/>
          <w:tab w:val="left" w:pos="2014"/>
        </w:tabs>
        <w:snapToGrid w:val="0"/>
        <w:spacing w:line="360" w:lineRule="auto"/>
        <w:ind w:left="1077" w:hanging="720"/>
        <w:rPr>
          <w:sz w:val="24"/>
        </w:rPr>
      </w:pPr>
      <w:r>
        <w:rPr>
          <w:rFonts w:eastAsiaTheme="minorEastAsia"/>
          <w:sz w:val="24"/>
        </w:rPr>
        <w:t>响应文件的澄清、说明或者更正</w:t>
      </w:r>
      <w:r>
        <w:rPr>
          <w:sz w:val="24"/>
        </w:rPr>
        <w:t>：</w:t>
      </w:r>
    </w:p>
    <w:p>
      <w:pPr>
        <w:numPr>
          <w:ilvl w:val="2"/>
          <w:numId w:val="12"/>
        </w:numPr>
        <w:snapToGrid w:val="0"/>
        <w:spacing w:line="360" w:lineRule="auto"/>
        <w:rPr>
          <w:sz w:val="24"/>
        </w:rPr>
      </w:pPr>
      <w:r>
        <w:rPr>
          <w:sz w:val="24"/>
        </w:rPr>
        <w:t>谈判小组在对响应文件的有效性、完整性和响应程度进行审查时，可以要求供应商对响应文件中含义不明确、同类问题表述不一致或者有明显文字和计算错误的内容等作出必要的澄清、说明或者更正。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2"/>
        </w:numPr>
        <w:snapToGrid w:val="0"/>
        <w:spacing w:line="360" w:lineRule="auto"/>
        <w:rPr>
          <w:sz w:val="24"/>
        </w:rPr>
      </w:pPr>
      <w:r>
        <w:rPr>
          <w:sz w:val="24"/>
        </w:rPr>
        <w:t>谈判小组对响应文件进行审查，如发现供应商提交的响应文件存在不满足《符合性审查要求》的内容，如属于表中“不允许”澄清、说明或者更正的内容，则供应商响应文件</w:t>
      </w:r>
      <w:r>
        <w:rPr>
          <w:b/>
          <w:bCs/>
          <w:sz w:val="24"/>
        </w:rPr>
        <w:t>按无效处理</w:t>
      </w:r>
      <w:r>
        <w:rPr>
          <w:sz w:val="24"/>
        </w:rPr>
        <w:t>；如属于表中的“允许”澄清、说明或更正的内容，谈判小组将要求供应商在规定的时间内对响应文件进行澄清、说明或者更正。如供应商在谈判小组规定的时间内未作出必要的澄清、说明或者更正，或澄清、说明或者更正后仍不能满足</w:t>
      </w:r>
      <w:r>
        <w:rPr>
          <w:rFonts w:hint="eastAsia"/>
          <w:sz w:val="24"/>
        </w:rPr>
        <w:t>谈判文件</w:t>
      </w:r>
      <w:r>
        <w:rPr>
          <w:sz w:val="24"/>
        </w:rPr>
        <w:t>要求的，则供应商的响应文件</w:t>
      </w:r>
      <w:r>
        <w:rPr>
          <w:b/>
          <w:bCs/>
          <w:sz w:val="24"/>
        </w:rPr>
        <w:t>按无效处理</w:t>
      </w:r>
      <w:r>
        <w:rPr>
          <w:sz w:val="24"/>
        </w:rPr>
        <w:t>。</w:t>
      </w:r>
    </w:p>
    <w:p>
      <w:pPr>
        <w:numPr>
          <w:ilvl w:val="2"/>
          <w:numId w:val="12"/>
        </w:numPr>
        <w:snapToGrid w:val="0"/>
        <w:spacing w:line="360" w:lineRule="auto"/>
        <w:rPr>
          <w:sz w:val="24"/>
        </w:rPr>
      </w:pPr>
      <w:r>
        <w:rPr>
          <w:sz w:val="24"/>
        </w:rPr>
        <w:t>供应商的澄清、说明或者更正不得超出响应文件的范围或者改变响应文件的实质性内容。谈判小组要求供应商澄清、说明或者更正响应文件应当以书面形式作出。供应商的澄清、说明或者更正应当由法定代表人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pPr>
        <w:numPr>
          <w:ilvl w:val="1"/>
          <w:numId w:val="12"/>
        </w:numPr>
        <w:tabs>
          <w:tab w:val="left" w:pos="1080"/>
          <w:tab w:val="left" w:pos="2014"/>
        </w:tabs>
        <w:snapToGrid w:val="0"/>
        <w:spacing w:line="360" w:lineRule="auto"/>
        <w:ind w:left="1077" w:hanging="720"/>
        <w:rPr>
          <w:sz w:val="24"/>
        </w:rPr>
      </w:pPr>
      <w:r>
        <w:rPr>
          <w:sz w:val="24"/>
        </w:rPr>
        <w:t>谈判结束后，谈判小组将要求所有实质性响应的供应商在规定时间内提交最后报价。</w:t>
      </w:r>
      <w:r>
        <w:rPr>
          <w:rFonts w:eastAsiaTheme="minorEastAsia"/>
          <w:sz w:val="24"/>
        </w:rPr>
        <w:t>最后报价时间为谈判小组指定的时间，具体时间根据谈判进度另行通知。</w:t>
      </w:r>
    </w:p>
    <w:p>
      <w:pPr>
        <w:numPr>
          <w:ilvl w:val="1"/>
          <w:numId w:val="12"/>
        </w:numPr>
        <w:tabs>
          <w:tab w:val="left" w:pos="1080"/>
          <w:tab w:val="left" w:pos="2014"/>
        </w:tabs>
        <w:snapToGrid w:val="0"/>
        <w:spacing w:line="360" w:lineRule="auto"/>
        <w:ind w:left="1077" w:hanging="720"/>
        <w:rPr>
          <w:sz w:val="24"/>
        </w:rPr>
      </w:pPr>
      <w:r>
        <w:rPr>
          <w:sz w:val="24"/>
        </w:rPr>
        <w:t>谈判文件能够详细列明采购标的的技术、服务要求的，谈判结束后，谈判小组将要求所有继续参加谈判的供应商在规定时间内提交最后报价，提交最后报价的供应商不得少于3家，但《政府采购非招标采购方式管理办法》第二十七条第二款规定的情形除外。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但《政府采购非招标采购方式管理办法》第二十七条第二款规定的情形除外。</w:t>
      </w:r>
    </w:p>
    <w:p>
      <w:pPr>
        <w:numPr>
          <w:ilvl w:val="1"/>
          <w:numId w:val="12"/>
        </w:numPr>
        <w:tabs>
          <w:tab w:val="left" w:pos="1080"/>
          <w:tab w:val="left" w:pos="2014"/>
        </w:tabs>
        <w:snapToGrid w:val="0"/>
        <w:spacing w:line="360" w:lineRule="auto"/>
        <w:ind w:left="1077" w:hanging="720"/>
        <w:rPr>
          <w:sz w:val="24"/>
        </w:rPr>
      </w:pPr>
      <w:r>
        <w:rPr>
          <w:sz w:val="24"/>
        </w:rPr>
        <w:t>最后报价是供应商响应文件的有效组成部分。</w:t>
      </w:r>
    </w:p>
    <w:p>
      <w:pPr>
        <w:numPr>
          <w:ilvl w:val="1"/>
          <w:numId w:val="12"/>
        </w:numPr>
        <w:tabs>
          <w:tab w:val="left" w:pos="1080"/>
          <w:tab w:val="left" w:pos="2014"/>
        </w:tabs>
        <w:snapToGrid w:val="0"/>
        <w:spacing w:line="360" w:lineRule="auto"/>
        <w:ind w:left="1077" w:hanging="720"/>
        <w:rPr>
          <w:sz w:val="24"/>
        </w:rPr>
      </w:pPr>
      <w:r>
        <w:rPr>
          <w:sz w:val="24"/>
        </w:rPr>
        <w:t>已提交响应文件的供应商，在提交最后报价之前，可以根据谈判情况退出谈判。</w:t>
      </w:r>
    </w:p>
    <w:p>
      <w:pPr>
        <w:numPr>
          <w:ilvl w:val="0"/>
          <w:numId w:val="12"/>
        </w:numPr>
        <w:tabs>
          <w:tab w:val="left" w:pos="360"/>
        </w:tabs>
        <w:snapToGrid w:val="0"/>
        <w:spacing w:line="360" w:lineRule="auto"/>
        <w:outlineLvl w:val="1"/>
        <w:rPr>
          <w:sz w:val="24"/>
        </w:rPr>
      </w:pPr>
      <w:r>
        <w:rPr>
          <w:sz w:val="24"/>
        </w:rPr>
        <w:t>最后报价的算术修正及政策调整</w:t>
      </w:r>
    </w:p>
    <w:p>
      <w:pPr>
        <w:numPr>
          <w:ilvl w:val="1"/>
          <w:numId w:val="12"/>
        </w:numPr>
        <w:tabs>
          <w:tab w:val="left" w:pos="1080"/>
        </w:tabs>
        <w:snapToGrid w:val="0"/>
        <w:spacing w:line="360" w:lineRule="auto"/>
        <w:ind w:left="1077" w:hanging="720"/>
        <w:rPr>
          <w:sz w:val="24"/>
        </w:rPr>
      </w:pPr>
      <w:r>
        <w:rPr>
          <w:sz w:val="24"/>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其</w:t>
      </w:r>
      <w:r>
        <w:rPr>
          <w:b/>
          <w:bCs/>
          <w:sz w:val="24"/>
        </w:rPr>
        <w:t>响应无效</w:t>
      </w:r>
      <w:r>
        <w:rPr>
          <w:sz w:val="24"/>
        </w:rPr>
        <w:t>。</w:t>
      </w:r>
    </w:p>
    <w:p>
      <w:pPr>
        <w:numPr>
          <w:ilvl w:val="1"/>
          <w:numId w:val="12"/>
        </w:numPr>
        <w:tabs>
          <w:tab w:val="left" w:pos="1080"/>
          <w:tab w:val="left" w:pos="2014"/>
        </w:tabs>
        <w:snapToGrid w:val="0"/>
        <w:spacing w:line="360" w:lineRule="auto"/>
        <w:ind w:left="1077" w:hanging="720"/>
        <w:rPr>
          <w:sz w:val="24"/>
        </w:rPr>
      </w:pPr>
      <w:r>
        <w:rPr>
          <w:sz w:val="24"/>
        </w:rPr>
        <w:t>最后报价出现前后不一致的，按照下列规定修正：</w:t>
      </w:r>
    </w:p>
    <w:p>
      <w:pPr>
        <w:numPr>
          <w:ilvl w:val="2"/>
          <w:numId w:val="12"/>
        </w:numPr>
        <w:snapToGrid w:val="0"/>
        <w:spacing w:line="360" w:lineRule="auto"/>
        <w:rPr>
          <w:sz w:val="24"/>
        </w:rPr>
      </w:pPr>
      <w:r>
        <w:rPr>
          <w:sz w:val="24"/>
        </w:rPr>
        <w:t>谈判文件对于报价修正是否另有规定：</w:t>
      </w:r>
    </w:p>
    <w:p>
      <w:pPr>
        <w:tabs>
          <w:tab w:val="left" w:pos="1080"/>
          <w:tab w:val="left" w:pos="1589"/>
          <w:tab w:val="left" w:pos="2035"/>
          <w:tab w:val="left" w:pos="2114"/>
        </w:tabs>
        <w:snapToGrid w:val="0"/>
        <w:spacing w:line="360" w:lineRule="auto"/>
        <w:ind w:left="2035"/>
        <w:rPr>
          <w:sz w:val="24"/>
          <w:u w:val="single"/>
        </w:rPr>
      </w:pPr>
      <w:r>
        <w:rPr>
          <w:rFonts w:hint="eastAsia"/>
          <w:sz w:val="24"/>
        </w:rPr>
        <w:t>□</w:t>
      </w:r>
      <w:r>
        <w:rPr>
          <w:sz w:val="24"/>
        </w:rPr>
        <w:t>有，具体规定为：____________________________</w:t>
      </w:r>
    </w:p>
    <w:p>
      <w:pPr>
        <w:tabs>
          <w:tab w:val="left" w:pos="1080"/>
          <w:tab w:val="left" w:pos="1589"/>
          <w:tab w:val="left" w:pos="2035"/>
          <w:tab w:val="left" w:pos="2114"/>
        </w:tabs>
        <w:snapToGrid w:val="0"/>
        <w:spacing w:line="360" w:lineRule="auto"/>
        <w:ind w:left="2035"/>
        <w:rPr>
          <w:sz w:val="24"/>
        </w:rPr>
      </w:pPr>
      <w:r>
        <w:rPr>
          <w:rFonts w:hint="eastAsia" w:ascii="宋体" w:hAnsi="宋体"/>
          <w:sz w:val="24"/>
        </w:rPr>
        <w:t>■</w:t>
      </w:r>
      <w:r>
        <w:rPr>
          <w:sz w:val="24"/>
        </w:rPr>
        <w:t>无，按下述3.2.2-3.2.5项规定修正。</w:t>
      </w:r>
    </w:p>
    <w:p>
      <w:pPr>
        <w:numPr>
          <w:ilvl w:val="2"/>
          <w:numId w:val="12"/>
        </w:numPr>
        <w:snapToGrid w:val="0"/>
        <w:spacing w:line="360" w:lineRule="auto"/>
        <w:rPr>
          <w:sz w:val="24"/>
        </w:rPr>
      </w:pPr>
      <w:r>
        <w:rPr>
          <w:sz w:val="24"/>
        </w:rPr>
        <w:t>大写金额和小写金额不一致的，以大写金额为准；</w:t>
      </w:r>
    </w:p>
    <w:p>
      <w:pPr>
        <w:numPr>
          <w:ilvl w:val="2"/>
          <w:numId w:val="12"/>
        </w:numPr>
        <w:snapToGrid w:val="0"/>
        <w:spacing w:line="360" w:lineRule="auto"/>
        <w:rPr>
          <w:sz w:val="24"/>
        </w:rPr>
      </w:pPr>
      <w:r>
        <w:rPr>
          <w:sz w:val="24"/>
        </w:rPr>
        <w:t>单价金额小数点或者百分比有明显错位的，以总价为准，并修改单价；</w:t>
      </w:r>
    </w:p>
    <w:p>
      <w:pPr>
        <w:numPr>
          <w:ilvl w:val="2"/>
          <w:numId w:val="12"/>
        </w:numPr>
        <w:snapToGrid w:val="0"/>
        <w:spacing w:line="360" w:lineRule="auto"/>
        <w:rPr>
          <w:sz w:val="24"/>
        </w:rPr>
      </w:pPr>
      <w:r>
        <w:rPr>
          <w:sz w:val="24"/>
        </w:rPr>
        <w:t>总价金额与按单价汇总金额不一致的，以单价金额计算结果为准。</w:t>
      </w:r>
    </w:p>
    <w:p>
      <w:pPr>
        <w:numPr>
          <w:ilvl w:val="2"/>
          <w:numId w:val="12"/>
        </w:numPr>
        <w:snapToGrid w:val="0"/>
        <w:spacing w:line="360" w:lineRule="auto"/>
        <w:rPr>
          <w:sz w:val="24"/>
        </w:rPr>
      </w:pPr>
      <w:r>
        <w:rPr>
          <w:sz w:val="24"/>
        </w:rPr>
        <w:t>同时出现两种以上不一致的，按照前款规定的顺序修正。修正后的报价经供应商书面确认后产生约束力，供应商不确认的，其</w:t>
      </w:r>
      <w:r>
        <w:rPr>
          <w:b/>
          <w:bCs/>
          <w:sz w:val="24"/>
        </w:rPr>
        <w:t>响应无效</w:t>
      </w:r>
      <w:r>
        <w:rPr>
          <w:sz w:val="24"/>
        </w:rPr>
        <w:t>。</w:t>
      </w:r>
    </w:p>
    <w:p>
      <w:pPr>
        <w:numPr>
          <w:ilvl w:val="1"/>
          <w:numId w:val="12"/>
        </w:numPr>
        <w:tabs>
          <w:tab w:val="left" w:pos="1080"/>
          <w:tab w:val="left" w:pos="2014"/>
        </w:tabs>
        <w:snapToGrid w:val="0"/>
        <w:spacing w:line="360" w:lineRule="auto"/>
        <w:ind w:left="1077" w:hanging="720"/>
        <w:rPr>
          <w:sz w:val="24"/>
        </w:rPr>
      </w:pPr>
      <w:r>
        <w:rPr>
          <w:sz w:val="24"/>
        </w:rPr>
        <w:t>落实政府采购政策的价格调整：只有符合第二章《供应商须知》3.2条规定情形的，可以享受中小企业扶持政策，用扣除后的价格参加评审；否则，评审时价格不予扣除。</w:t>
      </w:r>
    </w:p>
    <w:p>
      <w:pPr>
        <w:numPr>
          <w:ilvl w:val="2"/>
          <w:numId w:val="12"/>
        </w:numPr>
        <w:snapToGrid w:val="0"/>
        <w:spacing w:line="360" w:lineRule="auto"/>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%的扣除，用扣除后的价格参加评审。</w:t>
      </w:r>
    </w:p>
    <w:p>
      <w:pPr>
        <w:numPr>
          <w:ilvl w:val="2"/>
          <w:numId w:val="12"/>
        </w:numPr>
        <w:snapToGrid w:val="0"/>
        <w:spacing w:line="360" w:lineRule="auto"/>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u w:val="single"/>
        </w:rPr>
        <w:t>/</w:t>
      </w:r>
      <w:r>
        <w:rPr>
          <w:sz w:val="24"/>
        </w:rPr>
        <w:t>_%的扣除，用扣除后的价格参加评审。</w:t>
      </w:r>
    </w:p>
    <w:p>
      <w:pPr>
        <w:numPr>
          <w:ilvl w:val="2"/>
          <w:numId w:val="12"/>
        </w:numPr>
        <w:snapToGrid w:val="0"/>
        <w:spacing w:line="360" w:lineRule="auto"/>
        <w:rPr>
          <w:sz w:val="24"/>
        </w:rPr>
      </w:pPr>
      <w:r>
        <w:rPr>
          <w:sz w:val="24"/>
        </w:rPr>
        <w:t>组成联合体或者接受分包的小微企业与联合体内其他企业、分包企业之间存在直接控股、管理关系的，不享受价格扣除优惠政策。</w:t>
      </w:r>
    </w:p>
    <w:p>
      <w:pPr>
        <w:numPr>
          <w:ilvl w:val="2"/>
          <w:numId w:val="12"/>
        </w:numPr>
        <w:snapToGrid w:val="0"/>
        <w:spacing w:line="360" w:lineRule="auto"/>
        <w:rPr>
          <w:sz w:val="24"/>
        </w:rPr>
      </w:pPr>
      <w:r>
        <w:rPr>
          <w:sz w:val="24"/>
        </w:rPr>
        <w:t>价格扣除比例对小型企业和微型企业同等对待，不作区分。</w:t>
      </w:r>
    </w:p>
    <w:p>
      <w:pPr>
        <w:numPr>
          <w:ilvl w:val="2"/>
          <w:numId w:val="12"/>
        </w:numPr>
        <w:snapToGrid w:val="0"/>
        <w:spacing w:line="360" w:lineRule="auto"/>
        <w:rPr>
          <w:sz w:val="24"/>
        </w:rPr>
      </w:pPr>
      <w:r>
        <w:rPr>
          <w:sz w:val="24"/>
        </w:rPr>
        <w:t>中小企业参加政府采购活动，应当按照谈判文件给定的格式出具《中小企业声明函》，否则不得享受相关中小企业扶持政策。</w:t>
      </w:r>
    </w:p>
    <w:p>
      <w:pPr>
        <w:numPr>
          <w:ilvl w:val="2"/>
          <w:numId w:val="12"/>
        </w:numPr>
        <w:snapToGrid w:val="0"/>
        <w:spacing w:line="360" w:lineRule="auto"/>
        <w:rPr>
          <w:sz w:val="24"/>
        </w:rPr>
      </w:pPr>
      <w:r>
        <w:rPr>
          <w:sz w:val="24"/>
        </w:rPr>
        <w:t>监狱企业提供了由省级以上监狱管理局、戒毒管理局（含新疆生产建设兵团）出具的属于监狱企业的证明文件的，视同小微企业。</w:t>
      </w:r>
    </w:p>
    <w:p>
      <w:pPr>
        <w:numPr>
          <w:ilvl w:val="2"/>
          <w:numId w:val="12"/>
        </w:numPr>
        <w:snapToGrid w:val="0"/>
        <w:spacing w:line="360" w:lineRule="auto"/>
        <w:rPr>
          <w:sz w:val="24"/>
        </w:rPr>
      </w:pPr>
      <w:r>
        <w:rPr>
          <w:sz w:val="24"/>
        </w:rPr>
        <w:t>残疾人福利性单位按谈判文件要求提供了《残疾人福利性单位声明函》的，视同小微企业。</w:t>
      </w:r>
    </w:p>
    <w:p>
      <w:pPr>
        <w:numPr>
          <w:ilvl w:val="2"/>
          <w:numId w:val="12"/>
        </w:numPr>
        <w:snapToGrid w:val="0"/>
        <w:spacing w:line="360" w:lineRule="auto"/>
        <w:rPr>
          <w:sz w:val="24"/>
        </w:rPr>
      </w:pPr>
      <w:r>
        <w:rPr>
          <w:sz w:val="24"/>
        </w:rPr>
        <w:t>若供应商同时属于小型或微型企业、监狱企业、残疾人福利性单位中的两种及以上，将不重复享受小微企业价格扣减的优惠政策。</w:t>
      </w:r>
    </w:p>
    <w:p>
      <w:pPr>
        <w:numPr>
          <w:ilvl w:val="2"/>
          <w:numId w:val="12"/>
        </w:numPr>
        <w:snapToGrid w:val="0"/>
        <w:spacing w:line="360" w:lineRule="auto"/>
        <w:rPr>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u w:val="single"/>
        </w:rPr>
        <w:t xml:space="preserve"> / </w:t>
      </w:r>
      <w:r>
        <w:rPr>
          <w:rFonts w:eastAsiaTheme="minorEastAsia"/>
          <w:sz w:val="24"/>
        </w:rPr>
        <w:t>。</w:t>
      </w:r>
    </w:p>
    <w:p>
      <w:pPr>
        <w:numPr>
          <w:ilvl w:val="2"/>
          <w:numId w:val="12"/>
        </w:numPr>
        <w:snapToGrid w:val="0"/>
        <w:spacing w:line="360" w:lineRule="auto"/>
        <w:rPr>
          <w:sz w:val="24"/>
        </w:rPr>
      </w:pPr>
      <w:r>
        <w:rPr>
          <w:rFonts w:eastAsiaTheme="minorEastAsia"/>
          <w:sz w:val="24"/>
        </w:rPr>
        <w:t>关于无线局域网认证产品政府采购清单中的产品，优先采购的具体规定（如涉及）：</w:t>
      </w:r>
      <w:r>
        <w:rPr>
          <w:rFonts w:hint="eastAsia" w:eastAsiaTheme="minorEastAsia"/>
          <w:sz w:val="24"/>
          <w:u w:val="single"/>
        </w:rPr>
        <w:t xml:space="preserve"> / </w:t>
      </w:r>
      <w:r>
        <w:rPr>
          <w:rFonts w:eastAsiaTheme="minorEastAsia"/>
          <w:sz w:val="24"/>
        </w:rPr>
        <w:t>。</w:t>
      </w:r>
    </w:p>
    <w:p>
      <w:pPr>
        <w:numPr>
          <w:ilvl w:val="2"/>
          <w:numId w:val="12"/>
        </w:numPr>
        <w:snapToGrid w:val="0"/>
        <w:spacing w:line="360" w:lineRule="auto"/>
        <w:rPr>
          <w:sz w:val="24"/>
        </w:rPr>
      </w:pPr>
      <w:r>
        <w:rPr>
          <w:sz w:val="24"/>
        </w:rPr>
        <w:t>其他为落实政府采购政策实施的优先采购（如涉及）：___</w:t>
      </w:r>
      <w:r>
        <w:rPr>
          <w:rFonts w:hint="eastAsia" w:eastAsiaTheme="minorEastAsia"/>
          <w:sz w:val="24"/>
          <w:u w:val="single"/>
        </w:rPr>
        <w:t xml:space="preserve"> / </w:t>
      </w:r>
      <w:r>
        <w:rPr>
          <w:sz w:val="24"/>
        </w:rPr>
        <w:t>____。</w:t>
      </w:r>
    </w:p>
    <w:p>
      <w:pPr>
        <w:numPr>
          <w:ilvl w:val="0"/>
          <w:numId w:val="12"/>
        </w:numPr>
        <w:tabs>
          <w:tab w:val="left" w:pos="360"/>
        </w:tabs>
        <w:snapToGrid w:val="0"/>
        <w:spacing w:line="360" w:lineRule="auto"/>
        <w:outlineLvl w:val="1"/>
        <w:rPr>
          <w:sz w:val="24"/>
        </w:rPr>
      </w:pPr>
      <w:r>
        <w:rPr>
          <w:sz w:val="24"/>
        </w:rPr>
        <w:t>谈判环节及提交最后报价后如出现以下情况的，供应商的</w:t>
      </w:r>
      <w:r>
        <w:rPr>
          <w:b/>
          <w:bCs/>
          <w:sz w:val="24"/>
        </w:rPr>
        <w:t>响应文件无效</w:t>
      </w:r>
      <w:r>
        <w:rPr>
          <w:sz w:val="24"/>
        </w:rPr>
        <w:t>：</w:t>
      </w:r>
    </w:p>
    <w:p>
      <w:pPr>
        <w:numPr>
          <w:ilvl w:val="1"/>
          <w:numId w:val="12"/>
        </w:numPr>
        <w:tabs>
          <w:tab w:val="left" w:pos="1080"/>
          <w:tab w:val="left" w:pos="2014"/>
        </w:tabs>
        <w:snapToGrid w:val="0"/>
        <w:spacing w:line="360" w:lineRule="auto"/>
        <w:ind w:left="1077" w:hanging="720"/>
        <w:rPr>
          <w:sz w:val="24"/>
        </w:rPr>
      </w:pPr>
      <w:r>
        <w:rPr>
          <w:sz w:val="24"/>
        </w:rPr>
        <w:t>供应商对实质性变动不予确认的；</w:t>
      </w:r>
    </w:p>
    <w:p>
      <w:pPr>
        <w:numPr>
          <w:ilvl w:val="1"/>
          <w:numId w:val="12"/>
        </w:numPr>
        <w:tabs>
          <w:tab w:val="left" w:pos="1080"/>
          <w:tab w:val="left" w:pos="2014"/>
        </w:tabs>
        <w:snapToGrid w:val="0"/>
        <w:spacing w:line="360" w:lineRule="auto"/>
        <w:ind w:left="1077" w:hanging="720"/>
        <w:rPr>
          <w:sz w:val="24"/>
        </w:rPr>
      </w:pPr>
      <w:r>
        <w:rPr>
          <w:sz w:val="24"/>
        </w:rPr>
        <w:t>不满足谈判文件</w:t>
      </w:r>
      <w:r>
        <w:rPr>
          <w:rFonts w:ascii="Segoe UI Symbol" w:hAnsi="Segoe UI Symbol" w:cs="Segoe UI Symbol"/>
          <w:sz w:val="24"/>
        </w:rPr>
        <w:t>★</w:t>
      </w:r>
      <w:r>
        <w:rPr>
          <w:sz w:val="24"/>
        </w:rPr>
        <w:t>号条款或谈判文件技术指标超出谈判文件</w:t>
      </w:r>
      <w:r>
        <w:rPr>
          <w:rFonts w:eastAsiaTheme="minorEastAsia"/>
          <w:sz w:val="24"/>
        </w:rPr>
        <w:t>《采购需求》</w:t>
      </w:r>
      <w:r>
        <w:rPr>
          <w:sz w:val="24"/>
        </w:rPr>
        <w:t>中主要技术参数允许偏差的最大范围的（如有）；</w:t>
      </w:r>
    </w:p>
    <w:p>
      <w:pPr>
        <w:numPr>
          <w:ilvl w:val="1"/>
          <w:numId w:val="12"/>
        </w:numPr>
        <w:tabs>
          <w:tab w:val="left" w:pos="1080"/>
          <w:tab w:val="left" w:pos="2014"/>
        </w:tabs>
        <w:snapToGrid w:val="0"/>
        <w:spacing w:line="360" w:lineRule="auto"/>
        <w:ind w:left="1077" w:hanging="720"/>
        <w:rPr>
          <w:sz w:val="24"/>
        </w:rPr>
      </w:pPr>
      <w:r>
        <w:rPr>
          <w:sz w:val="24"/>
        </w:rPr>
        <w:t>未按照谈判小组规定的时间、逾期提交最后报价的；</w:t>
      </w:r>
    </w:p>
    <w:p>
      <w:pPr>
        <w:numPr>
          <w:ilvl w:val="1"/>
          <w:numId w:val="12"/>
        </w:numPr>
        <w:tabs>
          <w:tab w:val="left" w:pos="1080"/>
          <w:tab w:val="left" w:pos="2014"/>
        </w:tabs>
        <w:snapToGrid w:val="0"/>
        <w:spacing w:line="360" w:lineRule="auto"/>
        <w:ind w:left="1077" w:hanging="720"/>
        <w:rPr>
          <w:sz w:val="24"/>
        </w:rPr>
      </w:pPr>
      <w:r>
        <w:rPr>
          <w:sz w:val="24"/>
        </w:rPr>
        <w:t>如供应商的最后报价超过谈判文件中规定的项目/采购包预算金额或者项目/采购包最高限价的；</w:t>
      </w:r>
    </w:p>
    <w:p>
      <w:pPr>
        <w:numPr>
          <w:ilvl w:val="1"/>
          <w:numId w:val="12"/>
        </w:numPr>
        <w:tabs>
          <w:tab w:val="left" w:pos="1080"/>
          <w:tab w:val="left" w:pos="2014"/>
        </w:tabs>
        <w:snapToGrid w:val="0"/>
        <w:spacing w:line="360" w:lineRule="auto"/>
        <w:ind w:left="1077" w:hanging="720"/>
        <w:rPr>
          <w:sz w:val="24"/>
        </w:rPr>
      </w:pPr>
      <w:r>
        <w:rPr>
          <w:sz w:val="24"/>
        </w:rPr>
        <w:t>响应文件中出现可选择性或可调整的报价的（谈判文件另有规定的除外）；</w:t>
      </w:r>
    </w:p>
    <w:p>
      <w:pPr>
        <w:numPr>
          <w:ilvl w:val="1"/>
          <w:numId w:val="12"/>
        </w:numPr>
        <w:tabs>
          <w:tab w:val="left" w:pos="1080"/>
          <w:tab w:val="left" w:pos="2014"/>
        </w:tabs>
        <w:snapToGrid w:val="0"/>
        <w:spacing w:line="360" w:lineRule="auto"/>
        <w:ind w:left="1077" w:hanging="720"/>
        <w:rPr>
          <w:sz w:val="24"/>
        </w:rPr>
      </w:pPr>
      <w:r>
        <w:rPr>
          <w:sz w:val="24"/>
        </w:rPr>
        <w:t>最后报价出现前后不一致，供应商对修正后的报价不予确认的；</w:t>
      </w:r>
    </w:p>
    <w:p>
      <w:pPr>
        <w:numPr>
          <w:ilvl w:val="1"/>
          <w:numId w:val="12"/>
        </w:numPr>
        <w:tabs>
          <w:tab w:val="left" w:pos="1080"/>
          <w:tab w:val="left" w:pos="2014"/>
        </w:tabs>
        <w:snapToGrid w:val="0"/>
        <w:spacing w:line="360" w:lineRule="auto"/>
        <w:ind w:left="1077" w:hanging="720"/>
        <w:rPr>
          <w:sz w:val="24"/>
        </w:rPr>
      </w:pPr>
      <w:r>
        <w:rPr>
          <w:sz w:val="24"/>
        </w:rPr>
        <w:t>其他：</w:t>
      </w:r>
      <w:r>
        <w:rPr>
          <w:rFonts w:hint="eastAsia"/>
          <w:sz w:val="24"/>
        </w:rPr>
        <w:t>供应商有下列情形之一的，视为供应商串通</w:t>
      </w:r>
      <w:r>
        <w:rPr>
          <w:sz w:val="24"/>
        </w:rPr>
        <w:t>:</w:t>
      </w:r>
      <w:r>
        <w:rPr>
          <w:rFonts w:hint="eastAsia"/>
          <w:sz w:val="24"/>
        </w:rPr>
        <w:t>①不同供应商的响应文件由同一单位或者个人编制；②不同供应商委托同一单位或者个人办理参与谈判事宜；③不同供应商的响应文件载明的项目管理成员或者联系人员为同一人；④不同供应商的响应文件异常一致或者报价呈规律性差异；⑤不同供应商的响应文件相互混装；⑥不同供应商的谈判保证金从同一单位或者个人的账户转出。</w:t>
      </w:r>
      <w:r>
        <w:rPr>
          <w:sz w:val="24"/>
        </w:rPr>
        <w:t xml:space="preserve"> </w:t>
      </w:r>
    </w:p>
    <w:p>
      <w:pPr>
        <w:numPr>
          <w:ilvl w:val="0"/>
          <w:numId w:val="12"/>
        </w:numPr>
        <w:tabs>
          <w:tab w:val="left" w:pos="360"/>
        </w:tabs>
        <w:snapToGrid w:val="0"/>
        <w:spacing w:line="360" w:lineRule="auto"/>
        <w:outlineLvl w:val="1"/>
        <w:rPr>
          <w:sz w:val="24"/>
        </w:rPr>
      </w:pPr>
      <w:r>
        <w:rPr>
          <w:sz w:val="24"/>
        </w:rPr>
        <w:t>评定成交的标准与确定</w:t>
      </w:r>
      <w:bookmarkStart w:id="589" w:name="_Toc150774751"/>
      <w:bookmarkStart w:id="590" w:name="_Toc226965819"/>
      <w:bookmarkStart w:id="591" w:name="_Toc150774646"/>
      <w:bookmarkStart w:id="592" w:name="_Ref467307010"/>
      <w:bookmarkStart w:id="593" w:name="_Toc226309790"/>
      <w:bookmarkStart w:id="594" w:name="_Toc195842911"/>
      <w:bookmarkStart w:id="595" w:name="_Toc264969236"/>
      <w:bookmarkStart w:id="596" w:name="_Toc151193860"/>
      <w:bookmarkStart w:id="597" w:name="_Toc142311048"/>
      <w:bookmarkStart w:id="598" w:name="_Toc305158814"/>
      <w:bookmarkStart w:id="599" w:name="_Toc151193644"/>
      <w:bookmarkStart w:id="600" w:name="_Toc127151747"/>
      <w:bookmarkStart w:id="601" w:name="_Toc265228384"/>
      <w:bookmarkStart w:id="602" w:name="_Toc149720839"/>
      <w:bookmarkStart w:id="603" w:name="_Toc127161460"/>
      <w:bookmarkStart w:id="604" w:name="_Toc151193788"/>
      <w:bookmarkStart w:id="605" w:name="_Toc164229387"/>
      <w:bookmarkStart w:id="606" w:name="_Toc305158888"/>
      <w:bookmarkStart w:id="607" w:name="_Toc151193934"/>
      <w:bookmarkStart w:id="608" w:name="_Toc151190173"/>
      <w:bookmarkStart w:id="609" w:name="_Toc164351640"/>
      <w:bookmarkStart w:id="610" w:name="_Toc127151546"/>
      <w:bookmarkStart w:id="611" w:name="_Toc164229241"/>
      <w:bookmarkStart w:id="612" w:name="_Toc150480784"/>
      <w:bookmarkStart w:id="613" w:name="_Toc226965736"/>
      <w:bookmarkStart w:id="614" w:name="_Toc150509297"/>
      <w:bookmarkStart w:id="615" w:name="_Toc164608660"/>
      <w:bookmarkStart w:id="616" w:name="_Toc520356170"/>
      <w:bookmarkStart w:id="617" w:name="_Toc164608815"/>
      <w:bookmarkStart w:id="618" w:name="_Toc151193716"/>
      <w:bookmarkStart w:id="619" w:name="_Toc226337242"/>
      <w:r>
        <w:rPr>
          <w:sz w:val="24"/>
        </w:rPr>
        <w:t>成交候选人名单</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numPr>
          <w:ilvl w:val="1"/>
          <w:numId w:val="12"/>
        </w:numPr>
        <w:tabs>
          <w:tab w:val="left" w:pos="1080"/>
          <w:tab w:val="left" w:pos="2014"/>
        </w:tabs>
        <w:snapToGrid w:val="0"/>
        <w:spacing w:line="360" w:lineRule="auto"/>
        <w:ind w:left="1077" w:hanging="720"/>
        <w:rPr>
          <w:sz w:val="24"/>
        </w:rPr>
      </w:pPr>
      <w:r>
        <w:rPr>
          <w:sz w:val="24"/>
        </w:rPr>
        <w:t>谈判小组将从质量和服务均能满足谈判文件实质性响应要求的供应商中，按照最后报价（如有按本章节进行算术修正或政策调整的，以修正或调整后的最后报价计算）由低到高的顺序提出__</w:t>
      </w:r>
      <w:r>
        <w:rPr>
          <w:rFonts w:hint="eastAsia"/>
          <w:sz w:val="24"/>
          <w:u w:val="single"/>
        </w:rPr>
        <w:t>3</w:t>
      </w:r>
      <w:r>
        <w:rPr>
          <w:sz w:val="24"/>
          <w:u w:val="single"/>
        </w:rPr>
        <w:t>_</w:t>
      </w:r>
      <w:r>
        <w:rPr>
          <w:sz w:val="24"/>
        </w:rPr>
        <w:t>名成交候选人，并编写评审报告。</w:t>
      </w:r>
    </w:p>
    <w:p>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谈判小组要对评审结果进行复核，特别是对排名第一的、响应文件被认定为无效的情形进行重点复核。</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83"/>
    <w:p>
      <w:pPr>
        <w:numPr>
          <w:ilvl w:val="0"/>
          <w:numId w:val="12"/>
        </w:numPr>
        <w:tabs>
          <w:tab w:val="left" w:pos="360"/>
        </w:tabs>
        <w:snapToGrid w:val="0"/>
        <w:spacing w:line="360" w:lineRule="auto"/>
        <w:outlineLvl w:val="1"/>
        <w:rPr>
          <w:sz w:val="24"/>
        </w:rPr>
      </w:pPr>
      <w:bookmarkStart w:id="620" w:name="_Toc265228393"/>
      <w:bookmarkStart w:id="621" w:name="_Toc142311057"/>
      <w:bookmarkStart w:id="622" w:name="_Toc226965828"/>
      <w:bookmarkStart w:id="623" w:name="_Toc150480793"/>
      <w:bookmarkStart w:id="624" w:name="_Toc264969245"/>
      <w:bookmarkStart w:id="625" w:name="_Toc305158897"/>
      <w:bookmarkStart w:id="626" w:name="_Toc226337251"/>
      <w:bookmarkStart w:id="627" w:name="_Toc305158823"/>
      <w:bookmarkStart w:id="628" w:name="_Toc195842920"/>
      <w:bookmarkStart w:id="629" w:name="_Toc127151555"/>
      <w:bookmarkStart w:id="630" w:name="_Toc353825545"/>
      <w:bookmarkStart w:id="631" w:name="_Toc353873935"/>
      <w:bookmarkStart w:id="632" w:name="_Toc353873665"/>
      <w:bookmarkStart w:id="633" w:name="_Toc150774760"/>
      <w:r>
        <w:rPr>
          <w:sz w:val="24"/>
        </w:rPr>
        <w:t>报告违法行为</w:t>
      </w:r>
    </w:p>
    <w:p>
      <w:pPr>
        <w:numPr>
          <w:ilvl w:val="1"/>
          <w:numId w:val="12"/>
        </w:numPr>
        <w:tabs>
          <w:tab w:val="left" w:pos="1080"/>
          <w:tab w:val="left" w:pos="2014"/>
        </w:tabs>
        <w:snapToGrid w:val="0"/>
        <w:spacing w:line="360" w:lineRule="auto"/>
        <w:ind w:left="1077" w:hanging="720"/>
        <w:rPr>
          <w:sz w:val="24"/>
        </w:rPr>
      </w:pPr>
      <w:r>
        <w:rPr>
          <w:sz w:val="24"/>
        </w:rPr>
        <w:t>谈判小组在评审过程中发现供应商有行贿、提供虚假材料或者串通等违法行为时，有向采购人、采购代理机构或者有关部门报告的职责。</w:t>
      </w:r>
    </w:p>
    <w:p>
      <w:pPr>
        <w:rPr>
          <w:sz w:val="24"/>
        </w:rPr>
      </w:pPr>
    </w:p>
    <w:p>
      <w:pPr>
        <w:rPr>
          <w:sz w:val="24"/>
        </w:rPr>
      </w:pPr>
    </w:p>
    <w:p>
      <w:pPr>
        <w:spacing w:line="360" w:lineRule="auto"/>
        <w:jc w:val="center"/>
        <w:outlineLvl w:val="0"/>
        <w:rPr>
          <w:sz w:val="24"/>
        </w:rPr>
      </w:pPr>
      <w:r>
        <w:rPr>
          <w:b/>
          <w:sz w:val="36"/>
          <w:szCs w:val="36"/>
        </w:rPr>
        <w:br w:type="page"/>
      </w:r>
      <w:bookmarkStart w:id="634" w:name="_Toc99301376"/>
      <w:r>
        <w:rPr>
          <w:b/>
          <w:sz w:val="36"/>
          <w:szCs w:val="36"/>
        </w:rPr>
        <w:t>第四章   采购需求</w:t>
      </w:r>
      <w:bookmarkEnd w:id="634"/>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一、工程概况</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中国劳动关系学院涿州校区新增三台10千伏箱式变压器，项目总投资约848.46万元，主要包含高压柜、直流屏、变压器、低压柜、基础和外壳、电缆沟、电力井、低压电缆及其它设施设备和辅材等供货施工。</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★二、项目班子要求 </w:t>
      </w:r>
    </w:p>
    <w:p>
      <w:pPr>
        <w:widowControl/>
        <w:numPr>
          <w:ilvl w:val="0"/>
          <w:numId w:val="13"/>
        </w:numPr>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总监1名；专业监理工程师1名； </w:t>
      </w:r>
    </w:p>
    <w:p>
      <w:pPr>
        <w:widowControl/>
        <w:numPr>
          <w:ilvl w:val="0"/>
          <w:numId w:val="13"/>
        </w:numPr>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人员要求：</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（1）总监具有电力工程专业注册监理工程师执业资格（提供注册监理工程师注册执业证书）；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（2）专业监理工程师具有电力工程类相关专业注册执业资格或中级及以上专业技术职称（提供</w:t>
      </w:r>
      <w:r>
        <w:rPr>
          <w:rFonts w:hint="eastAsia" w:ascii="宋体" w:hAnsi="宋体" w:cs="宋体"/>
          <w:color w:val="000000"/>
          <w:kern w:val="0"/>
          <w:sz w:val="24"/>
          <w:highlight w:val="none"/>
          <w:lang w:bidi="ar"/>
        </w:rPr>
        <w:t>注册资格执业证书或职称证书）；投标人拟派驻本项目专业监理工程师需具有 2年及以上工程实践经验并经监理业务培训</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提供承诺函</w:t>
      </w:r>
      <w:r>
        <w:rPr>
          <w:rFonts w:hint="eastAsia" w:ascii="宋体" w:hAnsi="宋体" w:cs="宋体"/>
          <w:color w:val="000000"/>
          <w:kern w:val="0"/>
          <w:sz w:val="24"/>
          <w:highlight w:val="none"/>
          <w:lang w:eastAsia="zh-CN" w:bidi="ar"/>
        </w:rPr>
        <w:t>）；</w:t>
      </w:r>
    </w:p>
    <w:p>
      <w:pPr>
        <w:widowControl/>
        <w:spacing w:line="360" w:lineRule="auto"/>
        <w:ind w:firstLine="480" w:firstLineChars="200"/>
        <w:jc w:val="left"/>
        <w:rPr>
          <w:rFonts w:hint="default" w:ascii="宋体" w:hAnsi="宋体" w:cs="宋体"/>
          <w:color w:val="000000"/>
          <w:kern w:val="0"/>
          <w:sz w:val="24"/>
          <w:lang w:bidi="ar"/>
        </w:rPr>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供应商应保证拟派人员为单位正式员工，且依法缴纳社保</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提供承诺函</w:t>
      </w:r>
      <w:r>
        <w:rPr>
          <w:rFonts w:hint="eastAsia" w:ascii="宋体" w:hAnsi="宋体" w:cs="宋体"/>
          <w:color w:val="000000"/>
          <w:kern w:val="0"/>
          <w:sz w:val="24"/>
          <w:lang w:eastAsia="zh-CN" w:bidi="ar"/>
        </w:rPr>
        <w:t>）；</w:t>
      </w:r>
    </w:p>
    <w:p>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4</w:t>
      </w:r>
      <w:r>
        <w:rPr>
          <w:rFonts w:hint="eastAsia" w:ascii="宋体" w:hAnsi="宋体" w:cs="宋体"/>
          <w:color w:val="000000"/>
          <w:kern w:val="0"/>
          <w:sz w:val="24"/>
          <w:lang w:eastAsia="zh-CN" w:bidi="ar"/>
        </w:rPr>
        <w:t>）</w:t>
      </w:r>
      <w:r>
        <w:rPr>
          <w:rFonts w:hint="eastAsia" w:ascii="宋体" w:hAnsi="宋体" w:cs="宋体"/>
          <w:color w:val="000000"/>
          <w:kern w:val="0"/>
          <w:sz w:val="24"/>
          <w:highlight w:val="none"/>
          <w:lang w:val="en-US" w:eastAsia="zh-CN" w:bidi="ar"/>
        </w:rPr>
        <w:t>供应商拟派人员与项目执行过程中人员应为同一人。如因特殊情况，需要更换总监理工程师的，必须提前向采购人提出书面申请，经采购人书面同意后才能更换总监理工程师。更换后的监理工程师从业资质不得低于原监理工程师从业资质。</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提供承诺函</w:t>
      </w:r>
      <w:r>
        <w:rPr>
          <w:rFonts w:hint="eastAsia" w:ascii="宋体" w:hAnsi="宋体" w:cs="宋体"/>
          <w:color w:val="000000"/>
          <w:kern w:val="0"/>
          <w:sz w:val="24"/>
          <w:highlight w:val="none"/>
          <w:lang w:eastAsia="zh-CN" w:bidi="ar"/>
        </w:rPr>
        <w:t>）；</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三、 监理工作要求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1.监理工作须符合国家、地方关于监理工作相关要求。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2.监理必须在工程开工前两周内，提供监理规划、监理大纲、监理细则。监理必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须按采购人现场的要求对本工程项目的质量、进度、投资、安全文明施工管理、信息资料等方面进行全面监理。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3.监理每周需向采购人提供影像资料。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4.监理人员应熟悉施工规范和验收标准，掌握监理人员应具备的知识，熟悉本项 </w:t>
      </w:r>
    </w:p>
    <w:p>
      <w:pPr>
        <w:widowControl/>
        <w:spacing w:line="360" w:lineRule="auto"/>
        <w:ind w:firstLine="218" w:firstLineChars="91"/>
        <w:jc w:val="left"/>
        <w:rPr>
          <w:rFonts w:ascii="宋体" w:hAnsi="宋体" w:cs="宋体"/>
          <w:sz w:val="24"/>
        </w:rPr>
      </w:pPr>
      <w:r>
        <w:rPr>
          <w:rFonts w:hint="eastAsia" w:ascii="宋体" w:hAnsi="宋体" w:cs="宋体"/>
          <w:color w:val="000000"/>
          <w:kern w:val="0"/>
          <w:sz w:val="24"/>
          <w:lang w:bidi="ar"/>
        </w:rPr>
        <w:t xml:space="preserve">目的有关合同和图纸，熟悉工程实际施工情况，保持廉洁公正。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5.必须严格按照国家规范和标准、监理条例、合同条款，对本工程的施工质量进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行检查和验收，负责监督各施工单位按施工图、设计变更及采购人书面指令施工，每周例会前向采购人提交书面记录和报告。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6.按采购人要求进行关键工序检查验收、竣工验收和移交等。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7.监理应按照规范要求，组织相关施工单位定期对工程进行检查，发现问题及时 </w:t>
      </w:r>
    </w:p>
    <w:p>
      <w:pPr>
        <w:widowControl/>
        <w:spacing w:line="360" w:lineRule="auto"/>
        <w:ind w:firstLine="0" w:firstLineChars="0"/>
        <w:jc w:val="left"/>
        <w:rPr>
          <w:rFonts w:ascii="宋体" w:hAnsi="宋体" w:cs="宋体"/>
          <w:sz w:val="24"/>
        </w:rPr>
      </w:pPr>
      <w:r>
        <w:rPr>
          <w:rFonts w:hint="eastAsia" w:ascii="宋体" w:hAnsi="宋体" w:cs="宋体"/>
          <w:color w:val="000000"/>
          <w:kern w:val="0"/>
          <w:sz w:val="24"/>
          <w:lang w:bidi="ar"/>
        </w:rPr>
        <w:t xml:space="preserve">督促整改，并且做好每一处的检查和整改记录。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四、监理报价：本次监理工作地点为中国劳动关系学院涿州校区，供应商应充分考虑本项目的复杂性，在确保监理服务质量基础上，综合考虑交通、差旅、人员、设备、办公、通讯、运杂、资料等监理服务相关全部费用成本，按国家建设工程监理有关政策规定合理报价。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五、监理义务：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1.供应商作为监理方，有责任为采购方提供项目顾问咨询意见，有义务帮助采购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方实现合同所规定的目标，公正维护各方的合法权益。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2.供应商未征得采购方同意，不得泄露与本工程项目有关的资料。 </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3.由于承建方在工程实施中不符合工程规范和质量要求，监理方要监督承建单位 停工整改或返工。如承建方人员工作不力，可提出调换有关人员。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4.如果承建方违反合同规定的质量要求和完工时限，监理方应协助采购方追究有 关承建方的责任。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5.监理方使用采购方提供的设备和物品属采购方所有，在监理工作完成或终止时， 应将设备和剩余物品在合同规定的时间和方式移交给采购方。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六、 监理重点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1.审核和确认承建方的施工组织设计和实施方案；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2.审核和确认承建方的质量保证计划、质量控制体系；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3.审核和确认承建方的施工方案；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4.审核和确认承建方项目进度计划和进度控制节点；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5.审核、确认系统测试方案和结果，使得系统达到合同要求;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6.做好隐蔽工程控制与验收;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7.督促并确认承建方对项目技术文档、变更记录、各种测试报告、工程备忘录等 文档的移交验收；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8.对项目实施全程监督。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9.核查进场材料、设备、配件的原始凭证、检测报告等质量证明文件及其质量情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况，对进场材料、设备、构配件进行平行检验，合格时予以签认并出具相应监理报告；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10.项目验收，按照国家相关标准和验收规范协助</w:t>
      </w:r>
      <w:r>
        <w:rPr>
          <w:rFonts w:hint="eastAsia" w:ascii="宋体" w:hAnsi="宋体" w:cs="宋体"/>
          <w:color w:val="000000"/>
          <w:kern w:val="0"/>
          <w:sz w:val="24"/>
          <w:lang w:val="en-US" w:eastAsia="zh-CN" w:bidi="ar"/>
        </w:rPr>
        <w:t>采购</w:t>
      </w:r>
      <w:r>
        <w:rPr>
          <w:rFonts w:hint="eastAsia" w:ascii="宋体" w:hAnsi="宋体" w:cs="宋体"/>
          <w:color w:val="000000"/>
          <w:kern w:val="0"/>
          <w:sz w:val="24"/>
          <w:lang w:bidi="ar"/>
        </w:rPr>
        <w:t>人组织验收工作；</w:t>
      </w:r>
    </w:p>
    <w:p>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11.项目交付控制,督促各标段承建方形成系统运维管理规范并提交采购人单位。</w:t>
      </w:r>
    </w:p>
    <w:p>
      <w:pPr>
        <w:pStyle w:val="2"/>
        <w:spacing w:line="360" w:lineRule="auto"/>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七、项目实施地点：中国劳动关系学院涿州校区</w:t>
      </w:r>
    </w:p>
    <w:p>
      <w:pPr>
        <w:pStyle w:val="2"/>
        <w:spacing w:line="360" w:lineRule="auto"/>
        <w:rPr>
          <w:rFonts w:hint="default" w:eastAsia="宋体"/>
          <w:lang w:val="en-US" w:eastAsia="zh-CN"/>
        </w:rPr>
      </w:pPr>
      <w:r>
        <w:rPr>
          <w:rFonts w:hint="eastAsia" w:ascii="宋体" w:hAnsi="宋体" w:cs="宋体"/>
          <w:color w:val="000000"/>
          <w:kern w:val="0"/>
          <w:sz w:val="24"/>
          <w:lang w:val="en-US" w:eastAsia="zh-CN" w:bidi="ar"/>
        </w:rPr>
        <w:t>八、合同履行期限：</w:t>
      </w:r>
      <w:r>
        <w:rPr>
          <w:rFonts w:hint="eastAsia" w:ascii="宋体" w:hAnsi="Times New Roman" w:eastAsia="宋体" w:cs="Times New Roman"/>
          <w:kern w:val="2"/>
          <w:sz w:val="24"/>
          <w:szCs w:val="24"/>
          <w:lang w:val="en-US" w:eastAsia="zh-CN" w:bidi="ar-SA"/>
        </w:rPr>
        <w:t>至施工项目结算审计完毕</w:t>
      </w:r>
      <w:r>
        <w:rPr>
          <w:rFonts w:hint="eastAsia" w:ascii="宋体" w:cs="Times New Roman"/>
          <w:kern w:val="2"/>
          <w:sz w:val="24"/>
          <w:szCs w:val="24"/>
          <w:lang w:val="en-US" w:eastAsia="zh-CN" w:bidi="ar-SA"/>
        </w:rPr>
        <w:t>。</w:t>
      </w:r>
    </w:p>
    <w:p>
      <w:pPr>
        <w:spacing w:line="360" w:lineRule="auto"/>
        <w:jc w:val="center"/>
        <w:outlineLvl w:val="0"/>
        <w:rPr>
          <w:b/>
          <w:sz w:val="36"/>
          <w:szCs w:val="36"/>
        </w:rPr>
      </w:pPr>
      <w:r>
        <w:rPr>
          <w:rFonts w:hint="eastAsia" w:ascii="宋体" w:hAnsi="宋体" w:cs="宋体"/>
          <w:b/>
          <w:sz w:val="36"/>
          <w:szCs w:val="36"/>
        </w:rPr>
        <w:br w:type="page"/>
      </w:r>
      <w:bookmarkStart w:id="635" w:name="_Toc99301377"/>
      <w:r>
        <w:rPr>
          <w:b/>
          <w:sz w:val="36"/>
          <w:szCs w:val="36"/>
        </w:rPr>
        <w:t>第五章   合同草案条款</w:t>
      </w:r>
      <w:bookmarkEnd w:id="635"/>
    </w:p>
    <w:p>
      <w:pPr>
        <w:widowControl/>
        <w:jc w:val="left"/>
      </w:pPr>
      <w:bookmarkStart w:id="636" w:name="_Toc99301378"/>
    </w:p>
    <w:p>
      <w:pPr>
        <w:widowControl/>
        <w:jc w:val="left"/>
      </w:pPr>
      <w:r>
        <w:rPr>
          <w:rFonts w:hint="eastAsia" w:ascii="宋体" w:hAnsi="宋体" w:cs="宋体"/>
          <w:color w:val="000000"/>
          <w:kern w:val="0"/>
          <w:sz w:val="24"/>
          <w:lang w:bidi="ar"/>
        </w:rPr>
        <w:t xml:space="preserve">                                       </w:t>
      </w:r>
    </w:p>
    <w:p>
      <w:pPr>
        <w:widowControl/>
        <w:jc w:val="left"/>
      </w:pPr>
      <w:r>
        <w:rPr>
          <w:rFonts w:hint="eastAsia" w:ascii="宋体" w:hAnsi="宋体" w:cs="宋体"/>
          <w:color w:val="000000"/>
          <w:kern w:val="0"/>
          <w:sz w:val="24"/>
          <w:lang w:bidi="ar"/>
        </w:rPr>
        <w:t xml:space="preserve"> </w:t>
      </w:r>
    </w:p>
    <w:p>
      <w:pPr>
        <w:widowControl/>
        <w:jc w:val="left"/>
      </w:pPr>
      <w:r>
        <w:rPr>
          <w:rFonts w:hint="eastAsia" w:ascii="宋体" w:hAnsi="宋体" w:cs="宋体"/>
          <w:color w:val="000000"/>
          <w:kern w:val="0"/>
          <w:sz w:val="24"/>
          <w:lang w:bidi="ar"/>
        </w:rPr>
        <w:t xml:space="preserve"> </w:t>
      </w:r>
    </w:p>
    <w:p>
      <w:pPr>
        <w:widowControl/>
        <w:jc w:val="left"/>
      </w:pPr>
    </w:p>
    <w:p>
      <w:pPr>
        <w:ind w:firstLine="0"/>
        <w:jc w:val="both"/>
        <w:rPr>
          <w:rFonts w:hint="eastAsia" w:ascii="宋体" w:hAnsi="宋体" w:eastAsia="宋体" w:cs="宋体"/>
          <w:bCs/>
          <w:color w:val="000000"/>
          <w:sz w:val="32"/>
          <w:szCs w:val="32"/>
          <w:lang w:eastAsia="zh-CN"/>
        </w:rPr>
      </w:pPr>
      <w:r>
        <w:rPr>
          <w:rFonts w:hint="eastAsia" w:ascii="宋体" w:hAnsi="宋体" w:cs="宋体"/>
          <w:color w:val="000000"/>
          <w:kern w:val="0"/>
          <w:sz w:val="24"/>
          <w:lang w:bidi="ar"/>
        </w:rPr>
        <w:br w:type="page"/>
      </w:r>
      <w:r>
        <w:rPr>
          <w:rFonts w:hint="eastAsia" w:ascii="宋体" w:hAnsi="宋体" w:eastAsia="宋体" w:cs="宋体"/>
          <w:bCs/>
          <w:color w:val="000000"/>
          <w:sz w:val="32"/>
          <w:szCs w:val="32"/>
          <w:lang w:eastAsia="zh-CN"/>
        </w:rPr>
        <w:t>BF——2014——0206</w:t>
      </w:r>
    </w:p>
    <w:p>
      <w:pPr>
        <w:ind w:firstLine="357"/>
        <w:jc w:val="center"/>
        <w:rPr>
          <w:rFonts w:hint="eastAsia" w:ascii="宋体" w:hAnsi="宋体" w:eastAsia="宋体" w:cs="宋体"/>
          <w:b/>
          <w:bCs/>
          <w:color w:val="000000"/>
          <w:sz w:val="32"/>
          <w:szCs w:val="32"/>
          <w:lang w:eastAsia="zh-CN"/>
        </w:rPr>
      </w:pPr>
    </w:p>
    <w:p>
      <w:pPr>
        <w:ind w:firstLine="357"/>
        <w:jc w:val="center"/>
        <w:rPr>
          <w:rFonts w:hint="eastAsia" w:ascii="宋体" w:hAnsi="宋体" w:eastAsia="宋体" w:cs="宋体"/>
          <w:b/>
          <w:bCs/>
          <w:color w:val="000000"/>
          <w:sz w:val="32"/>
          <w:szCs w:val="32"/>
          <w:lang w:eastAsia="zh-CN"/>
        </w:rPr>
      </w:pPr>
    </w:p>
    <w:p>
      <w:pPr>
        <w:ind w:firstLine="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北京市建设工程监理合同</w:t>
      </w:r>
    </w:p>
    <w:p>
      <w:pPr>
        <w:ind w:firstLine="357"/>
        <w:jc w:val="center"/>
        <w:rPr>
          <w:rFonts w:hint="eastAsia" w:ascii="宋体" w:hAnsi="宋体" w:eastAsia="宋体" w:cs="宋体"/>
          <w:bCs/>
          <w:color w:val="000000"/>
          <w:sz w:val="32"/>
          <w:szCs w:val="32"/>
          <w:lang w:eastAsia="zh-CN"/>
        </w:rPr>
      </w:pPr>
    </w:p>
    <w:p>
      <w:pPr>
        <w:ind w:firstLine="357"/>
        <w:jc w:val="center"/>
        <w:rPr>
          <w:rFonts w:hint="eastAsia" w:ascii="宋体" w:hAnsi="宋体" w:eastAsia="宋体" w:cs="宋体"/>
          <w:b/>
          <w:bCs/>
          <w:color w:val="000000"/>
          <w:sz w:val="32"/>
          <w:szCs w:val="32"/>
          <w:lang w:eastAsia="zh-CN"/>
        </w:rPr>
      </w:pPr>
    </w:p>
    <w:p>
      <w:pPr>
        <w:ind w:firstLine="357"/>
        <w:jc w:val="center"/>
        <w:rPr>
          <w:rFonts w:hint="eastAsia" w:ascii="宋体" w:hAnsi="宋体" w:eastAsia="宋体" w:cs="宋体"/>
          <w:b/>
          <w:bCs/>
          <w:color w:val="000000"/>
          <w:sz w:val="32"/>
          <w:szCs w:val="32"/>
          <w:lang w:eastAsia="zh-CN"/>
        </w:rPr>
      </w:pPr>
    </w:p>
    <w:tbl>
      <w:tblPr>
        <w:tblStyle w:val="43"/>
        <w:tblW w:w="9489" w:type="dxa"/>
        <w:jc w:val="center"/>
        <w:tblLayout w:type="fixed"/>
        <w:tblCellMar>
          <w:top w:w="0" w:type="dxa"/>
          <w:left w:w="108" w:type="dxa"/>
          <w:bottom w:w="0" w:type="dxa"/>
          <w:right w:w="108" w:type="dxa"/>
        </w:tblCellMar>
      </w:tblPr>
      <w:tblGrid>
        <w:gridCol w:w="1919"/>
        <w:gridCol w:w="516"/>
        <w:gridCol w:w="7054"/>
      </w:tblGrid>
      <w:tr>
        <w:tblPrEx>
          <w:tblCellMar>
            <w:top w:w="0" w:type="dxa"/>
            <w:left w:w="108" w:type="dxa"/>
            <w:bottom w:w="0" w:type="dxa"/>
            <w:right w:w="108" w:type="dxa"/>
          </w:tblCellMar>
        </w:tblPrEx>
        <w:trPr>
          <w:trHeight w:val="997" w:hRule="atLeast"/>
          <w:jc w:val="center"/>
        </w:trPr>
        <w:tc>
          <w:tcPr>
            <w:tcW w:w="1919" w:type="dxa"/>
            <w:noWrap w:val="0"/>
            <w:vAlign w:val="bottom"/>
          </w:tcPr>
          <w:p>
            <w:pPr>
              <w:ind w:firstLine="0"/>
              <w:jc w:val="distribut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委托人</w:t>
            </w:r>
          </w:p>
        </w:tc>
        <w:tc>
          <w:tcPr>
            <w:tcW w:w="516" w:type="dxa"/>
            <w:noWrap w:val="0"/>
            <w:vAlign w:val="bottom"/>
          </w:tcPr>
          <w:p>
            <w:pPr>
              <w:ind w:firstLine="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w:t>
            </w:r>
          </w:p>
        </w:tc>
        <w:tc>
          <w:tcPr>
            <w:tcW w:w="7054" w:type="dxa"/>
            <w:tcBorders>
              <w:bottom w:val="single" w:color="auto" w:sz="4" w:space="0"/>
            </w:tcBorders>
            <w:noWrap w:val="0"/>
            <w:vAlign w:val="bottom"/>
          </w:tcPr>
          <w:p>
            <w:pPr>
              <w:ind w:firstLine="0"/>
              <w:jc w:val="center"/>
              <w:rPr>
                <w:rFonts w:hint="eastAsia" w:ascii="宋体" w:hAnsi="宋体" w:eastAsia="宋体" w:cs="宋体"/>
                <w:b/>
                <w:bCs/>
                <w:color w:val="000000"/>
                <w:sz w:val="32"/>
                <w:szCs w:val="32"/>
                <w:lang w:eastAsia="zh-CN"/>
              </w:rPr>
            </w:pPr>
            <w:r>
              <w:rPr>
                <w:rFonts w:hint="eastAsia" w:ascii="宋体" w:hAnsi="宋体" w:eastAsia="宋体" w:cs="宋体"/>
                <w:b/>
                <w:bCs/>
                <w:sz w:val="32"/>
                <w:szCs w:val="32"/>
                <w:lang w:eastAsia="zh-CN"/>
              </w:rPr>
              <w:t xml:space="preserve"> 中国劳动关系学院</w:t>
            </w:r>
          </w:p>
        </w:tc>
      </w:tr>
      <w:tr>
        <w:tblPrEx>
          <w:tblCellMar>
            <w:top w:w="0" w:type="dxa"/>
            <w:left w:w="108" w:type="dxa"/>
            <w:bottom w:w="0" w:type="dxa"/>
            <w:right w:w="108" w:type="dxa"/>
          </w:tblCellMar>
        </w:tblPrEx>
        <w:trPr>
          <w:trHeight w:val="997" w:hRule="atLeast"/>
          <w:jc w:val="center"/>
        </w:trPr>
        <w:tc>
          <w:tcPr>
            <w:tcW w:w="1919" w:type="dxa"/>
            <w:noWrap w:val="0"/>
            <w:vAlign w:val="bottom"/>
          </w:tcPr>
          <w:p>
            <w:pPr>
              <w:ind w:firstLine="0"/>
              <w:jc w:val="distribut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监理人</w:t>
            </w:r>
          </w:p>
        </w:tc>
        <w:tc>
          <w:tcPr>
            <w:tcW w:w="516" w:type="dxa"/>
            <w:noWrap w:val="0"/>
            <w:vAlign w:val="bottom"/>
          </w:tcPr>
          <w:p>
            <w:pPr>
              <w:ind w:firstLine="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w:t>
            </w:r>
          </w:p>
        </w:tc>
        <w:tc>
          <w:tcPr>
            <w:tcW w:w="7054" w:type="dxa"/>
            <w:tcBorders>
              <w:top w:val="single" w:color="auto" w:sz="4" w:space="0"/>
              <w:bottom w:val="single" w:color="auto" w:sz="4" w:space="0"/>
            </w:tcBorders>
            <w:noWrap w:val="0"/>
            <w:vAlign w:val="bottom"/>
          </w:tcPr>
          <w:p>
            <w:pPr>
              <w:ind w:firstLine="0"/>
              <w:jc w:val="center"/>
              <w:rPr>
                <w:rFonts w:hint="eastAsia" w:ascii="宋体" w:hAnsi="宋体" w:eastAsia="宋体" w:cs="宋体"/>
                <w:b/>
                <w:bCs/>
                <w:color w:val="000000"/>
                <w:sz w:val="32"/>
                <w:szCs w:val="32"/>
                <w:lang w:eastAsia="zh-CN"/>
              </w:rPr>
            </w:pPr>
          </w:p>
        </w:tc>
      </w:tr>
      <w:tr>
        <w:tblPrEx>
          <w:tblCellMar>
            <w:top w:w="0" w:type="dxa"/>
            <w:left w:w="108" w:type="dxa"/>
            <w:bottom w:w="0" w:type="dxa"/>
            <w:right w:w="108" w:type="dxa"/>
          </w:tblCellMar>
        </w:tblPrEx>
        <w:trPr>
          <w:trHeight w:val="997" w:hRule="atLeast"/>
          <w:jc w:val="center"/>
        </w:trPr>
        <w:tc>
          <w:tcPr>
            <w:tcW w:w="1919" w:type="dxa"/>
            <w:noWrap w:val="0"/>
            <w:vAlign w:val="bottom"/>
          </w:tcPr>
          <w:p>
            <w:pPr>
              <w:ind w:firstLine="0"/>
              <w:jc w:val="distribut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项目名称</w:t>
            </w:r>
          </w:p>
        </w:tc>
        <w:tc>
          <w:tcPr>
            <w:tcW w:w="516" w:type="dxa"/>
            <w:noWrap w:val="0"/>
            <w:vAlign w:val="bottom"/>
          </w:tcPr>
          <w:p>
            <w:pPr>
              <w:ind w:firstLine="0"/>
              <w:jc w:val="distribut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w:t>
            </w:r>
          </w:p>
        </w:tc>
        <w:tc>
          <w:tcPr>
            <w:tcW w:w="7054" w:type="dxa"/>
            <w:tcBorders>
              <w:top w:val="single" w:color="auto" w:sz="4" w:space="0"/>
              <w:bottom w:val="single" w:color="auto" w:sz="4" w:space="0"/>
            </w:tcBorders>
            <w:noWrap w:val="0"/>
            <w:vAlign w:val="bottom"/>
          </w:tcPr>
          <w:p>
            <w:pPr>
              <w:ind w:firstLine="321" w:firstLineChars="100"/>
              <w:jc w:val="center"/>
              <w:rPr>
                <w:rFonts w:hint="eastAsia" w:ascii="宋体" w:hAnsi="宋体" w:eastAsia="宋体" w:cs="宋体"/>
                <w:b/>
                <w:bCs/>
                <w:color w:val="000000"/>
                <w:sz w:val="32"/>
                <w:szCs w:val="32"/>
                <w:lang w:eastAsia="zh-CN"/>
              </w:rPr>
            </w:pPr>
          </w:p>
        </w:tc>
      </w:tr>
      <w:tr>
        <w:tblPrEx>
          <w:tblCellMar>
            <w:top w:w="0" w:type="dxa"/>
            <w:left w:w="108" w:type="dxa"/>
            <w:bottom w:w="0" w:type="dxa"/>
            <w:right w:w="108" w:type="dxa"/>
          </w:tblCellMar>
        </w:tblPrEx>
        <w:trPr>
          <w:trHeight w:val="997" w:hRule="atLeast"/>
          <w:jc w:val="center"/>
        </w:trPr>
        <w:tc>
          <w:tcPr>
            <w:tcW w:w="1919" w:type="dxa"/>
            <w:noWrap w:val="0"/>
            <w:vAlign w:val="bottom"/>
          </w:tcPr>
          <w:p>
            <w:pPr>
              <w:ind w:firstLine="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合同编号</w:t>
            </w:r>
          </w:p>
        </w:tc>
        <w:tc>
          <w:tcPr>
            <w:tcW w:w="516" w:type="dxa"/>
            <w:noWrap w:val="0"/>
            <w:vAlign w:val="bottom"/>
          </w:tcPr>
          <w:p>
            <w:pPr>
              <w:ind w:firstLine="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w:t>
            </w:r>
          </w:p>
        </w:tc>
        <w:tc>
          <w:tcPr>
            <w:tcW w:w="7054" w:type="dxa"/>
            <w:tcBorders>
              <w:top w:val="single" w:color="auto" w:sz="4" w:space="0"/>
              <w:bottom w:val="single" w:color="auto" w:sz="4" w:space="0"/>
            </w:tcBorders>
            <w:noWrap w:val="0"/>
            <w:vAlign w:val="bottom"/>
          </w:tcPr>
          <w:p>
            <w:pPr>
              <w:ind w:firstLine="0"/>
              <w:jc w:val="center"/>
              <w:rPr>
                <w:rFonts w:hint="eastAsia" w:ascii="宋体" w:hAnsi="宋体" w:eastAsia="宋体" w:cs="宋体"/>
                <w:b/>
                <w:bCs/>
                <w:color w:val="000000"/>
                <w:sz w:val="32"/>
                <w:szCs w:val="32"/>
                <w:lang w:eastAsia="zh-CN"/>
              </w:rPr>
            </w:pPr>
          </w:p>
        </w:tc>
      </w:tr>
    </w:tbl>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ind w:right="1804" w:rightChars="859" w:firstLine="1439" w:firstLineChars="448"/>
        <w:jc w:val="distribute"/>
        <w:rPr>
          <w:rFonts w:hint="eastAsia" w:ascii="宋体" w:hAnsi="宋体" w:eastAsia="宋体" w:cs="宋体"/>
          <w:b/>
          <w:bCs/>
          <w:color w:val="000000"/>
          <w:sz w:val="32"/>
          <w:szCs w:val="32"/>
          <w:lang w:eastAsia="zh-CN"/>
        </w:rPr>
      </w:pPr>
    </w:p>
    <w:p>
      <w:pPr>
        <w:ind w:right="1804" w:rightChars="859" w:firstLine="1439" w:firstLineChars="448"/>
        <w:jc w:val="distribute"/>
        <w:rPr>
          <w:rFonts w:hint="eastAsia" w:ascii="宋体" w:hAnsi="宋体" w:eastAsia="宋体" w:cs="宋体"/>
          <w:b/>
          <w:bCs/>
          <w:color w:val="000000"/>
          <w:sz w:val="32"/>
          <w:szCs w:val="32"/>
          <w:lang w:eastAsia="zh-CN"/>
        </w:rPr>
      </w:pPr>
    </w:p>
    <w:p>
      <w:pPr>
        <w:ind w:right="1804" w:rightChars="859" w:firstLine="1439" w:firstLineChars="448"/>
        <w:jc w:val="distribut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北京市住房和城乡建设委员会</w:t>
      </w:r>
    </w:p>
    <w:p>
      <w:pPr>
        <w:ind w:right="1804" w:rightChars="859" w:firstLine="1439" w:firstLineChars="448"/>
        <w:jc w:val="distribut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北京市工商行政管理局</w:t>
      </w:r>
    </w:p>
    <w:p>
      <w:pPr>
        <w:ind w:right="1804" w:rightChars="859" w:firstLine="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 xml:space="preserve">          二○一四年四月  制定</w:t>
      </w:r>
    </w:p>
    <w:p>
      <w:pPr>
        <w:rPr>
          <w:rFonts w:ascii="宋体" w:hAnsi="宋体" w:cs="宋体"/>
          <w:color w:val="000000"/>
          <w:kern w:val="0"/>
          <w:sz w:val="24"/>
          <w:lang w:bidi="ar"/>
        </w:rPr>
      </w:pPr>
    </w:p>
    <w:p>
      <w:pPr>
        <w:widowControl/>
        <w:jc w:val="left"/>
        <w:rPr>
          <w:rFonts w:ascii="宋体" w:hAnsi="宋体" w:cs="宋体"/>
          <w:color w:val="000000"/>
          <w:kern w:val="0"/>
          <w:sz w:val="24"/>
          <w:lang w:bidi="ar"/>
        </w:rPr>
      </w:pPr>
    </w:p>
    <w:p>
      <w:pPr>
        <w:rPr>
          <w:b/>
          <w:sz w:val="36"/>
          <w:szCs w:val="36"/>
        </w:rPr>
      </w:pPr>
      <w:r>
        <w:rPr>
          <w:b/>
          <w:sz w:val="36"/>
          <w:szCs w:val="36"/>
        </w:rPr>
        <w:br w:type="page"/>
      </w:r>
    </w:p>
    <w:p>
      <w:pPr>
        <w:pageBreakBefore/>
        <w:spacing w:line="360" w:lineRule="auto"/>
        <w:ind w:firstLine="357"/>
        <w:jc w:val="center"/>
        <w:outlineLvl w:val="0"/>
        <w:rPr>
          <w:rFonts w:ascii="Times New Roman" w:hAnsi="Times New Roman"/>
          <w:b/>
          <w:bCs/>
          <w:color w:val="000000"/>
          <w:sz w:val="32"/>
          <w:szCs w:val="32"/>
          <w:lang w:eastAsia="zh-CN"/>
        </w:rPr>
      </w:pPr>
      <w:r>
        <w:rPr>
          <w:rFonts w:ascii="Times New Roman" w:hAnsi="Times New Roman"/>
          <w:b/>
          <w:bCs/>
          <w:color w:val="000000"/>
          <w:sz w:val="32"/>
          <w:szCs w:val="32"/>
          <w:lang w:eastAsia="zh-CN"/>
        </w:rPr>
        <w:t>第一部分  合同协议书</w:t>
      </w:r>
    </w:p>
    <w:p>
      <w:pPr>
        <w:adjustRightInd w:val="0"/>
        <w:snapToGrid w:val="0"/>
        <w:spacing w:line="360" w:lineRule="auto"/>
        <w:ind w:firstLine="325" w:firstLineChars="250"/>
        <w:rPr>
          <w:rFonts w:ascii="Times New Roman" w:hAnsi="Times New Roman"/>
          <w:color w:val="000000"/>
          <w:sz w:val="13"/>
          <w:szCs w:val="13"/>
          <w:lang w:eastAsia="zh-CN"/>
        </w:rPr>
      </w:pPr>
    </w:p>
    <w:p>
      <w:pPr>
        <w:adjustRightInd w:val="0"/>
        <w:snapToGrid w:val="0"/>
        <w:spacing w:line="360" w:lineRule="auto"/>
        <w:ind w:left="210" w:leftChars="100" w:firstLine="259" w:firstLineChars="108"/>
        <w:rPr>
          <w:rFonts w:hint="eastAsia" w:ascii="宋体" w:hAnsi="宋体" w:eastAsia="宋体" w:cs="宋体"/>
          <w:b/>
          <w:bCs/>
          <w:sz w:val="24"/>
          <w:szCs w:val="24"/>
          <w:u w:val="single"/>
          <w:lang w:eastAsia="zh-CN"/>
        </w:rPr>
      </w:pPr>
      <w:r>
        <w:rPr>
          <w:rFonts w:hint="eastAsia" w:ascii="宋体" w:hAnsi="宋体" w:eastAsia="宋体" w:cs="宋体"/>
          <w:color w:val="000000"/>
          <w:sz w:val="24"/>
          <w:szCs w:val="24"/>
          <w:lang w:eastAsia="zh-CN"/>
        </w:rPr>
        <w:t>委托人（全称）：</w:t>
      </w:r>
      <w:r>
        <w:rPr>
          <w:rFonts w:hint="eastAsia" w:ascii="宋体" w:hAnsi="宋体" w:eastAsia="宋体" w:cs="宋体"/>
          <w:b/>
          <w:bCs/>
          <w:sz w:val="24"/>
          <w:szCs w:val="24"/>
          <w:u w:val="single"/>
          <w:lang w:eastAsia="zh-CN"/>
        </w:rPr>
        <w:t xml:space="preserve">中国劳动关系学院                </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监理人（全称）：</w:t>
      </w:r>
    </w:p>
    <w:p>
      <w:pPr>
        <w:adjustRightInd w:val="0"/>
        <w:snapToGrid w:val="0"/>
        <w:spacing w:line="360" w:lineRule="auto"/>
        <w:ind w:firstLine="480" w:firstLineChars="200"/>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根据《中华人民共和国民法典》、《中华人民共和国建筑法》及其他有关法律、法规，遵循平等、自愿、公平和诚实信用原则，双方就下述工程委托监理与相关服务事项协商一致，订立本合同。</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一、工程概况</w:t>
      </w:r>
    </w:p>
    <w:p>
      <w:pPr>
        <w:adjustRightInd w:val="0"/>
        <w:snapToGrid w:val="0"/>
        <w:spacing w:line="360" w:lineRule="auto"/>
        <w:ind w:firstLine="540" w:firstLineChars="225"/>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1. 工程名称：</w:t>
      </w:r>
      <w:r>
        <w:rPr>
          <w:rFonts w:hint="eastAsia" w:ascii="宋体" w:hAnsi="宋体" w:eastAsia="宋体" w:cs="宋体"/>
          <w:bCs/>
          <w:sz w:val="24"/>
          <w:szCs w:val="24"/>
          <w:u w:val="single"/>
          <w:lang w:eastAsia="zh-CN"/>
        </w:rPr>
        <w:t xml:space="preserve">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工程地点：</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工程规模及范围：</w:t>
      </w:r>
      <w:r>
        <w:rPr>
          <w:rFonts w:hint="eastAsia" w:ascii="宋体" w:hAnsi="宋体" w:eastAsia="宋体" w:cs="宋体"/>
          <w:color w:val="000000"/>
          <w:sz w:val="24"/>
          <w:szCs w:val="24"/>
          <w:u w:val="single"/>
          <w:lang w:eastAsia="zh-CN"/>
        </w:rPr>
        <w:t xml:space="preserve">甲方指定的施工范围及图纸所示施工内容监理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 建筑安装工程费：</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二、词语定义</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合同协议书中相关词语的含义与合同通用条款中的定义与解释相同。</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三、组成合同的文件</w:t>
      </w:r>
    </w:p>
    <w:p>
      <w:pPr>
        <w:adjustRightInd w:val="0"/>
        <w:snapToGrid w:val="0"/>
        <w:spacing w:line="360" w:lineRule="auto"/>
        <w:ind w:firstLine="540" w:firstLineChars="225"/>
        <w:rPr>
          <w:rFonts w:hint="eastAsia" w:ascii="宋体" w:hAnsi="宋体" w:eastAsia="宋体" w:cs="宋体"/>
          <w:b/>
          <w:color w:val="000000"/>
          <w:sz w:val="24"/>
          <w:szCs w:val="24"/>
          <w:lang w:eastAsia="zh-CN"/>
        </w:rPr>
      </w:pPr>
      <w:r>
        <w:rPr>
          <w:rFonts w:hint="eastAsia" w:ascii="宋体" w:hAnsi="宋体" w:eastAsia="宋体" w:cs="宋体"/>
          <w:sz w:val="24"/>
          <w:szCs w:val="24"/>
          <w:lang w:eastAsia="zh-CN"/>
        </w:rPr>
        <w:t>1. 合同协议书；</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2. 中标通知书；</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3. 投标函及投标函附录；</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4. 投标文件中的拟投入监理与相关服务人员、设备计划、监理大纲及相关服务方案；</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5. 合同专用条款；</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6. 合同通用条款；</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7. 本工程适用的监理与相关服务有关的规范、规程，及其他合同文件。</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合同签订后，双方依法签订的补充协议也是合同文件的组成部分，与本合同发生冲突时，以补充协议为准。</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四、总监理工程师</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总监理工程师姓名：</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，身份证号码：</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，注册号：</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，联系电话：</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五、签约酬金与补偿费用</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 签约酬金（大写）：</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包括：</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监理酬金：</w:t>
      </w:r>
      <w:r>
        <w:rPr>
          <w:rFonts w:hint="eastAsia" w:ascii="宋体" w:hAnsi="宋体" w:eastAsia="宋体" w:cs="宋体"/>
          <w:color w:val="000000"/>
          <w:sz w:val="24"/>
          <w:szCs w:val="24"/>
          <w:u w:val="single"/>
          <w:lang w:eastAsia="zh-CN"/>
        </w:rPr>
        <w:t xml:space="preserve"> 元 。</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相关服务酬金：</w:t>
      </w:r>
      <w:r>
        <w:rPr>
          <w:rFonts w:hint="eastAsia" w:ascii="宋体" w:hAnsi="宋体" w:eastAsia="宋体" w:cs="宋体"/>
          <w:sz w:val="24"/>
          <w:szCs w:val="24"/>
          <w:u w:val="single"/>
          <w:lang w:eastAsia="zh-CN"/>
        </w:rPr>
        <w:t>根据国家相关规定与委托人另行协商</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其中：</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（1）保修期服务酬金：</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（2）其他相关服务酬金：</w:t>
      </w:r>
      <w:r>
        <w:rPr>
          <w:rFonts w:hint="eastAsia" w:ascii="宋体" w:hAnsi="宋体" w:eastAsia="宋体" w:cs="宋体"/>
          <w:color w:val="000000"/>
          <w:sz w:val="24"/>
          <w:szCs w:val="24"/>
          <w:u w:val="single"/>
          <w:lang w:eastAsia="zh-CN"/>
        </w:rPr>
        <w:t xml:space="preserve">根据国家相关规定与委托人另行协商 </w:t>
      </w:r>
      <w:r>
        <w:rPr>
          <w:rFonts w:hint="eastAsia" w:ascii="宋体" w:hAnsi="宋体" w:eastAsia="宋体" w:cs="宋体"/>
          <w:color w:val="000000"/>
          <w:sz w:val="24"/>
          <w:szCs w:val="24"/>
          <w:lang w:eastAsia="zh-CN"/>
        </w:rPr>
        <w:t>。</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 委托人不提供或部分提供相应的人员、房屋、资料、设备、设施时的补偿费用（大写）：</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元（</w:t>
      </w:r>
      <w:r>
        <w:rPr>
          <w:rFonts w:hint="eastAsia" w:ascii="宋体" w:hAnsi="宋体" w:eastAsia="宋体" w:cs="宋体"/>
          <w:sz w:val="24"/>
          <w:szCs w:val="24"/>
          <w:lang w:eastAsia="zh-CN"/>
        </w:rPr>
        <w:t>¥</w:t>
      </w:r>
      <w:r>
        <w:rPr>
          <w:rFonts w:hint="eastAsia" w:ascii="宋体" w:hAnsi="宋体" w:eastAsia="宋体" w:cs="宋体"/>
          <w:color w:val="000000"/>
          <w:sz w:val="24"/>
          <w:szCs w:val="24"/>
          <w:lang w:eastAsia="zh-CN"/>
        </w:rPr>
        <w:t xml:space="preserve">  /  ）。</w:t>
      </w:r>
    </w:p>
    <w:p>
      <w:pPr>
        <w:adjustRightInd w:val="0"/>
        <w:snapToGrid w:val="0"/>
        <w:spacing w:line="360" w:lineRule="auto"/>
        <w:ind w:firstLine="540" w:firstLineChars="225"/>
        <w:rPr>
          <w:rFonts w:hint="eastAsia" w:ascii="宋体" w:hAnsi="宋体" w:eastAsia="宋体" w:cs="宋体"/>
          <w:color w:val="FF0000"/>
          <w:sz w:val="24"/>
          <w:szCs w:val="24"/>
          <w:lang w:eastAsia="zh-CN"/>
        </w:rPr>
      </w:pPr>
      <w:r>
        <w:rPr>
          <w:rFonts w:hint="eastAsia" w:ascii="宋体" w:hAnsi="宋体" w:eastAsia="宋体" w:cs="宋体"/>
          <w:color w:val="000000"/>
          <w:sz w:val="24"/>
          <w:szCs w:val="24"/>
          <w:lang w:eastAsia="zh-CN"/>
        </w:rPr>
        <w:t>（三）委托人付款前，监理人应向委托人出具合法、等额的增值税【</w:t>
      </w:r>
      <w:r>
        <w:rPr>
          <w:rFonts w:hint="eastAsia" w:ascii="宋体" w:hAnsi="宋体" w:eastAsia="宋体" w:cs="宋体"/>
          <w:color w:val="000000"/>
          <w:sz w:val="24"/>
          <w:szCs w:val="24"/>
          <w:lang w:val="en-US" w:eastAsia="zh-CN"/>
        </w:rPr>
        <w:t>普通</w:t>
      </w:r>
      <w:r>
        <w:rPr>
          <w:rFonts w:hint="eastAsia" w:ascii="宋体" w:hAnsi="宋体" w:eastAsia="宋体" w:cs="宋体"/>
          <w:color w:val="000000"/>
          <w:sz w:val="24"/>
          <w:szCs w:val="24"/>
          <w:lang w:eastAsia="zh-CN"/>
        </w:rPr>
        <w:t>】发票，否则委托人有权拒绝付款，且不承担任何责任。监理人不得以此为由拒绝履行本合同项下的义务。如监理人向委托人提供的发票不符合本合同约定或法律规定，除应按照委托人要求予以更换外，如因此给委托人造成的一切损失由监理人承担（包括但不限于损害赔偿等）。本项目若为财政拨款项目，监理人对此知晓并同意，若因资金拨付不到位导致委托人不能按时付款的，不视为委托人违约，待财政资金到位后支付给监理人。项目经费支付时，如遇财政国库结账、审计机关审计等特殊时期，具体支付时间将根据财政部门、审计部门有关规定执行。</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六、期限</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1. 监理期限：</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本合同自签订之日开始实施，至</w:t>
      </w:r>
      <w:r>
        <w:rPr>
          <w:rFonts w:hint="eastAsia" w:ascii="宋体" w:hAnsi="宋体" w:eastAsia="宋体" w:cs="宋体"/>
          <w:sz w:val="24"/>
          <w:szCs w:val="24"/>
          <w:u w:val="single"/>
          <w:lang w:eastAsia="zh-CN"/>
        </w:rPr>
        <w:t>至施工结束为止，以实际项目竣工验收日期为准。</w:t>
      </w:r>
      <w:r>
        <w:rPr>
          <w:rFonts w:hint="eastAsia" w:ascii="宋体" w:hAnsi="宋体" w:eastAsia="宋体" w:cs="宋体"/>
          <w:sz w:val="24"/>
          <w:szCs w:val="24"/>
          <w:lang w:eastAsia="zh-CN"/>
        </w:rPr>
        <w:t>因工期延长导致监理期限延长的，签约酬金不再增加。监理期限届满并不影响监理人按相关监理规范及本合同约定，完成本工程竣工结算以及竣工资料归档等工作。</w:t>
      </w:r>
    </w:p>
    <w:p>
      <w:pPr>
        <w:adjustRightInd w:val="0"/>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2. 相关服务期限：</w:t>
      </w:r>
    </w:p>
    <w:p>
      <w:pPr>
        <w:spacing w:line="360" w:lineRule="auto"/>
        <w:ind w:firstLine="429" w:firstLineChars="179"/>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保修期服务期限自实际竣工日期起24个月，监理人在保修期内的服务费用已包含在本合同签约酬金中。</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七、双方承诺</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监理人向委托人承诺，按照合同约定提供监理与相关服务。</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委托人向监理人承诺，按照合同约定提供相应的人员、房屋、资料、设备、设施，并按照合同约定支付酬金。</w:t>
      </w:r>
    </w:p>
    <w:p>
      <w:pPr>
        <w:spacing w:line="360" w:lineRule="auto"/>
        <w:ind w:firstLine="431" w:firstLineChars="179"/>
        <w:outlineLvl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八、合同订立</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FF0000"/>
          <w:sz w:val="24"/>
          <w:szCs w:val="24"/>
          <w:lang w:eastAsia="zh-CN"/>
        </w:rPr>
        <w:t xml:space="preserve"> </w:t>
      </w:r>
      <w:r>
        <w:rPr>
          <w:rFonts w:hint="eastAsia" w:ascii="宋体" w:hAnsi="宋体" w:eastAsia="宋体" w:cs="宋体"/>
          <w:color w:val="000000"/>
          <w:sz w:val="24"/>
          <w:szCs w:val="24"/>
          <w:lang w:eastAsia="zh-CN"/>
        </w:rPr>
        <w:t>订立时间：</w:t>
      </w:r>
      <w:r>
        <w:rPr>
          <w:rFonts w:hint="eastAsia" w:ascii="宋体" w:hAnsi="宋体" w:eastAsia="宋体" w:cs="宋体"/>
          <w:color w:val="000000"/>
          <w:sz w:val="24"/>
          <w:szCs w:val="24"/>
          <w:u w:val="single"/>
          <w:lang w:eastAsia="zh-CN"/>
        </w:rPr>
        <w:t xml:space="preserve"> 202</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日。</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订立地点：</w:t>
      </w:r>
      <w:r>
        <w:rPr>
          <w:rFonts w:hint="eastAsia" w:ascii="宋体" w:hAnsi="宋体" w:eastAsia="宋体" w:cs="宋体"/>
          <w:color w:val="000000"/>
          <w:sz w:val="24"/>
          <w:szCs w:val="24"/>
          <w:u w:val="single"/>
          <w:lang w:eastAsia="zh-CN"/>
        </w:rPr>
        <w:t xml:space="preserve">  北京市</w:t>
      </w:r>
      <w:r>
        <w:rPr>
          <w:rFonts w:hint="eastAsia" w:ascii="宋体" w:hAnsi="宋体" w:eastAsia="宋体" w:cs="宋体"/>
          <w:color w:val="000000"/>
          <w:sz w:val="24"/>
          <w:szCs w:val="24"/>
          <w:u w:val="single"/>
          <w:lang w:val="en-US" w:eastAsia="zh-CN"/>
        </w:rPr>
        <w:t>海淀区增光路45号</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 xml:space="preserve"> 。</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合同一式</w:t>
      </w:r>
      <w:r>
        <w:rPr>
          <w:rFonts w:hint="eastAsia" w:ascii="宋体" w:hAnsi="宋体" w:eastAsia="宋体" w:cs="宋体"/>
          <w:color w:val="000000"/>
          <w:sz w:val="24"/>
          <w:szCs w:val="24"/>
          <w:u w:val="single"/>
          <w:lang w:eastAsia="zh-CN"/>
        </w:rPr>
        <w:t xml:space="preserve"> 肆 </w:t>
      </w:r>
      <w:r>
        <w:rPr>
          <w:rFonts w:hint="eastAsia" w:ascii="宋体" w:hAnsi="宋体" w:eastAsia="宋体" w:cs="宋体"/>
          <w:color w:val="000000"/>
          <w:sz w:val="24"/>
          <w:szCs w:val="24"/>
          <w:lang w:eastAsia="zh-CN"/>
        </w:rPr>
        <w:t>份，具有同等法律效力，双方各执</w:t>
      </w:r>
      <w:r>
        <w:rPr>
          <w:rFonts w:hint="eastAsia" w:ascii="宋体" w:hAnsi="宋体" w:eastAsia="宋体" w:cs="宋体"/>
          <w:color w:val="000000"/>
          <w:sz w:val="24"/>
          <w:szCs w:val="24"/>
          <w:u w:val="single"/>
          <w:lang w:eastAsia="zh-CN"/>
        </w:rPr>
        <w:t xml:space="preserve"> 贰 </w:t>
      </w:r>
      <w:r>
        <w:rPr>
          <w:rFonts w:hint="eastAsia" w:ascii="宋体" w:hAnsi="宋体" w:eastAsia="宋体" w:cs="宋体"/>
          <w:color w:val="000000"/>
          <w:sz w:val="24"/>
          <w:szCs w:val="24"/>
          <w:lang w:eastAsia="zh-CN"/>
        </w:rPr>
        <w:t>份</w:t>
      </w:r>
      <w:r>
        <w:rPr>
          <w:rFonts w:hint="eastAsia" w:ascii="宋体" w:hAnsi="宋体" w:eastAsia="宋体" w:cs="宋体"/>
          <w:sz w:val="24"/>
          <w:szCs w:val="24"/>
          <w:lang w:eastAsia="zh-CN"/>
        </w:rPr>
        <w:t xml:space="preserve"> 。</w:t>
      </w:r>
    </w:p>
    <w:p>
      <w:pPr>
        <w:adjustRightInd w:val="0"/>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 本合同经双方法定代表人或授权代理人签字并加盖单位公章或合同专用章后生效。</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br w:type="page"/>
      </w:r>
    </w:p>
    <w:p>
      <w:pPr>
        <w:pStyle w:val="2"/>
        <w:rPr>
          <w:rFonts w:hint="eastAsia" w:ascii="宋体" w:hAnsi="宋体" w:eastAsia="宋体" w:cs="宋体"/>
          <w:sz w:val="24"/>
          <w:szCs w:val="24"/>
          <w:lang w:eastAsia="zh-CN"/>
        </w:rPr>
      </w:pPr>
    </w:p>
    <w:p>
      <w:pPr>
        <w:adjustRightInd w:val="0"/>
        <w:snapToGrid w:val="0"/>
        <w:spacing w:line="360" w:lineRule="auto"/>
        <w:ind w:firstLine="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（本页无正文）</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委托人：</w:t>
      </w:r>
      <w:r>
        <w:rPr>
          <w:rFonts w:hint="eastAsia" w:ascii="宋体" w:hAnsi="宋体" w:eastAsia="宋体" w:cs="宋体"/>
          <w:sz w:val="24"/>
          <w:szCs w:val="24"/>
          <w:u w:val="single"/>
          <w:lang w:eastAsia="zh-CN"/>
        </w:rPr>
        <w:t xml:space="preserve">     （盖章）         </w:t>
      </w:r>
      <w:r>
        <w:rPr>
          <w:rFonts w:hint="eastAsia" w:ascii="宋体" w:hAnsi="宋体" w:eastAsia="宋体" w:cs="宋体"/>
          <w:sz w:val="24"/>
          <w:szCs w:val="24"/>
          <w:lang w:eastAsia="zh-CN"/>
        </w:rPr>
        <w:t xml:space="preserve">      监理人：</w:t>
      </w:r>
      <w:r>
        <w:rPr>
          <w:rFonts w:hint="eastAsia" w:ascii="宋体" w:hAnsi="宋体" w:eastAsia="宋体" w:cs="宋体"/>
          <w:sz w:val="24"/>
          <w:szCs w:val="24"/>
          <w:u w:val="single"/>
          <w:lang w:eastAsia="zh-CN"/>
        </w:rPr>
        <w:t xml:space="preserve">     （盖章）               </w:t>
      </w:r>
    </w:p>
    <w:p>
      <w:pPr>
        <w:adjustRightInd w:val="0"/>
        <w:snapToGrid w:val="0"/>
        <w:spacing w:line="360" w:lineRule="auto"/>
        <w:ind w:firstLine="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营业执照号：</w:t>
      </w:r>
      <w:r>
        <w:rPr>
          <w:rFonts w:hint="eastAsia" w:ascii="宋体" w:hAnsi="宋体" w:eastAsia="宋体" w:cs="宋体"/>
          <w:sz w:val="24"/>
          <w:szCs w:val="24"/>
          <w:u w:val="single"/>
          <w:lang w:eastAsia="zh-CN"/>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营业执照号：</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资质证书编号：</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住所：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住所：</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邮政编码：</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邮政编码：</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                  法定代表人或其委托</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代理人：</w:t>
      </w:r>
      <w:r>
        <w:rPr>
          <w:rFonts w:hint="eastAsia" w:ascii="宋体" w:hAnsi="宋体" w:eastAsia="宋体" w:cs="宋体"/>
          <w:sz w:val="24"/>
          <w:szCs w:val="24"/>
          <w:u w:val="single"/>
          <w:lang w:eastAsia="zh-CN"/>
        </w:rPr>
        <w:t xml:space="preserve">（签字）              </w:t>
      </w:r>
      <w:r>
        <w:rPr>
          <w:rFonts w:hint="eastAsia" w:ascii="宋体" w:hAnsi="宋体" w:eastAsia="宋体" w:cs="宋体"/>
          <w:sz w:val="24"/>
          <w:szCs w:val="24"/>
          <w:lang w:eastAsia="zh-CN"/>
        </w:rPr>
        <w:t xml:space="preserve">      代理人：</w:t>
      </w:r>
      <w:r>
        <w:rPr>
          <w:rFonts w:hint="eastAsia" w:ascii="宋体" w:hAnsi="宋体" w:eastAsia="宋体" w:cs="宋体"/>
          <w:sz w:val="24"/>
          <w:szCs w:val="24"/>
          <w:u w:val="single"/>
          <w:lang w:eastAsia="zh-CN"/>
        </w:rPr>
        <w:t xml:space="preserve"> （签字）                   </w:t>
      </w:r>
    </w:p>
    <w:p>
      <w:pPr>
        <w:adjustRightInd w:val="0"/>
        <w:snapToGrid w:val="0"/>
        <w:spacing w:line="360" w:lineRule="auto"/>
        <w:ind w:left="5520" w:hanging="5520" w:hangingChars="2300"/>
        <w:rPr>
          <w:rFonts w:hint="eastAsia" w:ascii="宋体" w:hAnsi="宋体" w:eastAsia="宋体" w:cs="宋体"/>
          <w:sz w:val="24"/>
          <w:szCs w:val="24"/>
          <w:lang w:eastAsia="zh-CN"/>
        </w:rPr>
      </w:pPr>
      <w:r>
        <w:rPr>
          <w:rFonts w:hint="eastAsia" w:ascii="宋体" w:hAnsi="宋体" w:eastAsia="宋体" w:cs="宋体"/>
          <w:sz w:val="24"/>
          <w:szCs w:val="24"/>
          <w:lang w:eastAsia="zh-CN"/>
        </w:rPr>
        <w:t>开户银行：</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开户银行：</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账号：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账号：</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电话：</w:t>
      </w:r>
      <w:r>
        <w:rPr>
          <w:rFonts w:hint="eastAsia" w:ascii="宋体" w:hAnsi="宋体" w:eastAsia="宋体" w:cs="宋体"/>
          <w:sz w:val="24"/>
          <w:szCs w:val="24"/>
          <w:u w:val="single"/>
          <w:lang w:eastAsia="zh-CN"/>
        </w:rPr>
        <w:t xml:space="preserve">                  </w:t>
      </w:r>
    </w:p>
    <w:p>
      <w:pPr>
        <w:adjustRightInd w:val="0"/>
        <w:snapToGrid w:val="0"/>
        <w:spacing w:line="360" w:lineRule="auto"/>
        <w:ind w:firstLine="0"/>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传真：</w:t>
      </w:r>
      <w:r>
        <w:rPr>
          <w:rFonts w:hint="eastAsia" w:ascii="宋体" w:hAnsi="宋体" w:eastAsia="宋体" w:cs="宋体"/>
          <w:sz w:val="24"/>
          <w:szCs w:val="24"/>
          <w:u w:val="single"/>
          <w:lang w:eastAsia="zh-CN"/>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 xml:space="preserve">      传真：</w:t>
      </w:r>
      <w:r>
        <w:rPr>
          <w:rFonts w:hint="eastAsia" w:ascii="宋体" w:hAnsi="宋体" w:eastAsia="宋体" w:cs="宋体"/>
          <w:color w:val="000000"/>
          <w:sz w:val="24"/>
          <w:szCs w:val="24"/>
          <w:u w:val="single"/>
          <w:lang w:eastAsia="zh-CN"/>
        </w:rPr>
        <w:t xml:space="preserve">                  </w:t>
      </w:r>
    </w:p>
    <w:p>
      <w:pPr>
        <w:rPr>
          <w:rFonts w:hint="eastAsia" w:ascii="宋体" w:hAnsi="宋体" w:eastAsia="宋体" w:cs="宋体"/>
          <w:b/>
          <w:sz w:val="24"/>
          <w:szCs w:val="24"/>
        </w:rPr>
      </w:pPr>
    </w:p>
    <w:p>
      <w:pPr>
        <w:pStyle w:val="2"/>
        <w:rPr>
          <w:rFonts w:hint="eastAsia" w:ascii="宋体" w:hAnsi="宋体" w:eastAsia="宋体" w:cs="宋体"/>
          <w:sz w:val="24"/>
          <w:szCs w:val="24"/>
        </w:rPr>
      </w:pPr>
    </w:p>
    <w:p>
      <w:pPr>
        <w:rPr>
          <w:b/>
          <w:sz w:val="36"/>
          <w:szCs w:val="36"/>
        </w:rPr>
      </w:pPr>
      <w:r>
        <w:rPr>
          <w:rFonts w:hint="eastAsia" w:ascii="宋体" w:hAnsi="宋体" w:eastAsia="宋体" w:cs="宋体"/>
          <w:b/>
          <w:sz w:val="24"/>
          <w:szCs w:val="24"/>
        </w:rPr>
        <w:br w:type="page"/>
      </w:r>
    </w:p>
    <w:p>
      <w:pPr>
        <w:pageBreakBefore/>
        <w:spacing w:line="360" w:lineRule="auto"/>
        <w:ind w:firstLine="357"/>
        <w:jc w:val="center"/>
        <w:outlineLvl w:val="0"/>
        <w:rPr>
          <w:rFonts w:ascii="Times New Roman" w:hAnsi="Times New Roman" w:eastAsia="黑体"/>
          <w:color w:val="000000"/>
          <w:sz w:val="24"/>
          <w:lang w:eastAsia="zh-CN"/>
        </w:rPr>
      </w:pPr>
      <w:r>
        <w:rPr>
          <w:rFonts w:ascii="Times New Roman" w:hAnsi="Times New Roman"/>
          <w:b/>
          <w:bCs/>
          <w:color w:val="000000"/>
          <w:sz w:val="32"/>
          <w:szCs w:val="32"/>
          <w:lang w:eastAsia="zh-CN"/>
        </w:rPr>
        <w:t>第二部分  合同通用条款</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37" w:name="_Toc371398288"/>
      <w:r>
        <w:rPr>
          <w:rFonts w:hint="eastAsia" w:ascii="宋体" w:hAnsi="宋体" w:eastAsia="宋体" w:cs="宋体"/>
          <w:color w:val="000000"/>
          <w:sz w:val="24"/>
          <w:szCs w:val="24"/>
          <w:lang w:eastAsia="zh-CN"/>
        </w:rPr>
        <w:t>1. 一般约定</w:t>
      </w:r>
      <w:bookmarkEnd w:id="637"/>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38" w:name="_Toc371398289"/>
      <w:r>
        <w:rPr>
          <w:rFonts w:hint="eastAsia" w:ascii="宋体" w:hAnsi="宋体" w:eastAsia="宋体" w:cs="宋体"/>
          <w:b/>
          <w:color w:val="000000"/>
          <w:sz w:val="24"/>
          <w:szCs w:val="24"/>
          <w:lang w:eastAsia="zh-CN"/>
        </w:rPr>
        <w:t>1.1 词语定义</w:t>
      </w:r>
      <w:bookmarkEnd w:id="638"/>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除根据上下文另有意义或合同专用条款另有约定外，合同中的下列名词和用语应当具有本款所赋予的含义：</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 “工程”是指按照合同约定实施监理与相关服务的建设工程。</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 “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1.1.3 “委托人”是指合同协议书中指明，委托监理与相关服务的当事人，及其合法的继承人或受让人。</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1.1.4 “监理人”是指合同协议书中指明，具备相应资质的，提供监理与相关服务的当事人，及其合法的继承人。</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1.1.5 “承包人”是指在工程范围内与委托人签订施工合同的当事人，及其合法的继承人。当相关服务包括勘察、设计等相关服务时，承包人包括与委托人签订勘察、设计等有关合同的当事人及其合法的继承人。</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1.1.6 “监理”是指监理人根据法律法规、工程建设标准、勘察设计文件及合同，在施工阶段对建</w:t>
      </w:r>
      <w:r>
        <w:rPr>
          <w:rFonts w:hint="eastAsia" w:ascii="宋体" w:hAnsi="宋体" w:eastAsia="宋体" w:cs="宋体"/>
          <w:sz w:val="24"/>
          <w:szCs w:val="24"/>
          <w:lang w:eastAsia="zh-CN"/>
        </w:rPr>
        <w:t>设工程质量、进度、造价进行控制，对合同、信息进行管理，对工程建设相关方的关系进行协调，并履行建设工程安全生产管理法定及合</w:t>
      </w:r>
      <w:r>
        <w:rPr>
          <w:rFonts w:hint="eastAsia" w:ascii="宋体" w:hAnsi="宋体" w:eastAsia="宋体" w:cs="宋体"/>
          <w:color w:val="000000"/>
          <w:sz w:val="24"/>
          <w:szCs w:val="24"/>
          <w:lang w:eastAsia="zh-CN"/>
        </w:rPr>
        <w:t>同约定职责的服务活动。</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1.1.7 “相关服务”是指监理人按照合同约定提供的施工阶段监理以外的其他服务，包括保修期提供的服务等。</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1.1.8 “正常工作”是指合同订立时约定的监理人在监理与相关服务期限和范围内的工作。</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1.1.9 “附加工作”是指合同约定正常工作以外的监理人工作。</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1.1.10 “项目监理与相关服务机构”是指监理人派驻本工程负责履行合同的组织机构。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1.1.11 “总监理工程师”是指由监理人的法定代表人书面授权，全面负责履行合同、主持项目监理与相关服务机构工作的注册监理工程师。</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1.1.12 “委托人代表” 是指由委托人任命的，在委托授权范围内代表委托人行使合同约定的权利并履行约定义务的委托代理人。</w:t>
      </w:r>
    </w:p>
    <w:p>
      <w:pPr>
        <w:pageBreakBefore w:val="0"/>
        <w:widowControl w:val="0"/>
        <w:kinsoku/>
        <w:wordWrap/>
        <w:overflowPunct/>
        <w:topLinePunct w:val="0"/>
        <w:bidi w:val="0"/>
        <w:adjustRightInd w:val="0"/>
        <w:snapToGrid w:val="0"/>
        <w:spacing w:line="360" w:lineRule="auto"/>
        <w:ind w:firstLine="475" w:firstLineChars="198"/>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1.1.13 “酬金”是指监理人履行合同义务，委托人按照合同约定给付监理人的金额。</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1.1.14 “正常工作酬金”是指监理人完成正常工作，委托人应当给付监理人并在合同协议书中载明的签约酬金额。</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1.1.15 “附加工作酬金”是指监理人完成附加工作，委托人应当给付监理人的金额。</w:t>
      </w:r>
    </w:p>
    <w:p>
      <w:pPr>
        <w:pageBreakBefore w:val="0"/>
        <w:widowControl w:val="0"/>
        <w:kinsoku/>
        <w:wordWrap/>
        <w:overflowPunct/>
        <w:topLinePunct w:val="0"/>
        <w:bidi w:val="0"/>
        <w:adjustRightInd w:val="0"/>
        <w:snapToGrid w:val="0"/>
        <w:spacing w:line="360" w:lineRule="auto"/>
        <w:ind w:firstLine="475" w:firstLineChars="198"/>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1.1.16 “补偿费用”是指委托人不提供或部分提供相应的人员、</w:t>
      </w:r>
      <w:r>
        <w:rPr>
          <w:rFonts w:hint="eastAsia" w:ascii="宋体" w:hAnsi="宋体" w:eastAsia="宋体" w:cs="宋体"/>
          <w:bCs/>
          <w:color w:val="000000"/>
          <w:sz w:val="24"/>
          <w:szCs w:val="24"/>
          <w:lang w:eastAsia="zh-CN"/>
        </w:rPr>
        <w:t>房屋、资料</w:t>
      </w:r>
      <w:r>
        <w:rPr>
          <w:rFonts w:hint="eastAsia" w:ascii="宋体" w:hAnsi="宋体" w:eastAsia="宋体" w:cs="宋体"/>
          <w:color w:val="000000"/>
          <w:sz w:val="24"/>
          <w:szCs w:val="24"/>
          <w:lang w:eastAsia="zh-CN"/>
        </w:rPr>
        <w:t>、设备、设施时应当补偿的费用。</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1.1.17 “一方”是指委托人或监理人；“双方”是指委托人和监理人；“第三方”是指除委托人和监理人以外的有关方。</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1.1.18 “书面形式”是指信件和数据电文（包括电报、电传、传真、电子数据交换和电子邮件）等可以有形地表现所载内容的形式。</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1.1.19 “监理与相关服务期限”是指合同协议书中约定的监理人提供监理与相关服务的期限。</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1.1.20 “天”是指第一天零时至第二天零时的时间。</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1.1.21 “不可抗力”是指委托人和监理人在订立本合同时不可预见，在工程施工过程中不可避免发生并不能克服的自然灾害和社会性突发事件，如地震、海啸、瘟疫、水灾、骚乱、暴动、战争和专用条款约定的其他情形。</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39" w:name="_Toc371398290"/>
      <w:r>
        <w:rPr>
          <w:rFonts w:hint="eastAsia" w:ascii="宋体" w:hAnsi="宋体" w:eastAsia="宋体" w:cs="宋体"/>
          <w:b/>
          <w:color w:val="000000"/>
          <w:sz w:val="24"/>
          <w:szCs w:val="24"/>
          <w:lang w:eastAsia="zh-CN"/>
        </w:rPr>
        <w:t>1.2 解释</w:t>
      </w:r>
      <w:bookmarkEnd w:id="639"/>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合同使用中文书写、解释和说明。如合同专用条款约定使用两种及以上语言文字时，应当以中文为准。</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0" w:name="_Toc371398291"/>
      <w:r>
        <w:rPr>
          <w:rFonts w:hint="eastAsia" w:ascii="宋体" w:hAnsi="宋体" w:eastAsia="宋体" w:cs="宋体"/>
          <w:b/>
          <w:color w:val="000000"/>
          <w:sz w:val="24"/>
          <w:szCs w:val="24"/>
          <w:lang w:eastAsia="zh-CN"/>
        </w:rPr>
        <w:t>1.3 合同文件组成与解释顺序</w:t>
      </w:r>
      <w:bookmarkEnd w:id="640"/>
    </w:p>
    <w:p>
      <w:pPr>
        <w:pageBreakBefore w:val="0"/>
        <w:widowControl w:val="0"/>
        <w:tabs>
          <w:tab w:val="left" w:pos="614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组成合同的下列文件彼此应当相互解释、互为说明。除合同专用条款另有约定外，合同文件的解释顺序如下：</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（1）合同协议书；</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（2）中标通知书（适用于招标工程）或委托书（适用于非招标工程）；</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（3）投标函及投标函附录；</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（4）投标文件中的拟投入监理与相关服务人员、设备计划、监理大纲及相关服务方案（适用于招标工程）或监理与相关服务建议书（适用于非招标工程）；</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（5）合同专用条款；</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（6）合同通用条款；</w:t>
      </w:r>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（7）本工程适用的监理与相关服务有关的规范、规程，及其他合同文件。</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双方签订的补充协议与其他文件发生矛盾或歧义时，属于同一类内容的文件，以最新签署的为准，但招标工程的补充协议不得背离合同的实质性内容。</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1" w:name="_Toc371398292"/>
      <w:r>
        <w:rPr>
          <w:rFonts w:hint="eastAsia" w:ascii="宋体" w:hAnsi="宋体" w:eastAsia="宋体" w:cs="宋体"/>
          <w:b/>
          <w:color w:val="000000"/>
          <w:sz w:val="24"/>
          <w:szCs w:val="24"/>
          <w:lang w:eastAsia="zh-CN"/>
        </w:rPr>
        <w:t>1.4 通知</w:t>
      </w:r>
      <w:bookmarkEnd w:id="641"/>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lang w:eastAsia="zh-CN"/>
        </w:rPr>
        <w:t>与合同有关的通知均应当采用书面形式，并在送达对方时生效，收件人应当签收或回复。</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2" w:name="_Toc371398293"/>
      <w:r>
        <w:rPr>
          <w:rFonts w:hint="eastAsia" w:ascii="宋体" w:hAnsi="宋体" w:eastAsia="宋体" w:cs="宋体"/>
          <w:b/>
          <w:color w:val="000000"/>
          <w:sz w:val="24"/>
          <w:szCs w:val="24"/>
          <w:lang w:eastAsia="zh-CN"/>
        </w:rPr>
        <w:t>1.5 保密</w:t>
      </w:r>
      <w:bookmarkEnd w:id="642"/>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lang w:eastAsia="zh-CN"/>
        </w:rPr>
        <w:t>双方不得泄露对方申明的保密资料，亦不得泄露与实施工程有关的第三方所提供的保密资料，保密事项及保密期限在合同专用条款中约定。</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3" w:name="_Toc371398294"/>
      <w:r>
        <w:rPr>
          <w:rFonts w:hint="eastAsia" w:ascii="宋体" w:hAnsi="宋体" w:eastAsia="宋体" w:cs="宋体"/>
          <w:b/>
          <w:color w:val="000000"/>
          <w:sz w:val="24"/>
          <w:szCs w:val="24"/>
          <w:lang w:eastAsia="zh-CN"/>
        </w:rPr>
        <w:t>1.6 著作权</w:t>
      </w:r>
      <w:bookmarkEnd w:id="643"/>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监理人对其编制的文件署名权，其他著作权归委托人所有。</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lang w:eastAsia="zh-CN"/>
        </w:rPr>
        <w:t>除合同专用条款另有约定外，如果监理人出版涉及本工程的有关监理与相关服务的资料，应当征得委托人的同意。</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44" w:name="_Toc371398295"/>
      <w:r>
        <w:rPr>
          <w:rFonts w:hint="eastAsia" w:ascii="宋体" w:hAnsi="宋体" w:eastAsia="宋体" w:cs="宋体"/>
          <w:color w:val="000000"/>
          <w:sz w:val="24"/>
          <w:szCs w:val="24"/>
          <w:lang w:eastAsia="zh-CN"/>
        </w:rPr>
        <w:t>2. 监理人的义务</w:t>
      </w:r>
      <w:bookmarkEnd w:id="644"/>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5" w:name="_Toc371398296"/>
      <w:r>
        <w:rPr>
          <w:rFonts w:hint="eastAsia" w:ascii="宋体" w:hAnsi="宋体" w:eastAsia="宋体" w:cs="宋体"/>
          <w:b/>
          <w:color w:val="000000"/>
          <w:sz w:val="24"/>
          <w:szCs w:val="24"/>
          <w:lang w:eastAsia="zh-CN"/>
        </w:rPr>
        <w:t>2.1 监理与相关服务的工程范围和服务内容</w:t>
      </w:r>
      <w:bookmarkEnd w:id="645"/>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2.1.1 监理与相关服务的工程范围在合同专用条款中约定。</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2.1.2 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pPr>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2.1.3除合同专用条款另有约定外，委托人委托的下列内容，应当作为监理相关服务内容：</w:t>
      </w:r>
    </w:p>
    <w:p>
      <w:pPr>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sz w:val="24"/>
          <w:szCs w:val="24"/>
          <w:lang w:eastAsia="zh-CN"/>
        </w:rPr>
        <w:t>1.3.1保修期内定期回访，调查和确认缺陷原因及责任，检查缺陷修复质量；</w:t>
      </w:r>
    </w:p>
    <w:p>
      <w:pPr>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2.1.3.2委托人要求监理人外出考察；</w:t>
      </w:r>
    </w:p>
    <w:p>
      <w:pPr>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2.1.3.3委托人要求监理人进行的材料和设备检测；</w:t>
      </w:r>
    </w:p>
    <w:p>
      <w:pPr>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2.1.3.4委托人要求监理人组织相关咨询论证会以及聘请相关专家；</w:t>
      </w:r>
    </w:p>
    <w:p>
      <w:pPr>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2.1.3.5其他相关服务的内容在合同专用条款中约定。</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6" w:name="_Toc371398297"/>
      <w:r>
        <w:rPr>
          <w:rFonts w:hint="eastAsia" w:ascii="宋体" w:hAnsi="宋体" w:eastAsia="宋体" w:cs="宋体"/>
          <w:b/>
          <w:color w:val="000000"/>
          <w:sz w:val="24"/>
          <w:szCs w:val="24"/>
          <w:lang w:eastAsia="zh-CN"/>
        </w:rPr>
        <w:t>2.2 监理与相关服务依据</w:t>
      </w:r>
      <w:bookmarkEnd w:id="646"/>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2.2.1 监理依据包括：</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（1）适用的法律、法规及部门规章；</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（2）与工程有关的标准；</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（3）工程设计及有关文件；</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（4）合同及委托人与第三方签订的与实施工程有关的其他合同；</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（5）国家及本市监理服务规范、规程。</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双方可根据工程的行业特点，在合同专用条款中补充约定具体监理依据。</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2.2.2 相关服务依据在合同专用条款中约定。</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7" w:name="_Toc371398298"/>
      <w:r>
        <w:rPr>
          <w:rFonts w:hint="eastAsia" w:ascii="宋体" w:hAnsi="宋体" w:eastAsia="宋体" w:cs="宋体"/>
          <w:b/>
          <w:color w:val="000000"/>
          <w:sz w:val="24"/>
          <w:szCs w:val="24"/>
          <w:lang w:eastAsia="zh-CN"/>
        </w:rPr>
        <w:t>2.3 项目监理与相关服务机构和人员</w:t>
      </w:r>
      <w:bookmarkEnd w:id="647"/>
    </w:p>
    <w:p>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 2.3.1 监理人应当根据合同约定组建满足工作需要的项目监理与相关服务机构，配备必要的检测设备。项目监理与相关服务机构的主要人员应当具有相应的资格条件。</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2.3.2 合同履行过程中，总监理工程师及重要岗位监理人员应当保持相对稳定，以保证监理工作正常进行。</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2.3.3 监理人可根据工程进展和工作需要调整项目监理与相关服务机构人员。监理人更换总监理工程师时，应当提前7天向委托人书面报告，经委托人同意后方可更换；监理人更换项目监理与相关服务其他监理人员，应当以相当资格与能力的人员替换，并通知委托人。</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2.3.4</w:t>
      </w:r>
      <w:r>
        <w:rPr>
          <w:rFonts w:hint="eastAsia" w:ascii="宋体" w:hAnsi="宋体" w:eastAsia="宋体" w:cs="宋体"/>
          <w:sz w:val="24"/>
          <w:szCs w:val="24"/>
          <w:lang w:eastAsia="zh-CN"/>
        </w:rPr>
        <w:t xml:space="preserve"> 监理人应当及时更换有下列情形之一的监理人员：</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（1）不能胜任岗位职责的；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（2）严重违反职业道德的；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（3）有严重过失行为的；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（4）有违法行为不能履行职责的；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（5）涉嫌犯罪的；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（6）合同专用条款约定的其他情形。</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2.3.5 委托人有权要求监理人更换不能胜任本职工作的项目监理与相关服务机构人员。</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8" w:name="_Toc371398299"/>
      <w:r>
        <w:rPr>
          <w:rFonts w:hint="eastAsia" w:ascii="宋体" w:hAnsi="宋体" w:eastAsia="宋体" w:cs="宋体"/>
          <w:b/>
          <w:color w:val="000000"/>
          <w:sz w:val="24"/>
          <w:szCs w:val="24"/>
          <w:lang w:eastAsia="zh-CN"/>
        </w:rPr>
        <w:t>2.4 履行职责</w:t>
      </w:r>
      <w:bookmarkEnd w:id="648"/>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监理人应当遵循职业道德准则和行为规范，严格按照法律、法规、工程建设有关标准及合同履行职责。</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2.4.1 在合同约定的监理与相关服务范围内，委托人和承包人提出的意见和要求，监理人应当及时处置并回复。当委托人与承包人之间发生合同争议时，监理人应当协调委托人、承包人协商解决。</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2.4.2 当委托人与承包人之间的合同争议提交仲裁机构仲裁或人民法院审理时，监理人应当提供必要的证明资料。</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2.4.3 监理人应当在合同专用条款约定的授权范围内，处理委托人与承包人所签订合同的变更事宜。如果变更超过授权范围，应当以书面形式报委托人批准。</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在紧急情况下，为了保护财产和人身安全，监理人所发出的指令未能事先报委托人批准时，应当在发出指令后的24小时内以书面形式报委托人。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2.4.4 除合同专用条款另有约定外，监理人发现承包人的人员不能胜任本职工作的，有权要求承包人予以更换。</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49" w:name="_Toc371398300"/>
      <w:r>
        <w:rPr>
          <w:rFonts w:hint="eastAsia" w:ascii="宋体" w:hAnsi="宋体" w:eastAsia="宋体" w:cs="宋体"/>
          <w:b/>
          <w:color w:val="000000"/>
          <w:sz w:val="24"/>
          <w:szCs w:val="24"/>
          <w:lang w:eastAsia="zh-CN"/>
        </w:rPr>
        <w:t>2.5 守法诚信</w:t>
      </w:r>
      <w:bookmarkEnd w:id="649"/>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监理人及其工作人员不得从与实施工程有关的第三方处获得任何经济利益。</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0" w:name="_Toc371398301"/>
      <w:r>
        <w:rPr>
          <w:rFonts w:hint="eastAsia" w:ascii="宋体" w:hAnsi="宋体" w:eastAsia="宋体" w:cs="宋体"/>
          <w:b/>
          <w:color w:val="000000"/>
          <w:sz w:val="24"/>
          <w:szCs w:val="24"/>
          <w:lang w:eastAsia="zh-CN"/>
        </w:rPr>
        <w:t>2.6保险</w:t>
      </w:r>
      <w:bookmarkEnd w:id="650"/>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监理人应当按法律、法规规定，为派驻现场的监理与相关服务机构人员办理相关保险,保证现场监理人员的安全。</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1" w:name="_Toc371398302"/>
      <w:r>
        <w:rPr>
          <w:rFonts w:hint="eastAsia" w:ascii="宋体" w:hAnsi="宋体" w:eastAsia="宋体" w:cs="宋体"/>
          <w:b/>
          <w:color w:val="000000"/>
          <w:sz w:val="24"/>
          <w:szCs w:val="24"/>
          <w:lang w:eastAsia="zh-CN"/>
        </w:rPr>
        <w:t>2.7 提交报告</w:t>
      </w:r>
      <w:bookmarkEnd w:id="651"/>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监理人应当按合同专用条款约定的种类、时间和份数向委托人提交监理与相关服务的报告。</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2" w:name="_Toc371398303"/>
      <w:r>
        <w:rPr>
          <w:rFonts w:hint="eastAsia" w:ascii="宋体" w:hAnsi="宋体" w:eastAsia="宋体" w:cs="宋体"/>
          <w:b/>
          <w:color w:val="000000"/>
          <w:sz w:val="24"/>
          <w:szCs w:val="24"/>
          <w:lang w:eastAsia="zh-CN"/>
        </w:rPr>
        <w:t>2.8 文件资料</w:t>
      </w:r>
      <w:bookmarkEnd w:id="652"/>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在合同履行期内，监理人应当在现场保留工作所用的图纸、报告及记录监理工作的相关文件。工程竣工后，应当按照档案管理规定将监理有关文件归档并提交给委托人。</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3" w:name="_Toc371398304"/>
      <w:r>
        <w:rPr>
          <w:rFonts w:hint="eastAsia" w:ascii="宋体" w:hAnsi="宋体" w:eastAsia="宋体" w:cs="宋体"/>
          <w:b/>
          <w:color w:val="000000"/>
          <w:sz w:val="24"/>
          <w:szCs w:val="24"/>
          <w:lang w:eastAsia="zh-CN"/>
        </w:rPr>
        <w:t>2.9 使用委托人的财产</w:t>
      </w:r>
      <w:bookmarkEnd w:id="653"/>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54" w:name="_Toc371398305"/>
      <w:r>
        <w:rPr>
          <w:rFonts w:hint="eastAsia" w:ascii="宋体" w:hAnsi="宋体" w:eastAsia="宋体" w:cs="宋体"/>
          <w:color w:val="000000"/>
          <w:sz w:val="24"/>
          <w:szCs w:val="24"/>
          <w:lang w:eastAsia="zh-CN"/>
        </w:rPr>
        <w:t>3．委托人的义务</w:t>
      </w:r>
      <w:bookmarkEnd w:id="654"/>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5" w:name="_Toc371398306"/>
      <w:r>
        <w:rPr>
          <w:rFonts w:hint="eastAsia" w:ascii="宋体" w:hAnsi="宋体" w:eastAsia="宋体" w:cs="宋体"/>
          <w:b/>
          <w:color w:val="000000"/>
          <w:sz w:val="24"/>
          <w:szCs w:val="24"/>
          <w:lang w:eastAsia="zh-CN"/>
        </w:rPr>
        <w:t>3.1 告知</w:t>
      </w:r>
      <w:bookmarkEnd w:id="655"/>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委托人应当在委托人与承包人签订的合同中明确监理人、总监理工程师和授予项目监理与相关服务机构的权限。如有变更，应当及时通知承包人。</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6" w:name="_Toc371398307"/>
      <w:r>
        <w:rPr>
          <w:rFonts w:hint="eastAsia" w:ascii="宋体" w:hAnsi="宋体" w:eastAsia="宋体" w:cs="宋体"/>
          <w:b/>
          <w:color w:val="000000"/>
          <w:sz w:val="24"/>
          <w:szCs w:val="24"/>
          <w:lang w:eastAsia="zh-CN"/>
        </w:rPr>
        <w:t>3.2 提供资料</w:t>
      </w:r>
      <w:bookmarkEnd w:id="656"/>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委托人应当按照合同专用条款约定，免费向监理人提供与工程有关的资料。在合同履行过程中，委托人应当及时向监理人提供与工程有关的最新资料。</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7" w:name="_Toc371398308"/>
      <w:r>
        <w:rPr>
          <w:rFonts w:hint="eastAsia" w:ascii="宋体" w:hAnsi="宋体" w:eastAsia="宋体" w:cs="宋体"/>
          <w:b/>
          <w:color w:val="000000"/>
          <w:sz w:val="24"/>
          <w:szCs w:val="24"/>
          <w:lang w:eastAsia="zh-CN"/>
        </w:rPr>
        <w:t>3.3 提供工作条件</w:t>
      </w:r>
      <w:bookmarkEnd w:id="657"/>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委托人应当为监理人完成监理与相关服务提供必要的条件。</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3.3.1 委托人应当按照合同专用条款约定，提供相应的人员、房屋、设备、设施，供监理人免费使用。如委托人不提供或部分提供相应的人员、</w:t>
      </w:r>
      <w:r>
        <w:rPr>
          <w:rFonts w:hint="eastAsia" w:ascii="宋体" w:hAnsi="宋体" w:eastAsia="宋体" w:cs="宋体"/>
          <w:bCs/>
          <w:color w:val="000000"/>
          <w:sz w:val="24"/>
          <w:szCs w:val="24"/>
          <w:lang w:eastAsia="zh-CN"/>
        </w:rPr>
        <w:t>房屋、资料</w:t>
      </w:r>
      <w:r>
        <w:rPr>
          <w:rFonts w:hint="eastAsia" w:ascii="宋体" w:hAnsi="宋体" w:eastAsia="宋体" w:cs="宋体"/>
          <w:color w:val="000000"/>
          <w:sz w:val="24"/>
          <w:szCs w:val="24"/>
          <w:lang w:eastAsia="zh-CN"/>
        </w:rPr>
        <w:t>、设备、设施时应当向监理人说明理由。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3.3.2 委托人应当负责协调工程建设中所有外部关系，为监理人履行合同提供必要的外部条件。</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8" w:name="_Toc371398309"/>
      <w:r>
        <w:rPr>
          <w:rFonts w:hint="eastAsia" w:ascii="宋体" w:hAnsi="宋体" w:eastAsia="宋体" w:cs="宋体"/>
          <w:b/>
          <w:color w:val="000000"/>
          <w:sz w:val="24"/>
          <w:szCs w:val="24"/>
          <w:lang w:eastAsia="zh-CN"/>
        </w:rPr>
        <w:t>3.4 委托人代表</w:t>
      </w:r>
      <w:bookmarkEnd w:id="658"/>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委托人应当授权一名熟悉工程情况的代表，负责与监理人联系。委托人应将委托人代表的姓名和职责书面告知监理人，当委托人更换委托人代表时，应当提前7天通知监理人。</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委托人代表的姓名在合同专用条款中明确。</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59" w:name="_Toc371398310"/>
      <w:r>
        <w:rPr>
          <w:rFonts w:hint="eastAsia" w:ascii="宋体" w:hAnsi="宋体" w:eastAsia="宋体" w:cs="宋体"/>
          <w:b/>
          <w:color w:val="000000"/>
          <w:sz w:val="24"/>
          <w:szCs w:val="24"/>
          <w:lang w:eastAsia="zh-CN"/>
        </w:rPr>
        <w:t>3.5 委托人意见或要求</w:t>
      </w:r>
      <w:bookmarkEnd w:id="659"/>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在合同约定的监理和相关服务工作范围内，委托人对承包人的任何意见或要求应当通知监理人，由监理人向承包人发出相应指令。</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0" w:name="_Toc371398311"/>
      <w:r>
        <w:rPr>
          <w:rFonts w:hint="eastAsia" w:ascii="宋体" w:hAnsi="宋体" w:eastAsia="宋体" w:cs="宋体"/>
          <w:b/>
          <w:color w:val="000000"/>
          <w:sz w:val="24"/>
          <w:szCs w:val="24"/>
          <w:lang w:eastAsia="zh-CN"/>
        </w:rPr>
        <w:t>3.6 答复</w:t>
      </w:r>
      <w:bookmarkEnd w:id="660"/>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委托人应当在合同专用条款约定的时间内，对监理人以书面形式提交并要求做出决定的事宜，给予书面答复。</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1" w:name="_Toc371398312"/>
      <w:r>
        <w:rPr>
          <w:rFonts w:hint="eastAsia" w:ascii="宋体" w:hAnsi="宋体" w:eastAsia="宋体" w:cs="宋体"/>
          <w:b/>
          <w:color w:val="000000"/>
          <w:sz w:val="24"/>
          <w:szCs w:val="24"/>
          <w:lang w:eastAsia="zh-CN"/>
        </w:rPr>
        <w:t>3.7 支付</w:t>
      </w:r>
      <w:bookmarkEnd w:id="661"/>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委托人应当按合同约定，向监理人支付酬金。</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2" w:name="_Toc371398313"/>
      <w:r>
        <w:rPr>
          <w:rFonts w:hint="eastAsia" w:ascii="宋体" w:hAnsi="宋体" w:eastAsia="宋体" w:cs="宋体"/>
          <w:b/>
          <w:color w:val="000000"/>
          <w:sz w:val="24"/>
          <w:szCs w:val="24"/>
          <w:lang w:eastAsia="zh-CN"/>
        </w:rPr>
        <w:t>3.8 合理化建议的奖励</w:t>
      </w:r>
      <w:bookmarkEnd w:id="662"/>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监理人在服务过程中提出的合理化建议，使委托人获得经济效益的，委托人应当予以奖励。奖励金额的确定方法在合同专用条款中约定。</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3" w:name="_Toc371398314"/>
      <w:r>
        <w:rPr>
          <w:rFonts w:hint="eastAsia" w:ascii="宋体" w:hAnsi="宋体" w:eastAsia="宋体" w:cs="宋体"/>
          <w:b/>
          <w:color w:val="000000"/>
          <w:sz w:val="24"/>
          <w:szCs w:val="24"/>
          <w:lang w:eastAsia="zh-CN"/>
        </w:rPr>
        <w:t>3.9 保障监理人的权利</w:t>
      </w:r>
      <w:bookmarkEnd w:id="663"/>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委托人应当保证监理人为履行合同而正常行使合同授予的对工程的监督、管理相应权利。</w:t>
      </w:r>
    </w:p>
    <w:p>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3.10委托人权利</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3.10.1 委托人有选定工程总承包人，以及与其订立合同的权利。</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3.10.2 委托人有对工程规模、设计标准、规划设计、生产工艺设计和设计使用功能要求的认定权，以及对工程设计变更的审批权。</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3.10.3 监理人调换总监理工程师须事先经委托人同意。</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3.10.4 委托人有权要求监理人提交监理工作月报及监理业务范围内的专项报告。</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3.10.5 当委托人发现监理人员不按监理合同履行监理职责，或与承包人串通给委托人或工程造成损失的，委托人有权要求监理人更换监理人员，直到终止合同并要求监理人承担相应的赔偿责任或连带赔偿责任。</w:t>
      </w:r>
    </w:p>
    <w:p>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3.11环境保护责任</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监理人对建筑垃圾处理、施工扬尘治理以及疫情防控常态化管理等事项负监理总责。</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64" w:name="_Toc371398315"/>
      <w:r>
        <w:rPr>
          <w:rFonts w:hint="eastAsia" w:ascii="宋体" w:hAnsi="宋体" w:eastAsia="宋体" w:cs="宋体"/>
          <w:color w:val="000000"/>
          <w:sz w:val="24"/>
          <w:szCs w:val="24"/>
          <w:lang w:eastAsia="zh-CN"/>
        </w:rPr>
        <w:t>4. 违约</w:t>
      </w:r>
      <w:bookmarkEnd w:id="664"/>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5" w:name="_Toc371398316"/>
      <w:r>
        <w:rPr>
          <w:rFonts w:hint="eastAsia" w:ascii="宋体" w:hAnsi="宋体" w:eastAsia="宋体" w:cs="宋体"/>
          <w:b/>
          <w:color w:val="000000"/>
          <w:sz w:val="24"/>
          <w:szCs w:val="24"/>
          <w:lang w:eastAsia="zh-CN"/>
        </w:rPr>
        <w:t>4.1 监理人的违约</w:t>
      </w:r>
      <w:bookmarkEnd w:id="665"/>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4.1.1  监理人的违约情形</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4.1.1.1 监理人明确表示或者以行为表明不履行合同义务，或履行义务不符合约定；</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4.1.1.2 监理人违反合同的约定，将监理与相关服务的任何部分转让或分包；</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4.1.1.3 违反合同专用条款约定的其他情形。</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4.1.2 监理人的违约责任</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4.1.2.1 监理人违反合同约定，在第6.3款约定的时间内，拒绝改正的，委托人有权解除合同；</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4.1.2.2</w:t>
      </w:r>
      <w:r>
        <w:rPr>
          <w:rFonts w:hint="eastAsia" w:ascii="宋体" w:hAnsi="宋体" w:eastAsia="宋体" w:cs="宋体"/>
          <w:sz w:val="24"/>
          <w:szCs w:val="24"/>
          <w:lang w:eastAsia="zh-CN"/>
        </w:rPr>
        <w:t>因监理人违反本合同约定给委托人造成损失的，监理人应当赔偿委托人损失。赔偿金额的确定方法在合同专用条款中约定。监理人承担部分赔偿责任的，其承担赔偿金额由双方协商确定。</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6" w:name="_Toc371398317"/>
      <w:r>
        <w:rPr>
          <w:rFonts w:hint="eastAsia" w:ascii="宋体" w:hAnsi="宋体" w:eastAsia="宋体" w:cs="宋体"/>
          <w:b/>
          <w:color w:val="000000"/>
          <w:sz w:val="24"/>
          <w:szCs w:val="24"/>
          <w:lang w:eastAsia="zh-CN"/>
        </w:rPr>
        <w:t>4.2 委托人的违约</w:t>
      </w:r>
      <w:bookmarkEnd w:id="666"/>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bookmarkStart w:id="667" w:name="_Toc343091309"/>
      <w:r>
        <w:rPr>
          <w:rFonts w:hint="eastAsia" w:ascii="宋体" w:hAnsi="宋体" w:eastAsia="宋体" w:cs="宋体"/>
          <w:color w:val="000000"/>
          <w:sz w:val="24"/>
          <w:szCs w:val="24"/>
          <w:lang w:eastAsia="zh-CN"/>
        </w:rPr>
        <w:t>4.2.1 委托人的违约情形</w:t>
      </w:r>
      <w:bookmarkEnd w:id="667"/>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4.2.1.1 明确表示或者以行为表明不履行合同义务，或履行义务不符合约定；</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4.2.1.2 无正当理由未按合同约定支付酬金；</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4.2.1.3 违反合同专用条款约定的其他情形。</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bookmarkStart w:id="668" w:name="_Toc343091310"/>
      <w:r>
        <w:rPr>
          <w:rFonts w:hint="eastAsia" w:ascii="宋体" w:hAnsi="宋体" w:eastAsia="宋体" w:cs="宋体"/>
          <w:color w:val="000000"/>
          <w:sz w:val="24"/>
          <w:szCs w:val="24"/>
          <w:lang w:eastAsia="zh-CN"/>
        </w:rPr>
        <w:t>4.2.2 委托人的违约责任</w:t>
      </w:r>
      <w:bookmarkEnd w:id="668"/>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4.2.2.1 委托人无故违反合同的约定并造成监理人的经济损失，应当向监理人赔偿，赔偿金额的确定方法在合同专用条款中约定。</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4.2.2.2委托人无正当理由未能按期支付酬金超过28天，应当支付逾期付款利息，监理人可依据第6.3.2项解除合同，逾期付款利息按下述方法确定： </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逾期付款利息＝当期应付酬金总额×中国人民银行授权全国银行间同业拆借中心公布的贷款市场报价利率（LPR）×拖延支付天数</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69" w:name="_Toc371398318"/>
      <w:r>
        <w:rPr>
          <w:rFonts w:hint="eastAsia" w:ascii="宋体" w:hAnsi="宋体" w:eastAsia="宋体" w:cs="宋体"/>
          <w:b/>
          <w:color w:val="000000"/>
          <w:sz w:val="24"/>
          <w:szCs w:val="24"/>
          <w:lang w:eastAsia="zh-CN"/>
        </w:rPr>
        <w:t>4.3 除外责任</w:t>
      </w:r>
      <w:bookmarkEnd w:id="669"/>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因非监理人的原因，且监理人无过错，发生工程质量事故、安全事故、工期延误等造成的损失，监理人不承担违约责任。</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因不可抗力导致合同全部或部分不能履行时，双方各自承担其因此而造成的损失、损害。</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70" w:name="_Toc371398319"/>
      <w:r>
        <w:rPr>
          <w:rFonts w:hint="eastAsia" w:ascii="宋体" w:hAnsi="宋体" w:eastAsia="宋体" w:cs="宋体"/>
          <w:color w:val="000000"/>
          <w:sz w:val="24"/>
          <w:szCs w:val="24"/>
          <w:lang w:eastAsia="zh-CN"/>
        </w:rPr>
        <w:t>5. 支付</w:t>
      </w:r>
      <w:bookmarkEnd w:id="670"/>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1" w:name="_Toc371398320"/>
      <w:r>
        <w:rPr>
          <w:rFonts w:hint="eastAsia" w:ascii="宋体" w:hAnsi="宋体" w:eastAsia="宋体" w:cs="宋体"/>
          <w:b/>
          <w:color w:val="000000"/>
          <w:sz w:val="24"/>
          <w:szCs w:val="24"/>
          <w:lang w:eastAsia="zh-CN"/>
        </w:rPr>
        <w:t>5.1 支付货币</w:t>
      </w:r>
      <w:bookmarkEnd w:id="671"/>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除合同专用条款另有约定外，酬金均以人民币支付。</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2" w:name="_Toc371398321"/>
      <w:r>
        <w:rPr>
          <w:rFonts w:hint="eastAsia" w:ascii="宋体" w:hAnsi="宋体" w:eastAsia="宋体" w:cs="宋体"/>
          <w:b/>
          <w:color w:val="000000"/>
          <w:sz w:val="24"/>
          <w:szCs w:val="24"/>
          <w:lang w:eastAsia="zh-CN"/>
        </w:rPr>
        <w:t>5.2 首付款</w:t>
      </w:r>
      <w:bookmarkEnd w:id="672"/>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除合同专用条款另有约定外，委托人应当在双方签订合同后14天内向监理人支付首付款，额度为签约监理酬金的50%。</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3" w:name="_Toc371398322"/>
      <w:r>
        <w:rPr>
          <w:rFonts w:hint="eastAsia" w:ascii="宋体" w:hAnsi="宋体" w:eastAsia="宋体" w:cs="宋体"/>
          <w:b/>
          <w:color w:val="000000"/>
          <w:sz w:val="24"/>
          <w:szCs w:val="24"/>
          <w:lang w:eastAsia="zh-CN"/>
        </w:rPr>
        <w:t>5.3 中期支付</w:t>
      </w:r>
      <w:bookmarkEnd w:id="673"/>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5.3.1监理酬金</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委托人采用总价</w:t>
      </w:r>
      <w:r>
        <w:rPr>
          <w:rFonts w:hint="eastAsia" w:ascii="宋体" w:hAnsi="宋体" w:eastAsia="宋体" w:cs="宋体"/>
          <w:sz w:val="24"/>
          <w:szCs w:val="24"/>
          <w:lang w:eastAsia="zh-CN"/>
        </w:rPr>
        <w:t>平均、分期支付的方式按月向监理</w:t>
      </w:r>
      <w:r>
        <w:rPr>
          <w:rFonts w:hint="eastAsia" w:ascii="宋体" w:hAnsi="宋体" w:eastAsia="宋体" w:cs="宋体"/>
          <w:color w:val="000000"/>
          <w:sz w:val="24"/>
          <w:szCs w:val="24"/>
          <w:lang w:eastAsia="zh-CN"/>
        </w:rPr>
        <w:t>人支付监理酬金。具体支付方式在合同专用条款中约定。</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5.3.2</w:t>
      </w:r>
      <w:r>
        <w:rPr>
          <w:rFonts w:hint="eastAsia" w:ascii="宋体" w:hAnsi="宋体" w:eastAsia="宋体" w:cs="宋体"/>
          <w:color w:val="000000"/>
          <w:kern w:val="2"/>
          <w:sz w:val="24"/>
          <w:szCs w:val="24"/>
          <w:lang w:eastAsia="zh-CN"/>
        </w:rPr>
        <w:t>相关服务酬金</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相关服务酬金按合同约定的人工日费用，根据实际工作时间支付。具体支付方式在合同专用条款中约定。</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5.3.3</w:t>
      </w:r>
      <w:r>
        <w:rPr>
          <w:rFonts w:hint="eastAsia" w:ascii="宋体" w:hAnsi="宋体" w:eastAsia="宋体" w:cs="宋体"/>
          <w:color w:val="000000"/>
          <w:kern w:val="2"/>
          <w:sz w:val="24"/>
          <w:szCs w:val="24"/>
          <w:lang w:eastAsia="zh-CN"/>
        </w:rPr>
        <w:t>附加工作酬金</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附加工作酬金经双方确定后按月支付。具体支付方式在合同专用条款中约定。</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5.3.4</w:t>
      </w:r>
      <w:r>
        <w:rPr>
          <w:rFonts w:hint="eastAsia" w:ascii="宋体" w:hAnsi="宋体" w:eastAsia="宋体" w:cs="宋体"/>
          <w:color w:val="000000"/>
          <w:kern w:val="2"/>
          <w:sz w:val="24"/>
          <w:szCs w:val="24"/>
          <w:lang w:eastAsia="zh-CN"/>
        </w:rPr>
        <w:t>补偿费用</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补偿费用的支付方法在合同专用条款中约定。</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5.3.5</w:t>
      </w:r>
      <w:r>
        <w:rPr>
          <w:rFonts w:hint="eastAsia" w:ascii="宋体" w:hAnsi="宋体" w:eastAsia="宋体" w:cs="宋体"/>
          <w:color w:val="000000"/>
          <w:kern w:val="2"/>
          <w:sz w:val="24"/>
          <w:szCs w:val="24"/>
          <w:lang w:eastAsia="zh-CN"/>
        </w:rPr>
        <w:t>合理化建议奖励</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监理人提出合理化建议奖励金额的支付方法在合同专用条款中约定。</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5.3.6</w:t>
      </w:r>
      <w:r>
        <w:rPr>
          <w:rFonts w:hint="eastAsia" w:ascii="宋体" w:hAnsi="宋体" w:eastAsia="宋体" w:cs="宋体"/>
          <w:color w:val="000000"/>
          <w:kern w:val="2"/>
          <w:sz w:val="24"/>
          <w:szCs w:val="24"/>
          <w:lang w:eastAsia="zh-CN"/>
        </w:rPr>
        <w:t>竣工支付</w:t>
      </w:r>
    </w:p>
    <w:p>
      <w:pPr>
        <w:pageBreakBefore w:val="0"/>
        <w:widowControl w:val="0"/>
        <w:kinsoku/>
        <w:wordWrap/>
        <w:overflowPunct/>
        <w:topLinePunct w:val="0"/>
        <w:bidi w:val="0"/>
        <w:snapToGrid w:val="0"/>
        <w:spacing w:line="360" w:lineRule="auto"/>
        <w:ind w:firstLine="514"/>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工程竣工验收时，委托人累计支付的酬金比例应当不少于合同约定酬金总和的90%。</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在任何情况下，监理人均不得以委托人未按约定支付等原因而拒不签署工程竣工验收及移交竣工文件。</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5.3.7</w:t>
      </w:r>
      <w:r>
        <w:rPr>
          <w:rFonts w:hint="eastAsia" w:ascii="宋体" w:hAnsi="宋体" w:eastAsia="宋体" w:cs="宋体"/>
          <w:color w:val="000000"/>
          <w:kern w:val="2"/>
          <w:sz w:val="24"/>
          <w:szCs w:val="24"/>
          <w:lang w:eastAsia="zh-CN"/>
        </w:rPr>
        <w:t>支付申请</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监理人应当在合同约定的每个支付周期结束后的7天内，以书面形式向委托人提交支付申请书。支付申请书应当说明当期应付酬金和费用总额及细目、金额。</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支付申请书应当包括以下内容：</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（1）截至本次付款周期应当支付的酬金；</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（2）根据第4.1、4.2款确定的违约金和赔偿金；</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（3）根据第5.3.4项约定的补偿费用；</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（4）根据第5.3.5项约定</w:t>
      </w:r>
      <w:r>
        <w:rPr>
          <w:rStyle w:val="248"/>
          <w:rFonts w:hint="eastAsia" w:ascii="宋体" w:hAnsi="宋体" w:eastAsia="宋体" w:cs="宋体"/>
          <w:sz w:val="24"/>
          <w:szCs w:val="24"/>
          <w:lang w:eastAsia="zh-CN"/>
        </w:rPr>
        <w:t>可以</w:t>
      </w:r>
      <w:r>
        <w:rPr>
          <w:rFonts w:hint="eastAsia" w:ascii="宋体" w:hAnsi="宋体" w:eastAsia="宋体" w:cs="宋体"/>
          <w:color w:val="000000"/>
          <w:sz w:val="24"/>
          <w:szCs w:val="24"/>
          <w:lang w:eastAsia="zh-CN"/>
        </w:rPr>
        <w:t>支付的合理化建议奖励；</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（5）根据第6.2款应当增加或扣减的变更金额；</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（6）根据合同应当增加和扣减的其他金额。</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5.3.8支付时限</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除合同专用条款另有约定外，委托人应当在收到监理支付申请后7天内予以审批，在批复后14天内向监理人支付酬金。</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4" w:name="_Toc371398323"/>
      <w:r>
        <w:rPr>
          <w:rFonts w:hint="eastAsia" w:ascii="宋体" w:hAnsi="宋体" w:eastAsia="宋体" w:cs="宋体"/>
          <w:b/>
          <w:color w:val="000000"/>
          <w:sz w:val="24"/>
          <w:szCs w:val="24"/>
          <w:lang w:eastAsia="zh-CN"/>
        </w:rPr>
        <w:t>5.4 有争议部分的付款</w:t>
      </w:r>
      <w:bookmarkEnd w:id="674"/>
    </w:p>
    <w:p>
      <w:pPr>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委托人对监理人提交的支付申请书有异议时，应当在收到监理人提交的支付申请书后7天内，以书面形式向监理人发出异议通知。无异议部分的款项应当按期支付，有异议部分的款项按第7条约定办理。</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5" w:name="_Toc371398324"/>
      <w:r>
        <w:rPr>
          <w:rFonts w:hint="eastAsia" w:ascii="宋体" w:hAnsi="宋体" w:eastAsia="宋体" w:cs="宋体"/>
          <w:b/>
          <w:color w:val="000000"/>
          <w:sz w:val="24"/>
          <w:szCs w:val="24"/>
          <w:lang w:eastAsia="zh-CN"/>
        </w:rPr>
        <w:t>5.5 结算</w:t>
      </w:r>
      <w:bookmarkEnd w:id="675"/>
    </w:p>
    <w:p>
      <w:pPr>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工程竣工后，监理与相关服务结算价款依据本合同文件约定的结算方法进行调整</w:t>
      </w:r>
      <w:r>
        <w:rPr>
          <w:rFonts w:hint="eastAsia" w:ascii="宋体" w:hAnsi="宋体" w:eastAsia="宋体" w:cs="宋体"/>
          <w:sz w:val="24"/>
          <w:szCs w:val="24"/>
          <w:lang w:eastAsia="zh-CN"/>
        </w:rPr>
        <w:t>，并于工程竣工结算后28天内一次性支付剩余监理与相关服务酬金。</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76" w:name="_Toc371398325"/>
      <w:r>
        <w:rPr>
          <w:rFonts w:hint="eastAsia" w:ascii="宋体" w:hAnsi="宋体" w:eastAsia="宋体" w:cs="宋体"/>
          <w:color w:val="000000"/>
          <w:sz w:val="24"/>
          <w:szCs w:val="24"/>
          <w:lang w:eastAsia="zh-CN"/>
        </w:rPr>
        <w:t>6. 合同生效、变更与终止</w:t>
      </w:r>
      <w:bookmarkEnd w:id="676"/>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7" w:name="_Toc371398326"/>
      <w:r>
        <w:rPr>
          <w:rFonts w:hint="eastAsia" w:ascii="宋体" w:hAnsi="宋体" w:eastAsia="宋体" w:cs="宋体"/>
          <w:b/>
          <w:color w:val="000000"/>
          <w:sz w:val="24"/>
          <w:szCs w:val="24"/>
          <w:lang w:eastAsia="zh-CN"/>
        </w:rPr>
        <w:t>6.1 生效</w:t>
      </w:r>
      <w:bookmarkEnd w:id="677"/>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除法律另有规定或合同专用条款另有约定外，委托人和监理人的法定代表人或其授权代理人在合同协议书上签字并盖单位章后合同生效。</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8" w:name="_Toc371398327"/>
      <w:r>
        <w:rPr>
          <w:rFonts w:hint="eastAsia" w:ascii="宋体" w:hAnsi="宋体" w:eastAsia="宋体" w:cs="宋体"/>
          <w:b/>
          <w:color w:val="000000"/>
          <w:sz w:val="24"/>
          <w:szCs w:val="24"/>
          <w:lang w:eastAsia="zh-CN"/>
        </w:rPr>
        <w:t>6.2变更</w:t>
      </w:r>
      <w:bookmarkEnd w:id="678"/>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6.2.1 附加工作</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除合同专用条款另有约定外，在履行合同过程中发生以下情形之一，视为附加工作，委托人应向监理人支付附加工作酬金。除下列第6.2.1.4目的情形外，附加工作酬金的确定方法为：</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a. 因非监理人原因工程工期延长，按下列方法确定：</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附加工作酬金=增加的监理与相关服务时间（天）×正常工作酬金÷合同协议书约定的监理与相关服务期限（天）</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b. 实际情况发生变化导致履行中的合同全部或部分中止，监理人完成善后工作以及恢复服务前准备工作的工作酬金按下列方法确定：</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附加工作酬金=善后或准备工作的时间（天）×正常工作酬金÷合同协议书约定的监理与相关服务期限（天）</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6.2.1.1 除不可抗力外，因非监理人原因，工程工期延长；</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6.2.1.2因非监理人原因监理与相关服务受到延误或阻碍或暂停；</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6.2.1.3实际情况发生变化，使监理人不能完成全部或部分工作，监理人进行善后工作以及恢复服务准备工作，监理人用于恢复服务的时间不得超过28天；</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6.2.1.4监理与相关服务内容增加，附加工作酬金应该按照增加的内容占正常工作范围内监理与相关服务内容的比例计算，具体比例由双方根据增加的内容通过协商确定。</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6.2.2 合同签订后，遇有与工程相关的法律、法规、标准颁布或修订的，双方应当遵照执行。由此引起监理与相关服务的范围、时间、酬金变化的，双方应当通过协商进行相应调整。</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6.2.3因非监理人原</w:t>
      </w:r>
      <w:r>
        <w:rPr>
          <w:rFonts w:hint="eastAsia" w:ascii="宋体" w:hAnsi="宋体" w:eastAsia="宋体" w:cs="宋体"/>
          <w:sz w:val="24"/>
          <w:szCs w:val="24"/>
          <w:lang w:eastAsia="zh-CN"/>
        </w:rPr>
        <w:t>因，工程投资额（建筑安装工程费）增加，</w:t>
      </w:r>
      <w:r>
        <w:rPr>
          <w:rFonts w:hint="eastAsia" w:ascii="宋体" w:hAnsi="宋体" w:eastAsia="宋体" w:cs="宋体"/>
          <w:color w:val="000000"/>
          <w:sz w:val="24"/>
          <w:szCs w:val="24"/>
          <w:lang w:eastAsia="zh-CN"/>
        </w:rPr>
        <w:t>正常工作酬金应当按以下方法调整：</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正常工作酬金增加额=工程投资（建筑安装工程费）增加额×正常工作酬金÷工程概算投资额（建筑安装工程费）</w:t>
      </w:r>
    </w:p>
    <w:p>
      <w:pPr>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6.2.4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双方根据减少的内容通过协商确定。</w:t>
      </w:r>
    </w:p>
    <w:p>
      <w:pPr>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工程投资额（建筑</w:t>
      </w:r>
      <w:r>
        <w:rPr>
          <w:rFonts w:hint="eastAsia" w:ascii="宋体" w:hAnsi="宋体" w:eastAsia="宋体" w:cs="宋体"/>
          <w:sz w:val="24"/>
          <w:szCs w:val="24"/>
          <w:lang w:eastAsia="zh-CN"/>
        </w:rPr>
        <w:t>安装工程费）或监理与相关服务内容未发生变化，工程提前竣工，不减少监理人酬金</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6.2.5 任何一方提出变更请求时，双方经协商一致后可进行变更。</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79" w:name="_Toc371398328"/>
      <w:r>
        <w:rPr>
          <w:rFonts w:hint="eastAsia" w:ascii="宋体" w:hAnsi="宋体" w:eastAsia="宋体" w:cs="宋体"/>
          <w:b/>
          <w:color w:val="000000"/>
          <w:sz w:val="24"/>
          <w:szCs w:val="24"/>
          <w:lang w:eastAsia="zh-CN"/>
        </w:rPr>
        <w:t>6.3 暂停履行与解除</w:t>
      </w:r>
      <w:bookmarkEnd w:id="679"/>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6.3.1 委托人发出通知</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当监理人发生第4.1.1项情况时，委托人应当通知监理人限期改正。若委托人在发出通知后7天内没有收到监理人书面形式的合理解释，则可在7天内发出解除合同的通知，自通知到达监理人时合同解除。委托人无需向监理支付酬金，已支付的监理人应予以返还，同时监理人应承担相应的违约责任。</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6.3.2 监理人发出通知</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当委托人发生下列情况时，监理人可向委托人发出解除合同的通知，自通知到达委托人时合同解除，委托人应当将监理与相关服务的酬金支付至合同解除日。</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6.3.2.1 监理人在合同专用条款中约定的支付之日起28天后仍未收到委托人按合同约定应付的酬金，可向委托人发出催付通知。委托人接到通知14天后应支付或提出监理人可以接受的延期支付安排。</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6.3.3 双方协商一致</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合同有效期内，由于双方无法预见和控制的原因导致合同全部或部分无法继续履行或继续履行已无意义，经双方协商一致，可以解除合同或监理人的部分义务。在解除之前，监理人应当作出合理安排，使开支减至最小。</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6.3.4 不可抗力导致合同暂停或解除</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因不可抗力致使合同不能履行或只能部分履行时，一方应当立即书面通知另一方，暂停或解除合同。</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80" w:name="_Toc371398329"/>
      <w:r>
        <w:rPr>
          <w:rFonts w:hint="eastAsia" w:ascii="宋体" w:hAnsi="宋体" w:eastAsia="宋体" w:cs="宋体"/>
          <w:b/>
          <w:color w:val="000000"/>
          <w:sz w:val="24"/>
          <w:szCs w:val="24"/>
          <w:lang w:eastAsia="zh-CN"/>
        </w:rPr>
        <w:t>6.4 终止</w:t>
      </w:r>
      <w:bookmarkEnd w:id="680"/>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6.4.1 下列条件之一成就时，合同权利义务即告终止：</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（1）按第6.3款约定双方解除合同；</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（2）监理人完成合同约定的全部工作。</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6.4.2合同权利义务终止后，合同约定的有关结算、清理、争议解决方式的条款仍然有效。</w:t>
      </w:r>
    </w:p>
    <w:p>
      <w:pPr>
        <w:pageBreakBefore w:val="0"/>
        <w:widowControl w:val="0"/>
        <w:kinsoku/>
        <w:wordWrap/>
        <w:overflowPunct/>
        <w:topLinePunct w:val="0"/>
        <w:autoSpaceDE w:val="0"/>
        <w:autoSpaceDN w:val="0"/>
        <w:bidi w:val="0"/>
        <w:adjustRightInd w:val="0"/>
        <w:spacing w:before="156" w:beforeLines="50" w:line="240" w:lineRule="auto"/>
        <w:textAlignment w:val="auto"/>
        <w:outlineLvl w:val="1"/>
        <w:rPr>
          <w:rFonts w:hint="eastAsia" w:ascii="宋体" w:hAnsi="宋体" w:eastAsia="宋体" w:cs="宋体"/>
          <w:color w:val="000000"/>
          <w:sz w:val="24"/>
          <w:szCs w:val="24"/>
          <w:lang w:eastAsia="zh-CN"/>
        </w:rPr>
      </w:pPr>
      <w:bookmarkStart w:id="681" w:name="_Toc371398330"/>
      <w:r>
        <w:rPr>
          <w:rFonts w:hint="eastAsia" w:ascii="宋体" w:hAnsi="宋体" w:eastAsia="宋体" w:cs="宋体"/>
          <w:color w:val="000000"/>
          <w:sz w:val="24"/>
          <w:szCs w:val="24"/>
          <w:lang w:eastAsia="zh-CN"/>
        </w:rPr>
        <w:t>7. 争议解决</w:t>
      </w:r>
      <w:bookmarkEnd w:id="681"/>
    </w:p>
    <w:p>
      <w:pPr>
        <w:pStyle w:val="5"/>
        <w:pageBreakBefore w:val="0"/>
        <w:widowControl w:val="0"/>
        <w:pBdr>
          <w:bottom w:val="none" w:color="auto" w:sz="0" w:space="0"/>
        </w:pBdr>
        <w:kinsoku/>
        <w:wordWrap/>
        <w:overflowPunct/>
        <w:topLinePunct w:val="0"/>
        <w:bidi w:val="0"/>
        <w:spacing w:before="120" w:after="120" w:line="240" w:lineRule="auto"/>
        <w:ind w:left="420" w:leftChars="200"/>
        <w:textAlignment w:val="auto"/>
        <w:rPr>
          <w:rFonts w:hint="eastAsia" w:ascii="宋体" w:hAnsi="宋体" w:eastAsia="宋体" w:cs="宋体"/>
          <w:b/>
          <w:color w:val="000000"/>
          <w:sz w:val="24"/>
          <w:szCs w:val="24"/>
          <w:lang w:eastAsia="zh-CN"/>
        </w:rPr>
      </w:pPr>
      <w:bookmarkStart w:id="682" w:name="_Toc371398331"/>
      <w:r>
        <w:rPr>
          <w:rFonts w:hint="eastAsia" w:ascii="宋体" w:hAnsi="宋体" w:eastAsia="宋体" w:cs="宋体"/>
          <w:b/>
          <w:color w:val="000000"/>
          <w:sz w:val="24"/>
          <w:szCs w:val="24"/>
          <w:lang w:eastAsia="zh-CN"/>
        </w:rPr>
        <w:t>7.1协商</w:t>
      </w:r>
      <w:bookmarkEnd w:id="68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lang w:eastAsia="zh-CN"/>
        </w:rPr>
        <w:t>双方应当本着诚信原则协商解决彼此间的争议。</w:t>
      </w:r>
    </w:p>
    <w:p>
      <w:pPr>
        <w:pStyle w:val="5"/>
        <w:pageBreakBefore w:val="0"/>
        <w:widowControl w:val="0"/>
        <w:pBdr>
          <w:bottom w:val="none" w:color="auto" w:sz="0" w:space="0"/>
        </w:pBdr>
        <w:kinsoku/>
        <w:wordWrap/>
        <w:overflowPunct/>
        <w:topLinePunct w:val="0"/>
        <w:bidi w:val="0"/>
        <w:spacing w:before="120" w:after="120" w:line="240" w:lineRule="auto"/>
        <w:ind w:left="420" w:leftChars="200"/>
        <w:textAlignment w:val="auto"/>
        <w:rPr>
          <w:rFonts w:hint="eastAsia" w:ascii="宋体" w:hAnsi="宋体" w:eastAsia="宋体" w:cs="宋体"/>
          <w:b/>
          <w:color w:val="000000"/>
          <w:sz w:val="24"/>
          <w:szCs w:val="24"/>
          <w:lang w:eastAsia="zh-CN"/>
        </w:rPr>
      </w:pPr>
      <w:bookmarkStart w:id="683" w:name="_Toc371398332"/>
      <w:r>
        <w:rPr>
          <w:rFonts w:hint="eastAsia" w:ascii="宋体" w:hAnsi="宋体" w:eastAsia="宋体" w:cs="宋体"/>
          <w:b/>
          <w:color w:val="000000"/>
          <w:sz w:val="24"/>
          <w:szCs w:val="24"/>
          <w:lang w:eastAsia="zh-CN"/>
        </w:rPr>
        <w:t>7.2调解</w:t>
      </w:r>
      <w:bookmarkEnd w:id="68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lang w:eastAsia="zh-CN"/>
        </w:rPr>
        <w:t>如果双方不能在14天内或双方商定的其他时间内解决合同争议，可以将其提交给合同专用条款约定的或事后达成协议选定的调解人进行调解。</w:t>
      </w:r>
    </w:p>
    <w:p>
      <w:pPr>
        <w:pStyle w:val="5"/>
        <w:pageBreakBefore w:val="0"/>
        <w:widowControl w:val="0"/>
        <w:pBdr>
          <w:bottom w:val="none" w:color="auto" w:sz="0" w:space="0"/>
        </w:pBdr>
        <w:kinsoku/>
        <w:wordWrap/>
        <w:overflowPunct/>
        <w:topLinePunct w:val="0"/>
        <w:bidi w:val="0"/>
        <w:spacing w:before="120" w:after="120" w:line="240" w:lineRule="auto"/>
        <w:ind w:left="420" w:leftChars="200"/>
        <w:textAlignment w:val="auto"/>
        <w:rPr>
          <w:rFonts w:hint="eastAsia" w:ascii="宋体" w:hAnsi="宋体" w:eastAsia="宋体" w:cs="宋体"/>
          <w:b/>
          <w:color w:val="000000"/>
          <w:sz w:val="24"/>
          <w:szCs w:val="24"/>
          <w:lang w:eastAsia="zh-CN"/>
        </w:rPr>
      </w:pPr>
      <w:bookmarkStart w:id="684" w:name="_Toc371398333"/>
      <w:r>
        <w:rPr>
          <w:rFonts w:hint="eastAsia" w:ascii="宋体" w:hAnsi="宋体" w:eastAsia="宋体" w:cs="宋体"/>
          <w:b/>
          <w:color w:val="000000"/>
          <w:sz w:val="24"/>
          <w:szCs w:val="24"/>
          <w:lang w:eastAsia="zh-CN"/>
        </w:rPr>
        <w:t>7.3仲裁或诉讼</w:t>
      </w:r>
      <w:bookmarkEnd w:id="68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双方均有权不经调解直接向合同专用条款约定的仲裁机构申请仲裁或向有管辖权的人民法院提起诉讼。</w:t>
      </w:r>
    </w:p>
    <w:p>
      <w:pPr>
        <w:rPr>
          <w:b/>
          <w:sz w:val="36"/>
          <w:szCs w:val="36"/>
        </w:rPr>
      </w:pPr>
      <w:r>
        <w:rPr>
          <w:b/>
          <w:sz w:val="36"/>
          <w:szCs w:val="36"/>
        </w:rPr>
        <w:br w:type="page"/>
      </w:r>
    </w:p>
    <w:p>
      <w:pPr>
        <w:pageBreakBefore/>
        <w:spacing w:line="360" w:lineRule="auto"/>
        <w:jc w:val="center"/>
        <w:rPr>
          <w:rFonts w:ascii="Times New Roman" w:hAnsi="Times New Roman"/>
          <w:b/>
          <w:color w:val="000000"/>
          <w:sz w:val="32"/>
          <w:szCs w:val="32"/>
          <w:lang w:eastAsia="zh-CN"/>
        </w:rPr>
      </w:pPr>
      <w:r>
        <w:rPr>
          <w:rFonts w:ascii="Times New Roman" w:hAnsi="Times New Roman"/>
          <w:b/>
          <w:color w:val="000000"/>
          <w:sz w:val="32"/>
          <w:szCs w:val="32"/>
          <w:lang w:eastAsia="zh-CN"/>
        </w:rPr>
        <w:t>第三部分  合同专用条款</w:t>
      </w:r>
    </w:p>
    <w:p>
      <w:pPr>
        <w:spacing w:line="360" w:lineRule="auto"/>
        <w:jc w:val="center"/>
        <w:rPr>
          <w:rFonts w:ascii="Times New Roman" w:hAnsi="Times New Roman"/>
          <w:b/>
          <w:color w:val="000000"/>
          <w:sz w:val="24"/>
          <w:lang w:eastAsia="zh-CN"/>
        </w:rPr>
      </w:pP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85" w:name="_Toc371398132"/>
      <w:r>
        <w:rPr>
          <w:rFonts w:hint="eastAsia" w:ascii="宋体" w:hAnsi="宋体" w:eastAsia="宋体" w:cs="宋体"/>
          <w:color w:val="000000"/>
          <w:sz w:val="24"/>
          <w:szCs w:val="24"/>
          <w:lang w:eastAsia="zh-CN"/>
        </w:rPr>
        <w:t>1. 定义与解释</w:t>
      </w:r>
      <w:bookmarkEnd w:id="685"/>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86" w:name="_Toc371398133"/>
      <w:r>
        <w:rPr>
          <w:rFonts w:hint="eastAsia" w:ascii="宋体" w:hAnsi="宋体" w:eastAsia="宋体" w:cs="宋体"/>
          <w:b/>
          <w:color w:val="000000"/>
          <w:sz w:val="24"/>
          <w:szCs w:val="24"/>
          <w:lang w:eastAsia="zh-CN"/>
        </w:rPr>
        <w:t>1.3 合同文件组成与解释顺序</w:t>
      </w:r>
      <w:bookmarkEnd w:id="686"/>
    </w:p>
    <w:p>
      <w:pPr>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1.3 组成合同文件的其他文件：</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87" w:name="_Toc371398134"/>
      <w:r>
        <w:rPr>
          <w:rFonts w:hint="eastAsia" w:ascii="宋体" w:hAnsi="宋体" w:eastAsia="宋体" w:cs="宋体"/>
          <w:b/>
          <w:color w:val="000000"/>
          <w:sz w:val="24"/>
          <w:szCs w:val="24"/>
          <w:lang w:eastAsia="zh-CN"/>
        </w:rPr>
        <w:t>1.5 保密</w:t>
      </w:r>
      <w:bookmarkEnd w:id="687"/>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委托人申明的保密事项和期限：</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（1）保密事项：与本工程施工、监理有关的一切资料、文件，监理人均应保密，上级主管部门或有监管权的政府部门因工作需要依法获取的除外。</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（2）保密期限：永久保密。</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监理人申明的保密事项和期限：</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 xml:space="preserve">第三方申明的保密事项和期限： </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88" w:name="_Toc371398135"/>
      <w:r>
        <w:rPr>
          <w:rFonts w:hint="eastAsia" w:ascii="宋体" w:hAnsi="宋体" w:eastAsia="宋体" w:cs="宋体"/>
          <w:color w:val="000000"/>
          <w:sz w:val="24"/>
          <w:szCs w:val="24"/>
          <w:lang w:eastAsia="zh-CN"/>
        </w:rPr>
        <w:t>2. 监理人义务</w:t>
      </w:r>
      <w:bookmarkEnd w:id="688"/>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89" w:name="_Toc371398136"/>
      <w:r>
        <w:rPr>
          <w:rFonts w:hint="eastAsia" w:ascii="宋体" w:hAnsi="宋体" w:eastAsia="宋体" w:cs="宋体"/>
          <w:b/>
          <w:color w:val="000000"/>
          <w:sz w:val="24"/>
          <w:szCs w:val="24"/>
          <w:lang w:eastAsia="zh-CN"/>
        </w:rPr>
        <w:t>2.1 监理与相关服务的工程范围和服务内容</w:t>
      </w:r>
      <w:bookmarkEnd w:id="689"/>
    </w:p>
    <w:p>
      <w:pPr>
        <w:pageBreakBefore w:val="0"/>
        <w:widowControl w:val="0"/>
        <w:kinsoku/>
        <w:wordWrap/>
        <w:overflowPunct/>
        <w:topLinePunct w:val="0"/>
        <w:bidi w:val="0"/>
        <w:spacing w:line="360" w:lineRule="auto"/>
        <w:ind w:firstLine="357"/>
        <w:textAlignment w:val="auto"/>
        <w:rPr>
          <w:rFonts w:hint="eastAsia" w:ascii="宋体" w:hAnsi="宋体" w:eastAsia="宋体" w:cs="宋体"/>
          <w:sz w:val="24"/>
          <w:szCs w:val="24"/>
          <w:u w:val="single"/>
          <w:lang w:eastAsia="zh-CN"/>
        </w:rPr>
      </w:pPr>
      <w:r>
        <w:rPr>
          <w:rFonts w:hint="eastAsia" w:ascii="宋体" w:hAnsi="宋体" w:eastAsia="宋体" w:cs="宋体"/>
          <w:color w:val="000000"/>
          <w:sz w:val="24"/>
          <w:szCs w:val="24"/>
          <w:lang w:eastAsia="zh-CN"/>
        </w:rPr>
        <w:t>2.1.1 监理与相关服务的工程范围包括：</w:t>
      </w:r>
      <w:r>
        <w:rPr>
          <w:rFonts w:hint="eastAsia" w:ascii="宋体" w:hAnsi="宋体" w:eastAsia="宋体" w:cs="宋体"/>
          <w:sz w:val="24"/>
          <w:szCs w:val="24"/>
          <w:u w:val="single"/>
          <w:lang w:eastAsia="zh-CN"/>
        </w:rPr>
        <w:t>施工阶段监理服务内容：根据法律法规、工程建设标准、勘察设计文件及合同，在施工阶段对建设工程质量、进度、造价进行控制，对合同、信息进行管理，对工程建设相关方的关系进行协调，并履行建设工程安全生产管理法定及合同约定的职责。</w:t>
      </w:r>
    </w:p>
    <w:p>
      <w:pPr>
        <w:pageBreakBefore w:val="0"/>
        <w:widowControl w:val="0"/>
        <w:kinsoku/>
        <w:wordWrap/>
        <w:overflowPunct/>
        <w:topLinePunct w:val="0"/>
        <w:bidi w:val="0"/>
        <w:adjustRightInd w:val="0"/>
        <w:snapToGrid w:val="0"/>
        <w:spacing w:line="360" w:lineRule="auto"/>
        <w:ind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2.1.3.5 其他相关服务的内容：</w:t>
      </w:r>
      <w:r>
        <w:rPr>
          <w:rFonts w:hint="eastAsia" w:ascii="宋体" w:hAnsi="宋体" w:eastAsia="宋体" w:cs="宋体"/>
          <w:sz w:val="24"/>
          <w:szCs w:val="24"/>
          <w:u w:val="single"/>
          <w:lang w:eastAsia="zh-CN"/>
        </w:rPr>
        <w:t xml:space="preserve">负责组织及办理工程预验收手续，协助招标人协调政府相关部门 </w:t>
      </w:r>
      <w:r>
        <w:rPr>
          <w:rFonts w:hint="eastAsia" w:ascii="宋体" w:hAnsi="宋体" w:eastAsia="宋体" w:cs="宋体"/>
          <w:sz w:val="24"/>
          <w:szCs w:val="24"/>
          <w:lang w:eastAsia="zh-CN"/>
        </w:rPr>
        <w:t>。</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90" w:name="_Toc371398137"/>
      <w:r>
        <w:rPr>
          <w:rFonts w:hint="eastAsia" w:ascii="宋体" w:hAnsi="宋体" w:eastAsia="宋体" w:cs="宋体"/>
          <w:b/>
          <w:color w:val="000000"/>
          <w:sz w:val="24"/>
          <w:szCs w:val="24"/>
          <w:lang w:eastAsia="zh-CN"/>
        </w:rPr>
        <w:t>2.2 监理与相关服务依据</w:t>
      </w:r>
      <w:bookmarkEnd w:id="690"/>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2.2.1 监理依据：</w:t>
      </w:r>
      <w:r>
        <w:rPr>
          <w:rFonts w:hint="eastAsia" w:ascii="宋体" w:hAnsi="宋体" w:eastAsia="宋体" w:cs="宋体"/>
          <w:color w:val="000000"/>
          <w:sz w:val="24"/>
          <w:szCs w:val="24"/>
          <w:u w:val="single"/>
          <w:lang w:eastAsia="zh-CN"/>
        </w:rPr>
        <w:t xml:space="preserve"> </w:t>
      </w:r>
      <w:r>
        <w:rPr>
          <w:rFonts w:hint="eastAsia" w:ascii="宋体" w:hAnsi="宋体" w:eastAsia="宋体" w:cs="宋体"/>
          <w:sz w:val="24"/>
          <w:szCs w:val="24"/>
          <w:u w:val="single"/>
          <w:lang w:eastAsia="zh-CN"/>
        </w:rPr>
        <w:t xml:space="preserve"> 国家及北京市现行的建设法规文件；国家及北京市现行的建筑、装修、安装工程的规范、标准、规程；北京市现行的工程计价相关文件规定；本工程正式施工图纸及相关标准图；本工程的施工总承包合同及与工程有关的其它分包合同；本工程的监理委托合同  </w:t>
      </w:r>
      <w:r>
        <w:rPr>
          <w:rFonts w:hint="eastAsia" w:ascii="宋体" w:hAnsi="宋体" w:eastAsia="宋体" w:cs="宋体"/>
          <w:sz w:val="24"/>
          <w:szCs w:val="24"/>
          <w:lang w:eastAsia="zh-CN"/>
        </w:rPr>
        <w:t>。</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dstrike/>
          <w:color w:val="000000"/>
          <w:sz w:val="24"/>
          <w:szCs w:val="24"/>
          <w:lang w:eastAsia="zh-CN"/>
        </w:rPr>
      </w:pPr>
      <w:r>
        <w:rPr>
          <w:rFonts w:hint="eastAsia" w:ascii="宋体" w:hAnsi="宋体" w:eastAsia="宋体" w:cs="宋体"/>
          <w:sz w:val="24"/>
          <w:szCs w:val="24"/>
          <w:lang w:eastAsia="zh-CN"/>
        </w:rPr>
        <w:t>2.2.2 相关服务依据：</w:t>
      </w:r>
      <w:r>
        <w:rPr>
          <w:rFonts w:hint="eastAsia" w:ascii="宋体" w:hAnsi="宋体" w:eastAsia="宋体" w:cs="宋体"/>
          <w:sz w:val="24"/>
          <w:szCs w:val="24"/>
          <w:u w:val="single"/>
          <w:lang w:eastAsia="zh-CN"/>
        </w:rPr>
        <w:t xml:space="preserve">  《建设工程监理规范》（GB/T50319-2013）、《建设工程监理规程》（DB11/T 382－2017）等国家和北京市现行有关工程建设和建设监理的法律、法规、规章、规范、规程、技术标准、要求、通知及其他规范性文件；本合同在实施过程中如与国家及北京市颁布的新规范性文件有抵触时，按国家及北京市颁布的新规范性文件执行 </w:t>
      </w:r>
      <w:r>
        <w:rPr>
          <w:rFonts w:hint="eastAsia" w:ascii="宋体" w:hAnsi="宋体" w:eastAsia="宋体" w:cs="宋体"/>
          <w:sz w:val="24"/>
          <w:szCs w:val="24"/>
          <w:lang w:eastAsia="zh-CN"/>
        </w:rPr>
        <w:t>。</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auto"/>
          <w:sz w:val="24"/>
          <w:szCs w:val="24"/>
          <w:lang w:eastAsia="zh-CN"/>
        </w:rPr>
      </w:pPr>
      <w:bookmarkStart w:id="691" w:name="_Toc371398138"/>
      <w:r>
        <w:rPr>
          <w:rFonts w:hint="eastAsia" w:ascii="宋体" w:hAnsi="宋体" w:eastAsia="宋体" w:cs="宋体"/>
          <w:b/>
          <w:color w:val="000000"/>
          <w:sz w:val="24"/>
          <w:szCs w:val="24"/>
          <w:lang w:eastAsia="zh-CN"/>
        </w:rPr>
        <w:t>2.3 项目监理与相关服务机构</w:t>
      </w:r>
      <w:r>
        <w:rPr>
          <w:rFonts w:hint="eastAsia" w:ascii="宋体" w:hAnsi="宋体" w:eastAsia="宋体" w:cs="宋体"/>
          <w:b/>
          <w:color w:val="auto"/>
          <w:sz w:val="24"/>
          <w:szCs w:val="24"/>
          <w:lang w:eastAsia="zh-CN"/>
        </w:rPr>
        <w:t>和人员</w:t>
      </w:r>
      <w:bookmarkEnd w:id="691"/>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2.3.4 更换监理人员的其他情形：</w:t>
      </w:r>
      <w:r>
        <w:rPr>
          <w:rFonts w:hint="eastAsia" w:ascii="宋体" w:hAnsi="宋体" w:eastAsia="宋体" w:cs="宋体"/>
          <w:sz w:val="24"/>
          <w:szCs w:val="24"/>
          <w:u w:val="single"/>
          <w:lang w:eastAsia="zh-CN"/>
        </w:rPr>
        <w:t>所派总监理工程师与所报总监理工程师不一致且未经建设方同意。（擅自变更监理人员的，除应恢复原人员外，情节严重的，建设方有权终止合同，由此造成的损失由监理人承担）</w:t>
      </w:r>
      <w:r>
        <w:rPr>
          <w:rFonts w:hint="eastAsia" w:ascii="宋体" w:hAnsi="宋体" w:eastAsia="宋体" w:cs="宋体"/>
          <w:sz w:val="24"/>
          <w:szCs w:val="24"/>
          <w:lang w:eastAsia="zh-CN"/>
        </w:rPr>
        <w:t>。</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auto"/>
          <w:sz w:val="24"/>
          <w:szCs w:val="24"/>
          <w:lang w:eastAsia="zh-CN"/>
        </w:rPr>
      </w:pPr>
      <w:bookmarkStart w:id="692" w:name="_Toc371398139"/>
      <w:r>
        <w:rPr>
          <w:rFonts w:hint="eastAsia" w:ascii="宋体" w:hAnsi="宋体" w:eastAsia="宋体" w:cs="宋体"/>
          <w:b/>
          <w:color w:val="auto"/>
          <w:sz w:val="24"/>
          <w:szCs w:val="24"/>
          <w:lang w:eastAsia="zh-CN"/>
        </w:rPr>
        <w:t>2.4 履行职责</w:t>
      </w:r>
      <w:bookmarkEnd w:id="692"/>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FF0000"/>
          <w:sz w:val="24"/>
          <w:szCs w:val="24"/>
          <w:lang w:eastAsia="zh-CN"/>
        </w:rPr>
      </w:pPr>
      <w:bookmarkStart w:id="693" w:name="_Toc343092723"/>
      <w:r>
        <w:rPr>
          <w:rFonts w:hint="eastAsia" w:ascii="宋体" w:hAnsi="宋体" w:eastAsia="宋体" w:cs="宋体"/>
          <w:color w:val="000000"/>
          <w:sz w:val="24"/>
          <w:szCs w:val="24"/>
          <w:lang w:eastAsia="zh-CN"/>
        </w:rPr>
        <w:t>2.4.3 对监理人的授权范围：</w:t>
      </w:r>
      <w:bookmarkEnd w:id="693"/>
      <w:r>
        <w:rPr>
          <w:rFonts w:hint="eastAsia" w:ascii="宋体" w:hAnsi="宋体" w:eastAsia="宋体" w:cs="宋体"/>
          <w:sz w:val="24"/>
          <w:szCs w:val="24"/>
          <w:u w:val="single"/>
          <w:lang w:eastAsia="zh-CN"/>
        </w:rPr>
        <w:t>工程图纸内及图纸外的全部施工范围的监理并按监理规程规定实施进度控制，质量控制，投资控制，信息管理，合同管理及协调等工作内容。</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在涉及工程延期</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天内和（或）金额</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万元内的变更，监理人不需请示委托人即可向承包人发布变更通知。</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94" w:name="_Toc371398140"/>
      <w:r>
        <w:rPr>
          <w:rFonts w:hint="eastAsia" w:ascii="宋体" w:hAnsi="宋体" w:eastAsia="宋体" w:cs="宋体"/>
          <w:b/>
          <w:color w:val="000000"/>
          <w:sz w:val="24"/>
          <w:szCs w:val="24"/>
          <w:lang w:eastAsia="zh-CN"/>
        </w:rPr>
        <w:t>2.7 提交报告</w:t>
      </w:r>
      <w:bookmarkEnd w:id="694"/>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监理人应当提交报告的种类（包括监理规划、监理月报及约定的专项报告）、时间和份数：</w:t>
      </w:r>
      <w:r>
        <w:rPr>
          <w:rFonts w:hint="eastAsia" w:ascii="宋体" w:hAnsi="宋体" w:eastAsia="宋体" w:cs="宋体"/>
          <w:sz w:val="24"/>
          <w:szCs w:val="24"/>
          <w:u w:val="single"/>
          <w:lang w:eastAsia="zh-CN"/>
        </w:rPr>
        <w:t>每月的25日上报月报，30日上报进度款审核报告，竣工工程移交报告，份数均要求四份，竣工项目施工过程概况、主要部位、环节的音像多媒体资料一套。</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95" w:name="_Toc371398141"/>
      <w:r>
        <w:rPr>
          <w:rFonts w:hint="eastAsia" w:ascii="宋体" w:hAnsi="宋体" w:eastAsia="宋体" w:cs="宋体"/>
          <w:b/>
          <w:color w:val="000000"/>
          <w:sz w:val="24"/>
          <w:szCs w:val="24"/>
          <w:lang w:eastAsia="zh-CN"/>
        </w:rPr>
        <w:t>2.9 使用委托人的财产</w:t>
      </w:r>
      <w:bookmarkEnd w:id="695"/>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lang w:eastAsia="zh-CN"/>
        </w:rPr>
        <w:t>委托人提供的人员、房屋、设备、设施：</w:t>
      </w:r>
      <w:r>
        <w:rPr>
          <w:rFonts w:hint="eastAsia" w:ascii="宋体" w:hAnsi="宋体" w:eastAsia="宋体" w:cs="宋体"/>
          <w:sz w:val="24"/>
          <w:szCs w:val="24"/>
          <w:u w:val="single"/>
          <w:lang w:eastAsia="zh-CN"/>
        </w:rPr>
        <w:t>提供一办公用房。</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由委托人提供的房屋、设备、设施的所有权属于：</w:t>
      </w:r>
      <w:r>
        <w:rPr>
          <w:rFonts w:hint="eastAsia" w:ascii="宋体" w:hAnsi="宋体" w:eastAsia="宋体" w:cs="宋体"/>
          <w:sz w:val="24"/>
          <w:szCs w:val="24"/>
          <w:u w:val="single"/>
          <w:lang w:eastAsia="zh-CN"/>
        </w:rPr>
        <w:t xml:space="preserve"> 委托人 </w:t>
      </w:r>
      <w:r>
        <w:rPr>
          <w:rFonts w:hint="eastAsia" w:ascii="宋体" w:hAnsi="宋体" w:eastAsia="宋体" w:cs="宋体"/>
          <w:sz w:val="24"/>
          <w:szCs w:val="24"/>
          <w:lang w:eastAsia="zh-CN"/>
        </w:rPr>
        <w:t>。</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在合同终止后，监理人应当在15</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天内移交委托人免费提供的设备、设施，移交的方式和时间为：</w:t>
      </w:r>
      <w:r>
        <w:rPr>
          <w:rFonts w:hint="eastAsia" w:ascii="宋体" w:hAnsi="宋体" w:eastAsia="宋体" w:cs="宋体"/>
          <w:sz w:val="24"/>
          <w:szCs w:val="24"/>
          <w:u w:val="single"/>
          <w:lang w:eastAsia="zh-CN"/>
        </w:rPr>
        <w:t>在工程现场将委托人提供的设施及属委托人的财产的剩余物品移交委托人</w:t>
      </w:r>
      <w:r>
        <w:rPr>
          <w:rFonts w:hint="eastAsia" w:ascii="宋体" w:hAnsi="宋体" w:eastAsia="宋体" w:cs="宋体"/>
          <w:color w:val="000000"/>
          <w:sz w:val="24"/>
          <w:szCs w:val="24"/>
          <w:lang w:eastAsia="zh-CN"/>
        </w:rPr>
        <w:t xml:space="preserve">，否则每逾期一日，监理人应向委托人支付违约金【 </w:t>
      </w:r>
      <w:r>
        <w:rPr>
          <w:rFonts w:hint="eastAsia" w:ascii="宋体" w:hAnsi="宋体" w:eastAsia="宋体" w:cs="宋体"/>
          <w:color w:val="000000"/>
          <w:sz w:val="24"/>
          <w:szCs w:val="24"/>
          <w:lang w:val="en-US" w:eastAsia="zh-CN"/>
        </w:rPr>
        <w:t>500</w:t>
      </w:r>
      <w:r>
        <w:rPr>
          <w:rFonts w:hint="eastAsia" w:ascii="宋体" w:hAnsi="宋体" w:eastAsia="宋体" w:cs="宋体"/>
          <w:color w:val="000000"/>
          <w:sz w:val="24"/>
          <w:szCs w:val="24"/>
          <w:lang w:eastAsia="zh-CN"/>
        </w:rPr>
        <w:t xml:space="preserve"> 】元</w:t>
      </w:r>
      <w:r>
        <w:rPr>
          <w:rFonts w:hint="eastAsia" w:ascii="宋体" w:hAnsi="宋体" w:eastAsia="宋体" w:cs="宋体"/>
          <w:sz w:val="24"/>
          <w:szCs w:val="24"/>
          <w:lang w:eastAsia="zh-CN"/>
        </w:rPr>
        <w:t>。</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696" w:name="_Toc371398142"/>
      <w:r>
        <w:rPr>
          <w:rFonts w:hint="eastAsia" w:ascii="宋体" w:hAnsi="宋体" w:eastAsia="宋体" w:cs="宋体"/>
          <w:color w:val="000000"/>
          <w:sz w:val="24"/>
          <w:szCs w:val="24"/>
          <w:lang w:eastAsia="zh-CN"/>
        </w:rPr>
        <w:t>3. 委托人义务</w:t>
      </w:r>
      <w:bookmarkEnd w:id="696"/>
      <w:r>
        <w:rPr>
          <w:rFonts w:hint="eastAsia" w:ascii="宋体" w:hAnsi="宋体" w:eastAsia="宋体" w:cs="宋体"/>
          <w:color w:val="000000"/>
          <w:sz w:val="24"/>
          <w:szCs w:val="24"/>
          <w:lang w:eastAsia="zh-CN"/>
        </w:rPr>
        <w:t xml:space="preserve">  </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3.2 提供资料</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委托人免费向监理人提供与工程有关的资料：</w:t>
      </w:r>
      <w:r>
        <w:rPr>
          <w:rFonts w:hint="eastAsia" w:ascii="宋体" w:hAnsi="宋体" w:eastAsia="宋体" w:cs="宋体"/>
          <w:sz w:val="24"/>
          <w:szCs w:val="24"/>
          <w:u w:val="single"/>
          <w:lang w:eastAsia="zh-CN"/>
        </w:rPr>
        <w:t>(1)全套施工图1套；(2)施工总承包合同,招标文件1套；；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)本工程供货合同（如有时）（</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lang w:eastAsia="zh-CN"/>
        </w:rPr>
        <w:t xml:space="preserve">）中标文件1套 </w:t>
      </w:r>
      <w:r>
        <w:rPr>
          <w:rFonts w:hint="eastAsia" w:ascii="宋体" w:hAnsi="宋体" w:eastAsia="宋体" w:cs="宋体"/>
          <w:color w:val="000000"/>
          <w:sz w:val="24"/>
          <w:szCs w:val="24"/>
          <w:lang w:eastAsia="zh-CN"/>
        </w:rPr>
        <w:t>。</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97" w:name="_Toc371398143"/>
      <w:r>
        <w:rPr>
          <w:rFonts w:hint="eastAsia" w:ascii="宋体" w:hAnsi="宋体" w:eastAsia="宋体" w:cs="宋体"/>
          <w:b/>
          <w:color w:val="000000"/>
          <w:sz w:val="24"/>
          <w:szCs w:val="24"/>
          <w:lang w:eastAsia="zh-CN"/>
        </w:rPr>
        <w:t>3.4 委托人代表</w:t>
      </w:r>
      <w:bookmarkEnd w:id="697"/>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委托人代表为：</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98" w:name="_Toc371398144"/>
      <w:r>
        <w:rPr>
          <w:rFonts w:hint="eastAsia" w:ascii="宋体" w:hAnsi="宋体" w:eastAsia="宋体" w:cs="宋体"/>
          <w:b/>
          <w:color w:val="000000"/>
          <w:sz w:val="24"/>
          <w:szCs w:val="24"/>
          <w:lang w:eastAsia="zh-CN"/>
        </w:rPr>
        <w:t>3.6 答复</w:t>
      </w:r>
      <w:bookmarkEnd w:id="698"/>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委托人同意在</w:t>
      </w:r>
      <w:r>
        <w:rPr>
          <w:rFonts w:hint="eastAsia" w:ascii="宋体" w:hAnsi="宋体" w:eastAsia="宋体" w:cs="宋体"/>
          <w:color w:val="000000"/>
          <w:sz w:val="24"/>
          <w:szCs w:val="24"/>
          <w:u w:val="single"/>
          <w:lang w:eastAsia="zh-CN"/>
        </w:rPr>
        <w:t xml:space="preserve"> 7</w:t>
      </w:r>
      <w:r>
        <w:rPr>
          <w:rFonts w:hint="eastAsia" w:ascii="宋体" w:hAnsi="宋体" w:eastAsia="宋体" w:cs="宋体"/>
          <w:color w:val="000000"/>
          <w:sz w:val="24"/>
          <w:szCs w:val="24"/>
          <w:lang w:eastAsia="zh-CN"/>
        </w:rPr>
        <w:t>天内，对监理人书面提交并要求作出决定的事宜给予书面答复。委托人未在上述期限内予以回复的，不视为认可。</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699" w:name="_Toc371398145"/>
      <w:r>
        <w:rPr>
          <w:rFonts w:hint="eastAsia" w:ascii="宋体" w:hAnsi="宋体" w:eastAsia="宋体" w:cs="宋体"/>
          <w:b/>
          <w:color w:val="000000"/>
          <w:sz w:val="24"/>
          <w:szCs w:val="24"/>
          <w:lang w:eastAsia="zh-CN"/>
        </w:rPr>
        <w:t>3.8 合理化建议的奖励</w:t>
      </w:r>
      <w:bookmarkEnd w:id="699"/>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监理人提出合理化建议的奖励金额按下列方法确定：</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奖励金额＝工程投资节省额×奖励金额的比率；</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奖励金额的比率为</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 。</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700" w:name="_Toc371398146"/>
      <w:r>
        <w:rPr>
          <w:rFonts w:hint="eastAsia" w:ascii="宋体" w:hAnsi="宋体" w:eastAsia="宋体" w:cs="宋体"/>
          <w:color w:val="000000"/>
          <w:sz w:val="24"/>
          <w:szCs w:val="24"/>
          <w:lang w:eastAsia="zh-CN"/>
        </w:rPr>
        <w:t>4. 违约</w:t>
      </w:r>
      <w:bookmarkEnd w:id="700"/>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701" w:name="_Toc371398147"/>
      <w:r>
        <w:rPr>
          <w:rFonts w:hint="eastAsia" w:ascii="宋体" w:hAnsi="宋体" w:eastAsia="宋体" w:cs="宋体"/>
          <w:b/>
          <w:color w:val="000000"/>
          <w:sz w:val="24"/>
          <w:szCs w:val="24"/>
          <w:lang w:eastAsia="zh-CN"/>
        </w:rPr>
        <w:t>4.1 监理人的违约</w:t>
      </w:r>
      <w:bookmarkEnd w:id="701"/>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4.1.1.3 监理人违约的其他情形：</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（1）监理人及其工作人员与第三方串通，损害委托人权益的，监理人应向委托人支付本合同约定酬金【 </w:t>
      </w:r>
      <w:r>
        <w:rPr>
          <w:rFonts w:hint="eastAsia" w:ascii="宋体" w:hAnsi="宋体" w:eastAsia="宋体" w:cs="宋体"/>
          <w:color w:val="000000"/>
          <w:sz w:val="24"/>
          <w:szCs w:val="24"/>
          <w:lang w:val="en-US" w:eastAsia="zh-CN"/>
        </w:rPr>
        <w:t xml:space="preserve">1 </w:t>
      </w:r>
      <w:r>
        <w:rPr>
          <w:rFonts w:hint="eastAsia" w:ascii="宋体" w:hAnsi="宋体" w:eastAsia="宋体" w:cs="宋体"/>
          <w:color w:val="000000"/>
          <w:sz w:val="24"/>
          <w:szCs w:val="24"/>
          <w:lang w:eastAsia="zh-CN"/>
        </w:rPr>
        <w:t xml:space="preserve">】%的违约金，同时，委托人有权解除本合同。 </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（2）监理人擅自转让本合同项下的全部或部分权利或义务，或将本合同项下的部分义务分包给其他单位完成的，监理人应向委托人支付本合同约定酬金【</w:t>
      </w: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lang w:eastAsia="zh-CN"/>
        </w:rPr>
        <w:t xml:space="preserve"> 】%的违约金，同时，委托人有权解除本合同。 </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（3）监理人指派的监理人员不能到岗、擅自离岗或擅自撤换的，或未按照委托人要求更换合格人员的，每发生一次，监理人应支付本合同约定酬金【</w:t>
      </w: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lang w:eastAsia="zh-CN"/>
        </w:rPr>
        <w:t xml:space="preserve"> 】%的违约金，同时，委托人有权解除本合同。 </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（4）监理人未按合同约定履行义务，造成验收不及时、工期拖延、工程质量不合格等情况的，监理人应向委托人支付本合同约定酬金【 </w:t>
      </w:r>
      <w:r>
        <w:rPr>
          <w:rFonts w:hint="eastAsia" w:ascii="宋体" w:hAnsi="宋体" w:eastAsia="宋体" w:cs="宋体"/>
          <w:color w:val="000000"/>
          <w:sz w:val="24"/>
          <w:szCs w:val="24"/>
          <w:lang w:val="en-US" w:eastAsia="zh-CN"/>
        </w:rPr>
        <w:t xml:space="preserve">1 </w:t>
      </w:r>
      <w:r>
        <w:rPr>
          <w:rFonts w:hint="eastAsia" w:ascii="宋体" w:hAnsi="宋体" w:eastAsia="宋体" w:cs="宋体"/>
          <w:color w:val="000000"/>
          <w:sz w:val="24"/>
          <w:szCs w:val="24"/>
          <w:lang w:eastAsia="zh-CN"/>
        </w:rPr>
        <w:t xml:space="preserve">】%的违约金，同时，委托人有权解除本合同。 </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监理人出现下述情形之一的，委托人有权解除本合同，并要求监理人退还已付全部费用，向委托人支付本合同约定酬金【10】%的违约金，违约金不足以弥补委托人损失的（包括但不限于实际损失、预期可得利益、诉讼费、律师费、鉴定费、交通费等），监理人应予以补足：</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A.委托人合理怀疑监理人及其工作人员与第三方串通，损害委托人权益的；委托人的合理怀疑可不以任何证据为基础，只要委托人能够证明监理人及其工作人员的行为造成了委托人权益损失并使第三方受益的结果或可能性即可。</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B.监理人未按本合同约定履行或妥善履行相关义务，经委托人催告后【5】日内仍不履行或不妥善履行的。</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C.监理人未按本合同约定的监理服务规范等服务依据履行监理职责并对本工程或委托人、第三人造成损失的。</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D.监理人未按合同约定更换委托人要求更换的监理人员的。</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F.其他因监理人原因导致合同无法履行的情况。</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委托人解除合同，应当采用书面通知形式，通知送达监理人时合同解除。</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监理人指派的监理人员不能到岗、擅自离岗或擅自撤换的，或未按照委托人要求更换合格人员的，每出现一次，监理人应支付本合同约定酬金【2】%的违约金。监理人未限期改正的，委托人有权解除合同，要求监理人退还全部费用，并支付本合同约定酬金【10】%作为违约金。违约金不足以弥补委托人损失的（包括但不限于实际损失、预期可得利益、诉讼费、律师费、鉴定费、交通费等），监理人应予以补足。</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（7）监理人有责任审核施工结算、保证施工结算质量，并按照委托人要求无偿配合结算审计工作。</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（8）由于监理人验收不及时、重点部位未进行验收或旁站不到位造成了质量隐患或风险，扣除【5000】元/次的违约金，具体金额由委托人根据违约程度酌定，违约金在监理酬金中支付中予以扣减。</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监理人的总监理工程师或总监理工程师代表必须每天有一人在现场，总监理工程师或总监理工程师代表每周累计现场工作时间若低于【20】个小时，视为监理人违约，每周违约金为【5000】元，违约金在监理酬金支付中予以扣减。</w:t>
      </w:r>
    </w:p>
    <w:p>
      <w:pPr>
        <w:pStyle w:val="16"/>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（10）除本合同另有约定外，监理人违反合同约定的其他义务的，应向委托人支付本合同约定酬金【</w:t>
      </w: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lang w:eastAsia="zh-CN"/>
        </w:rPr>
        <w:t xml:space="preserve"> 】%的违约金。如经委托人催告后【</w:t>
      </w:r>
      <w:r>
        <w:rPr>
          <w:rFonts w:hint="eastAsia" w:ascii="宋体" w:hAnsi="宋体" w:eastAsia="宋体" w:cs="宋体"/>
          <w:color w:val="000000"/>
          <w:sz w:val="24"/>
          <w:szCs w:val="24"/>
          <w:lang w:val="en-US" w:eastAsia="zh-CN"/>
        </w:rPr>
        <w:t xml:space="preserve"> 1 </w:t>
      </w:r>
      <w:r>
        <w:rPr>
          <w:rFonts w:hint="eastAsia" w:ascii="宋体" w:hAnsi="宋体" w:eastAsia="宋体" w:cs="宋体"/>
          <w:color w:val="000000"/>
          <w:sz w:val="24"/>
          <w:szCs w:val="24"/>
          <w:lang w:eastAsia="zh-CN"/>
        </w:rPr>
        <w:t xml:space="preserve">】日内拒不改正或改正后仍不符合本合同约定的，则委托人有权解除本合同。 </w:t>
      </w:r>
    </w:p>
    <w:p>
      <w:pPr>
        <w:pStyle w:val="16"/>
        <w:pageBreakBefore w:val="0"/>
        <w:widowControl w:val="0"/>
        <w:kinsoku/>
        <w:wordWrap/>
        <w:overflowPunct/>
        <w:topLinePunct w:val="0"/>
        <w:bidi w:val="0"/>
        <w:spacing w:line="360" w:lineRule="auto"/>
        <w:ind w:firstLine="363"/>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（11）监理人因违反本合同约定而需要向委托人支付的任何费用（包括但不限于</w:t>
      </w:r>
    </w:p>
    <w:p>
      <w:pPr>
        <w:pStyle w:val="16"/>
        <w:pageBreakBefore w:val="0"/>
        <w:widowControl w:val="0"/>
        <w:kinsoku/>
        <w:wordWrap/>
        <w:overflowPunct/>
        <w:topLinePunct w:val="0"/>
        <w:bidi w:val="0"/>
        <w:spacing w:line="360" w:lineRule="auto"/>
        <w:ind w:firstLine="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违约金、赔偿金等），委托人均有权在向监理人支付款项时予以先行扣除。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4.1.2.2监理人赔偿金额按下列方法确定：监理人违反本合同约定的，除按本合同约定支付违约金外，还应赔偿因此给委托人造成的全部损失，包括但不限于直接经济利益的减损、可得利益损失、委托人支付的调查取证费、公证费、评估费、鉴定费、审计费、诉讼费、仲裁费、保全费、保全担保费或保全担保保险费、律师代理费、咨询费、执行费、差旅费以及向第三方支付的赔偿款、向行政机关缴纳的罚款等全部损失及费用。</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702" w:name="_Toc371398148"/>
      <w:r>
        <w:rPr>
          <w:rFonts w:hint="eastAsia" w:ascii="宋体" w:hAnsi="宋体" w:eastAsia="宋体" w:cs="宋体"/>
          <w:b/>
          <w:color w:val="000000"/>
          <w:sz w:val="24"/>
          <w:szCs w:val="24"/>
          <w:lang w:eastAsia="zh-CN"/>
        </w:rPr>
        <w:t>4.2 委托人的违约</w:t>
      </w:r>
      <w:bookmarkEnd w:id="702"/>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4.2.1.3 委托人违约的其他情形：</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703" w:name="_Toc371398149"/>
      <w:r>
        <w:rPr>
          <w:rFonts w:hint="eastAsia" w:ascii="宋体" w:hAnsi="宋体" w:eastAsia="宋体" w:cs="宋体"/>
          <w:color w:val="000000"/>
          <w:sz w:val="24"/>
          <w:szCs w:val="24"/>
          <w:lang w:eastAsia="zh-CN"/>
        </w:rPr>
        <w:t>5. 支付</w:t>
      </w:r>
      <w:bookmarkEnd w:id="703"/>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704" w:name="_Toc371398150"/>
      <w:r>
        <w:rPr>
          <w:rFonts w:hint="eastAsia" w:ascii="宋体" w:hAnsi="宋体" w:eastAsia="宋体" w:cs="宋体"/>
          <w:b/>
          <w:color w:val="000000"/>
          <w:sz w:val="24"/>
          <w:szCs w:val="24"/>
          <w:lang w:eastAsia="zh-CN"/>
        </w:rPr>
        <w:t xml:space="preserve">5.3 </w:t>
      </w:r>
      <w:bookmarkEnd w:id="704"/>
      <w:r>
        <w:rPr>
          <w:rFonts w:hint="eastAsia" w:ascii="宋体" w:hAnsi="宋体" w:eastAsia="宋体" w:cs="宋体"/>
          <w:b/>
          <w:color w:val="000000"/>
          <w:sz w:val="24"/>
          <w:szCs w:val="24"/>
          <w:lang w:eastAsia="zh-CN"/>
        </w:rPr>
        <w:t>中期支付</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5.3.1 监理酬金</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color w:val="000000"/>
          <w:sz w:val="24"/>
          <w:szCs w:val="24"/>
          <w:lang w:eastAsia="zh-CN"/>
        </w:rPr>
        <w:t>监理酬金具体支付方式：</w:t>
      </w:r>
      <w:r>
        <w:rPr>
          <w:rFonts w:hint="eastAsia" w:ascii="宋体" w:hAnsi="宋体" w:eastAsia="宋体" w:cs="宋体"/>
          <w:sz w:val="24"/>
          <w:szCs w:val="24"/>
          <w:u w:val="single"/>
          <w:lang w:eastAsia="zh-CN"/>
        </w:rPr>
        <w:t>工程竣工验收后五日内支付监理费总额的80%，竣工结算后，支付监理费总额的</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0%。</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5.3.2 相关服务酬金</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相关服务酬金具体支付方式：</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5.3.3附加工作酬金</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附加工作酬金具体支付方式：</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5.3.4 补偿费用</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补偿费用的支付方法：</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FF00FF"/>
          <w:sz w:val="24"/>
          <w:szCs w:val="24"/>
          <w:u w:val="single"/>
          <w:lang w:eastAsia="zh-CN"/>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5.3.5合理化建议奖励</w:t>
      </w:r>
    </w:p>
    <w:p>
      <w:pPr>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合理化建议奖励的支付方法：</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w:t>
      </w:r>
    </w:p>
    <w:p>
      <w:pPr>
        <w:pageBreakBefore w:val="0"/>
        <w:widowControl w:val="0"/>
        <w:kinsoku/>
        <w:wordWrap/>
        <w:overflowPunct/>
        <w:topLinePunct w:val="0"/>
        <w:autoSpaceDE w:val="0"/>
        <w:autoSpaceDN w:val="0"/>
        <w:bidi w:val="0"/>
        <w:adjustRightInd w:val="0"/>
        <w:spacing w:before="156" w:beforeLines="50" w:line="360" w:lineRule="auto"/>
        <w:textAlignment w:val="auto"/>
        <w:outlineLvl w:val="1"/>
        <w:rPr>
          <w:rFonts w:hint="eastAsia" w:ascii="宋体" w:hAnsi="宋体" w:eastAsia="宋体" w:cs="宋体"/>
          <w:color w:val="000000"/>
          <w:sz w:val="24"/>
          <w:szCs w:val="24"/>
          <w:lang w:eastAsia="zh-CN"/>
        </w:rPr>
      </w:pPr>
      <w:bookmarkStart w:id="705" w:name="_Toc371398154"/>
      <w:r>
        <w:rPr>
          <w:rFonts w:hint="eastAsia" w:ascii="宋体" w:hAnsi="宋体" w:eastAsia="宋体" w:cs="宋体"/>
          <w:color w:val="000000"/>
          <w:sz w:val="24"/>
          <w:szCs w:val="24"/>
          <w:lang w:eastAsia="zh-CN"/>
        </w:rPr>
        <w:t>7. 争议解决</w:t>
      </w:r>
      <w:bookmarkEnd w:id="705"/>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706" w:name="_Toc371398155"/>
      <w:r>
        <w:rPr>
          <w:rFonts w:hint="eastAsia" w:ascii="宋体" w:hAnsi="宋体" w:eastAsia="宋体" w:cs="宋体"/>
          <w:b/>
          <w:color w:val="000000"/>
          <w:sz w:val="24"/>
          <w:szCs w:val="24"/>
          <w:lang w:eastAsia="zh-CN"/>
        </w:rPr>
        <w:t>7.2 调解</w:t>
      </w:r>
      <w:bookmarkEnd w:id="706"/>
    </w:p>
    <w:p>
      <w:pPr>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合同争议进行调解时，可提交</w:t>
      </w:r>
      <w:r>
        <w:rPr>
          <w:rFonts w:hint="eastAsia" w:ascii="宋体" w:hAnsi="宋体" w:eastAsia="宋体" w:cs="宋体"/>
          <w:color w:val="000000"/>
          <w:sz w:val="24"/>
          <w:szCs w:val="24"/>
          <w:u w:val="single"/>
          <w:lang w:eastAsia="zh-CN"/>
        </w:rPr>
        <w:t xml:space="preserve">   /  </w:t>
      </w:r>
      <w:r>
        <w:rPr>
          <w:rFonts w:hint="eastAsia" w:ascii="宋体" w:hAnsi="宋体" w:eastAsia="宋体" w:cs="宋体"/>
          <w:color w:val="000000"/>
          <w:sz w:val="24"/>
          <w:szCs w:val="24"/>
          <w:lang w:eastAsia="zh-CN"/>
        </w:rPr>
        <w:t>（调解人）进行调解。</w:t>
      </w:r>
    </w:p>
    <w:p>
      <w:pPr>
        <w:pStyle w:val="5"/>
        <w:pageBreakBefore w:val="0"/>
        <w:widowControl w:val="0"/>
        <w:pBdr>
          <w:bottom w:val="none" w:color="auto" w:sz="0" w:space="0"/>
        </w:pBdr>
        <w:kinsoku/>
        <w:wordWrap/>
        <w:overflowPunct/>
        <w:topLinePunct w:val="0"/>
        <w:bidi w:val="0"/>
        <w:spacing w:before="120" w:after="120" w:line="360" w:lineRule="auto"/>
        <w:ind w:left="420" w:leftChars="200"/>
        <w:textAlignment w:val="auto"/>
        <w:rPr>
          <w:rFonts w:hint="eastAsia" w:ascii="宋体" w:hAnsi="宋体" w:eastAsia="宋体" w:cs="宋体"/>
          <w:b/>
          <w:color w:val="000000"/>
          <w:sz w:val="24"/>
          <w:szCs w:val="24"/>
          <w:lang w:eastAsia="zh-CN"/>
        </w:rPr>
      </w:pPr>
      <w:bookmarkStart w:id="707" w:name="_Toc371398156"/>
      <w:r>
        <w:rPr>
          <w:rFonts w:hint="eastAsia" w:ascii="宋体" w:hAnsi="宋体" w:eastAsia="宋体" w:cs="宋体"/>
          <w:b/>
          <w:color w:val="000000"/>
          <w:sz w:val="24"/>
          <w:szCs w:val="24"/>
          <w:lang w:eastAsia="zh-CN"/>
        </w:rPr>
        <w:t>7.3 仲裁或诉讼</w:t>
      </w:r>
      <w:bookmarkEnd w:id="707"/>
    </w:p>
    <w:p>
      <w:pPr>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合同争议的最终解决方式为下列第</w:t>
      </w:r>
      <w:r>
        <w:rPr>
          <w:rFonts w:hint="eastAsia" w:ascii="宋体" w:hAnsi="宋体" w:eastAsia="宋体" w:cs="宋体"/>
          <w:color w:val="000000"/>
          <w:sz w:val="24"/>
          <w:szCs w:val="24"/>
          <w:u w:val="single"/>
          <w:lang w:eastAsia="zh-CN"/>
        </w:rPr>
        <w:t xml:space="preserve"> （2） </w:t>
      </w:r>
      <w:r>
        <w:rPr>
          <w:rFonts w:hint="eastAsia" w:ascii="宋体" w:hAnsi="宋体" w:eastAsia="宋体" w:cs="宋体"/>
          <w:color w:val="000000"/>
          <w:sz w:val="24"/>
          <w:szCs w:val="24"/>
          <w:lang w:eastAsia="zh-CN"/>
        </w:rPr>
        <w:t>种方式。</w:t>
      </w:r>
    </w:p>
    <w:p>
      <w:pPr>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（1）提请</w:t>
      </w:r>
      <w:r>
        <w:rPr>
          <w:rFonts w:hint="eastAsia" w:ascii="宋体" w:hAnsi="宋体" w:eastAsia="宋体" w:cs="宋体"/>
          <w:color w:val="000000"/>
          <w:sz w:val="24"/>
          <w:szCs w:val="24"/>
          <w:u w:val="single"/>
          <w:lang w:eastAsia="zh-CN"/>
        </w:rPr>
        <w:t xml:space="preserve">     北京       </w:t>
      </w:r>
      <w:r>
        <w:rPr>
          <w:rFonts w:hint="eastAsia" w:ascii="宋体" w:hAnsi="宋体" w:eastAsia="宋体" w:cs="宋体"/>
          <w:color w:val="000000"/>
          <w:sz w:val="24"/>
          <w:szCs w:val="24"/>
          <w:lang w:eastAsia="zh-CN"/>
        </w:rPr>
        <w:t>仲裁委员会进行仲裁。</w:t>
      </w:r>
    </w:p>
    <w:p>
      <w:pPr>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（2）向</w:t>
      </w:r>
      <w:r>
        <w:rPr>
          <w:rFonts w:hint="eastAsia" w:ascii="宋体" w:hAnsi="宋体" w:eastAsia="宋体" w:cs="宋体"/>
          <w:color w:val="000000"/>
          <w:sz w:val="24"/>
          <w:szCs w:val="24"/>
          <w:u w:val="single"/>
          <w:lang w:eastAsia="zh-CN"/>
        </w:rPr>
        <w:t xml:space="preserve">     </w:t>
      </w:r>
      <w:r>
        <w:rPr>
          <w:rFonts w:hint="eastAsia" w:ascii="宋体" w:hAnsi="宋体" w:eastAsia="宋体" w:cs="宋体"/>
          <w:sz w:val="24"/>
          <w:szCs w:val="24"/>
          <w:u w:val="single"/>
          <w:lang w:eastAsia="zh-CN"/>
        </w:rPr>
        <w:t xml:space="preserve"> 北京市海淀区</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人民法院提起诉讼。</w:t>
      </w:r>
    </w:p>
    <w:p>
      <w:pPr>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bookmarkStart w:id="708" w:name="_Toc371398157"/>
      <w:r>
        <w:rPr>
          <w:rFonts w:hint="eastAsia" w:ascii="宋体" w:hAnsi="宋体" w:eastAsia="宋体" w:cs="宋体"/>
          <w:color w:val="000000"/>
          <w:sz w:val="24"/>
          <w:szCs w:val="24"/>
          <w:lang w:eastAsia="zh-CN"/>
        </w:rPr>
        <w:t>8. 补充条款</w:t>
      </w:r>
      <w:bookmarkEnd w:id="708"/>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8.1 凡涉及工程变更、工程量增减、议价、索赔、处理事故、改变工期、改变技术标准、改变重大施工方案等有关的问题，监理人须事先报委托人书面批准后方予执行。</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8.2 当工程出现质量、安全事故时，监理工程师应组织质量、安全听证会，结合现场调查的结果，提出调查报告和处理建议。 </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8.3 监理人应对驻现场监理人员的人身和财产安全负全部责任，在监理服务期内为派驻到项目所在地的人员办理人身和自有财产的有关保险，并承担有关费用，并报委托人备案，保险时间应随服务时间的延长而顺延，并在出险后自行办理索赔。如果监理人不办理上述保险，则应对有关风险及后果自负其责。监理人委派的工作人员，进出施工现场、驻场、进行监理服务工作时，应当遵守施工现场安全规范，如发生人身损害、财产损失、重大事故的，委托人不承担任何责任。 </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8.4 监理人为履行本合同而使用的任何含有知识产权的物品、程序或资料，所有使用相关知识产权的费用视为包括在合同总价内，若监理人侵犯或涉嫌侵 犯任何物品、程序或资料的知识产权，而使委托人蒙受索偿、诉讼、赔偿、费用和支出的，监理人须予以同额赔偿。 </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8.5 监理人应保证有足够的监理人员从事合同要求的施工准备期至工程施工、整改、竣工、结算、质量保修期的监理工作。监理人在履行合同期间，保证凡有工程施工时，须有相应专业工程师驻现场工作。总监理工程师或代表在本合同执行期间，应确保根据委托人要求按时进行监理工作，否则视为监理人违约。</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8.6 因特殊情况，监理人要求更换总监理工程师的，必须提前向委托人提出书面申请(附前任和后任人员的详细履历资料)，经委托人书面同意后才能更换备选总监理工程师。重病、故去应立即向委托人提出书面申请。更换后的监理工程师从业资质不得低于原监理工程师从业资质。 </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8.7 监理人应尽一切努力，按照本合同的规定及行业通常的技术和惯例履行服务，使用适当的技术和安全有效的设备、仪器和方法，认真、充分履行其监理职责，在与承包人的交往中维护委托人的合法利益。 </w:t>
      </w:r>
    </w:p>
    <w:p>
      <w:pPr>
        <w:pageBreakBefore w:val="0"/>
        <w:widowControl w:val="0"/>
        <w:kinsoku/>
        <w:wordWrap/>
        <w:overflowPunct/>
        <w:topLinePunct w:val="0"/>
        <w:autoSpaceDE w:val="0"/>
        <w:autoSpaceDN w:val="0"/>
        <w:bidi w:val="0"/>
        <w:spacing w:before="156" w:line="360" w:lineRule="auto"/>
        <w:ind w:left="0" w:leftChars="0" w:firstLine="420" w:firstLineChars="175"/>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8.8 在监理过程中如发现工程施工人员工作不力，监理人应向承包人提出整改或向委托人提出更换人员的建议。 </w:t>
      </w:r>
    </w:p>
    <w:p>
      <w:pPr>
        <w:pageBreakBefore w:val="0"/>
        <w:widowControl w:val="0"/>
        <w:kinsoku/>
        <w:wordWrap/>
        <w:overflowPunct/>
        <w:topLinePunct w:val="0"/>
        <w:autoSpaceDE w:val="0"/>
        <w:autoSpaceDN w:val="0"/>
        <w:bidi w:val="0"/>
        <w:spacing w:before="156"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8.9 监理人及监理人员须有良好的职业道德守则，并严格遵守以下规定： </w:t>
      </w:r>
    </w:p>
    <w:p>
      <w:pPr>
        <w:pageBreakBefore w:val="0"/>
        <w:widowControl w:val="0"/>
        <w:kinsoku/>
        <w:wordWrap/>
        <w:overflowPunct/>
        <w:topLinePunct w:val="0"/>
        <w:autoSpaceDE w:val="0"/>
        <w:autoSpaceDN w:val="0"/>
        <w:bidi w:val="0"/>
        <w:spacing w:before="156" w:line="360" w:lineRule="auto"/>
        <w:ind w:left="0" w:leftChars="0" w:firstLine="420" w:firstLineChars="175"/>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（1）不得向承包人推销材料、设备，或有倾向性、排他性地变相推销； </w:t>
      </w:r>
    </w:p>
    <w:p>
      <w:pPr>
        <w:pageBreakBefore w:val="0"/>
        <w:widowControl w:val="0"/>
        <w:kinsoku/>
        <w:wordWrap/>
        <w:overflowPunct/>
        <w:topLinePunct w:val="0"/>
        <w:autoSpaceDE w:val="0"/>
        <w:autoSpaceDN w:val="0"/>
        <w:bidi w:val="0"/>
        <w:spacing w:before="156" w:line="360" w:lineRule="auto"/>
        <w:ind w:left="0" w:leftChars="0" w:firstLine="420" w:firstLineChars="175"/>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（2）不得对材料用量、工程量进行虚假签认； </w:t>
      </w:r>
    </w:p>
    <w:p>
      <w:pPr>
        <w:pageBreakBefore w:val="0"/>
        <w:widowControl w:val="0"/>
        <w:kinsoku/>
        <w:wordWrap/>
        <w:overflowPunct/>
        <w:topLinePunct w:val="0"/>
        <w:autoSpaceDE w:val="0"/>
        <w:autoSpaceDN w:val="0"/>
        <w:bidi w:val="0"/>
        <w:spacing w:before="156" w:line="360" w:lineRule="auto"/>
        <w:ind w:left="0" w:leftChars="0" w:firstLine="420" w:firstLineChars="175"/>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（3）不得不合理提高施工难度及增加材料用量，以增大施工费用，获取不正当收益；</w:t>
      </w:r>
    </w:p>
    <w:p>
      <w:pPr>
        <w:pageBreakBefore w:val="0"/>
        <w:widowControl w:val="0"/>
        <w:kinsoku/>
        <w:wordWrap/>
        <w:overflowPunct/>
        <w:topLinePunct w:val="0"/>
        <w:autoSpaceDE w:val="0"/>
        <w:autoSpaceDN w:val="0"/>
        <w:bidi w:val="0"/>
        <w:spacing w:before="156" w:line="360" w:lineRule="auto"/>
        <w:ind w:left="0" w:leftChars="0" w:firstLine="420" w:firstLineChars="175"/>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（4）不得向承包人介绍分包商或推销材料、设备等； </w:t>
      </w:r>
    </w:p>
    <w:p>
      <w:pPr>
        <w:pageBreakBefore w:val="0"/>
        <w:widowControl w:val="0"/>
        <w:kinsoku/>
        <w:wordWrap/>
        <w:overflowPunct/>
        <w:topLinePunct w:val="0"/>
        <w:autoSpaceDE w:val="0"/>
        <w:autoSpaceDN w:val="0"/>
        <w:bidi w:val="0"/>
        <w:spacing w:before="156" w:line="360" w:lineRule="auto"/>
        <w:ind w:left="0" w:leftChars="0" w:firstLine="420" w:firstLineChars="175"/>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（5）不得故意刁难承包人以谋取私利，损害委托人的合法利益。 </w:t>
      </w:r>
    </w:p>
    <w:p>
      <w:pPr>
        <w:pageBreakBefore w:val="0"/>
        <w:widowControl w:val="0"/>
        <w:kinsoku/>
        <w:wordWrap/>
        <w:overflowPunct/>
        <w:topLinePunct w:val="0"/>
        <w:autoSpaceDE w:val="0"/>
        <w:autoSpaceDN w:val="0"/>
        <w:bidi w:val="0"/>
        <w:adjustRightInd w:val="0"/>
        <w:spacing w:before="156" w:beforeLines="50"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8.10 监理人不得贿赂委托人人员，并不得发表或进行危害国家安全、有违意识形态等的违法或不当言论或行为。否则，委托人有权解除本合同并要求监理人承担违约责任。</w:t>
      </w:r>
    </w:p>
    <w:p>
      <w:pPr>
        <w:pageBreakBefore w:val="0"/>
        <w:widowControl w:val="0"/>
        <w:kinsoku/>
        <w:wordWrap/>
        <w:overflowPunct/>
        <w:topLinePunct w:val="0"/>
        <w:autoSpaceDE w:val="0"/>
        <w:autoSpaceDN w:val="0"/>
        <w:bidi w:val="0"/>
        <w:adjustRightInd w:val="0"/>
        <w:spacing w:before="156" w:beforeLines="50" w:line="360" w:lineRule="auto"/>
        <w:ind w:firstLine="480" w:firstLineChars="200"/>
        <w:textAlignment w:val="auto"/>
        <w:outlineLvl w:val="1"/>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以下无下文</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br w:type="page"/>
      </w:r>
    </w:p>
    <w:p>
      <w:pPr>
        <w:pStyle w:val="2"/>
        <w:rPr>
          <w:rFonts w:hint="eastAsia"/>
        </w:rPr>
      </w:pPr>
    </w:p>
    <w:p>
      <w:pPr>
        <w:spacing w:line="360" w:lineRule="auto"/>
        <w:jc w:val="center"/>
        <w:outlineLvl w:val="0"/>
        <w:rPr>
          <w:b/>
          <w:sz w:val="36"/>
          <w:szCs w:val="36"/>
        </w:rPr>
      </w:pPr>
      <w:r>
        <w:rPr>
          <w:b/>
          <w:sz w:val="36"/>
          <w:szCs w:val="36"/>
        </w:rPr>
        <w:t>第六章   响应文件格式</w:t>
      </w:r>
      <w:bookmarkEnd w:id="636"/>
    </w:p>
    <w:p>
      <w:pPr>
        <w:widowControl/>
        <w:spacing w:line="360" w:lineRule="auto"/>
        <w:jc w:val="left"/>
        <w:rPr>
          <w:b/>
          <w:sz w:val="24"/>
        </w:rPr>
      </w:pPr>
    </w:p>
    <w:p>
      <w:pPr>
        <w:tabs>
          <w:tab w:val="left" w:pos="900"/>
          <w:tab w:val="left" w:pos="1980"/>
        </w:tabs>
        <w:snapToGrid w:val="0"/>
        <w:spacing w:line="360" w:lineRule="auto"/>
        <w:ind w:left="142"/>
        <w:rPr>
          <w:b/>
          <w:sz w:val="24"/>
        </w:rPr>
      </w:pPr>
      <w:r>
        <w:rPr>
          <w:b/>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。未标记“实质性格式”的文件和谈判文件未提供格式的内容，可由供应商自行编写。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ind w:firstLine="963" w:firstLineChars="150"/>
        <w:rPr>
          <w:b/>
          <w:spacing w:val="60"/>
          <w:sz w:val="52"/>
          <w:szCs w:val="52"/>
        </w:rPr>
      </w:pPr>
    </w:p>
    <w:p>
      <w:pPr>
        <w:pStyle w:val="2"/>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pStyle w:val="2"/>
        <w:rPr>
          <w:b/>
          <w:spacing w:val="20"/>
          <w:sz w:val="32"/>
          <w:szCs w:val="32"/>
        </w:rPr>
      </w:pPr>
    </w:p>
    <w:p>
      <w:pPr>
        <w:pStyle w:val="2"/>
        <w:rPr>
          <w:b/>
          <w:spacing w:val="20"/>
          <w:sz w:val="32"/>
          <w:szCs w:val="32"/>
        </w:rPr>
      </w:pPr>
    </w:p>
    <w:p>
      <w:pPr>
        <w:pStyle w:val="2"/>
      </w:pP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r>
        <w:rPr>
          <w:rFonts w:hint="eastAsia" w:ascii="宋体" w:hAnsi="宋体"/>
          <w:b/>
          <w:spacing w:val="20"/>
          <w:sz w:val="32"/>
          <w:szCs w:val="32"/>
          <w:u w:val="single"/>
        </w:rPr>
        <w:t xml:space="preserve"> </w:t>
      </w:r>
      <w:r>
        <w:rPr>
          <w:rFonts w:ascii="宋体" w:hAnsi="宋体"/>
          <w:b/>
          <w:spacing w:val="20"/>
          <w:sz w:val="32"/>
          <w:szCs w:val="32"/>
          <w:u w:val="single"/>
        </w:rPr>
        <w:t xml:space="preserve">        </w:t>
      </w:r>
      <w:r>
        <w:rPr>
          <w:rFonts w:hint="eastAsia" w:ascii="宋体" w:hAnsi="宋体"/>
          <w:b/>
          <w:spacing w:val="20"/>
          <w:sz w:val="32"/>
          <w:szCs w:val="32"/>
        </w:rPr>
        <w:t>（加盖公章）</w:t>
      </w:r>
    </w:p>
    <w:p>
      <w:pPr>
        <w:jc w:val="center"/>
        <w:rPr>
          <w:b/>
          <w:sz w:val="32"/>
          <w:szCs w:val="32"/>
        </w:rPr>
      </w:pPr>
    </w:p>
    <w:p>
      <w:pPr>
        <w:rPr>
          <w:b/>
        </w:rPr>
      </w:pPr>
      <w:r>
        <w:rPr>
          <w:b/>
          <w:spacing w:val="20"/>
          <w:sz w:val="32"/>
          <w:szCs w:val="32"/>
        </w:rPr>
        <w:br w:type="page"/>
      </w:r>
    </w:p>
    <w:p>
      <w:pPr>
        <w:numPr>
          <w:ilvl w:val="0"/>
          <w:numId w:val="14"/>
        </w:numPr>
        <w:tabs>
          <w:tab w:val="left" w:pos="360"/>
        </w:tabs>
        <w:snapToGrid w:val="0"/>
        <w:spacing w:line="360" w:lineRule="auto"/>
        <w:outlineLvl w:val="1"/>
        <w:rPr>
          <w:color w:val="000000"/>
          <w:sz w:val="24"/>
          <w:szCs w:val="20"/>
        </w:rPr>
      </w:pPr>
      <w:r>
        <w:rPr>
          <w:color w:val="000000"/>
          <w:sz w:val="24"/>
          <w:szCs w:val="20"/>
        </w:rPr>
        <w:t>满足《中华人民共和国政府采购法》第二十二条规定</w:t>
      </w:r>
      <w:r>
        <w:rPr>
          <w:rFonts w:hint="eastAsia" w:ascii="宋体" w:hAnsi="宋体"/>
          <w:sz w:val="24"/>
        </w:rPr>
        <w:t>及法律法规的其他规定</w:t>
      </w:r>
    </w:p>
    <w:p>
      <w:pPr>
        <w:spacing w:line="360" w:lineRule="auto"/>
        <w:outlineLvl w:val="2"/>
        <w:rPr>
          <w:color w:val="000000"/>
          <w:sz w:val="24"/>
          <w:szCs w:val="20"/>
        </w:rPr>
      </w:pPr>
      <w:r>
        <w:rPr>
          <w:color w:val="000000"/>
          <w:sz w:val="24"/>
          <w:szCs w:val="20"/>
        </w:rPr>
        <w:t>1-1 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5"/>
        <w:rPr>
          <w:rFonts w:ascii="Times New Roman"/>
          <w:b w:val="0"/>
          <w:color w:val="000000"/>
          <w:u w:val="none"/>
        </w:rPr>
      </w:pPr>
      <w:r>
        <w:rPr>
          <w:rFonts w:ascii="Times New Roman"/>
          <w:b w:val="0"/>
          <w:color w:val="000000"/>
          <w:u w:val="none"/>
        </w:rPr>
        <w:t>1-2 供应商资格声明书</w:t>
      </w:r>
    </w:p>
    <w:p>
      <w:pPr>
        <w:spacing w:line="360" w:lineRule="auto"/>
        <w:jc w:val="center"/>
        <w:rPr>
          <w:b/>
          <w:color w:val="000000"/>
          <w:sz w:val="36"/>
          <w:szCs w:val="36"/>
        </w:rPr>
      </w:pPr>
      <w:r>
        <w:rPr>
          <w:b/>
          <w:color w:val="000000"/>
          <w:sz w:val="36"/>
          <w:szCs w:val="36"/>
        </w:rPr>
        <w:t>供应商资格声明书</w:t>
      </w:r>
    </w:p>
    <w:p>
      <w:pPr>
        <w:rPr>
          <w:color w:val="000000"/>
          <w:szCs w:val="20"/>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在参与本次项目响应中，我单位承诺：</w:t>
      </w:r>
    </w:p>
    <w:p>
      <w:pPr>
        <w:numPr>
          <w:ilvl w:val="0"/>
          <w:numId w:val="15"/>
        </w:numPr>
        <w:spacing w:line="360" w:lineRule="auto"/>
        <w:ind w:left="1134"/>
        <w:rPr>
          <w:sz w:val="24"/>
          <w:szCs w:val="22"/>
        </w:rPr>
      </w:pPr>
      <w:r>
        <w:rPr>
          <w:sz w:val="24"/>
          <w:szCs w:val="22"/>
        </w:rPr>
        <w:t>具有良好的商业信誉和健全的财务会计制度；</w:t>
      </w:r>
    </w:p>
    <w:p>
      <w:pPr>
        <w:numPr>
          <w:ilvl w:val="0"/>
          <w:numId w:val="15"/>
        </w:numPr>
        <w:spacing w:line="360" w:lineRule="auto"/>
        <w:ind w:left="1134"/>
        <w:rPr>
          <w:sz w:val="24"/>
          <w:szCs w:val="22"/>
        </w:rPr>
      </w:pPr>
      <w:r>
        <w:rPr>
          <w:sz w:val="24"/>
          <w:szCs w:val="22"/>
        </w:rPr>
        <w:t>具有履行合同所必需的设备和专业技术能力；</w:t>
      </w:r>
    </w:p>
    <w:p>
      <w:pPr>
        <w:numPr>
          <w:ilvl w:val="0"/>
          <w:numId w:val="15"/>
        </w:numPr>
        <w:spacing w:line="360" w:lineRule="auto"/>
        <w:ind w:left="1134"/>
        <w:rPr>
          <w:sz w:val="24"/>
          <w:szCs w:val="22"/>
        </w:rPr>
      </w:pPr>
      <w:r>
        <w:rPr>
          <w:sz w:val="24"/>
          <w:szCs w:val="22"/>
        </w:rPr>
        <w:t>有依法缴纳税收和社会保障资金的良好记录；</w:t>
      </w:r>
    </w:p>
    <w:p>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w:t>
      </w:r>
    </w:p>
    <w:p>
      <w:pPr>
        <w:spacing w:line="360" w:lineRule="auto"/>
        <w:outlineLvl w:val="2"/>
        <w:rPr>
          <w:rFonts w:eastAsiaTheme="minorEastAsia"/>
          <w:color w:val="000000"/>
          <w:sz w:val="24"/>
          <w:szCs w:val="20"/>
        </w:rPr>
      </w:pPr>
      <w:r>
        <w:rPr>
          <w:rFonts w:eastAsiaTheme="minorEastAsia"/>
          <w:color w:val="000000"/>
          <w:sz w:val="24"/>
          <w:szCs w:val="20"/>
        </w:rPr>
        <w:t>2-1 中小企业</w:t>
      </w:r>
      <w:r>
        <w:rPr>
          <w:color w:val="000000"/>
          <w:sz w:val="24"/>
          <w:szCs w:val="20"/>
        </w:rPr>
        <w:t>政策</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rFonts w:eastAsiaTheme="minorEastAsia"/>
          <w:sz w:val="24"/>
        </w:rPr>
        <w:t>（4）</w:t>
      </w:r>
      <w:r>
        <w:rPr>
          <w:sz w:val="24"/>
        </w:rPr>
        <w:t>中小企业声明函填写注意事项</w:t>
      </w:r>
    </w:p>
    <w:p>
      <w:pPr>
        <w:tabs>
          <w:tab w:val="left" w:pos="5580"/>
        </w:tabs>
        <w:spacing w:line="360" w:lineRule="auto"/>
        <w:rPr>
          <w:sz w:val="24"/>
        </w:rPr>
      </w:pPr>
      <w:r>
        <w:rPr>
          <w:sz w:val="24"/>
        </w:rPr>
        <w:t>1）《中小企业声明函》由参加政府采购活动的供应商出具。联合体参与的，《中小企业声明函》可由牵头人出具。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sz w:val="24"/>
        </w:rPr>
      </w:pPr>
      <w:r>
        <w:rPr>
          <w:sz w:val="24"/>
        </w:rPr>
        <w:br w:type="page"/>
      </w:r>
    </w:p>
    <w:p>
      <w:pPr>
        <w:pStyle w:val="6"/>
        <w:rPr>
          <w:color w:val="000000"/>
          <w:sz w:val="24"/>
        </w:rPr>
      </w:pPr>
      <w:r>
        <w:rPr>
          <w:b w:val="0"/>
        </w:rPr>
        <w:t xml:space="preserve">2-1-1 </w:t>
      </w:r>
      <w:r>
        <w:rPr>
          <w:rFonts w:hint="eastAsia"/>
          <w:b w:val="0"/>
        </w:rPr>
        <w:t>中小企业证明文件</w:t>
      </w:r>
    </w:p>
    <w:p>
      <w:pPr>
        <w:spacing w:line="360" w:lineRule="auto"/>
        <w:jc w:val="center"/>
        <w:rPr>
          <w:b/>
          <w:bCs/>
          <w:color w:val="000000"/>
          <w:sz w:val="24"/>
        </w:rPr>
      </w:pPr>
      <w:bookmarkStart w:id="799" w:name="_GoBack"/>
      <w:bookmarkEnd w:id="799"/>
      <w:r>
        <w:rPr>
          <w:b/>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i/>
          <w:iCs/>
          <w:spacing w:val="6"/>
          <w:sz w:val="24"/>
          <w:u w:val="single"/>
        </w:rPr>
        <w:t>（单位名称）</w:t>
      </w:r>
      <w:r>
        <w:rPr>
          <w:rFonts w:eastAsiaTheme="minorEastAsia"/>
          <w:spacing w:val="6"/>
          <w:sz w:val="24"/>
        </w:rPr>
        <w:t>的</w:t>
      </w:r>
      <w:r>
        <w:rPr>
          <w:rFonts w:eastAsiaTheme="minorEastAsia"/>
          <w:i/>
          <w:iCs/>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行业；承建（承接）企业为</w:t>
      </w:r>
      <w:r>
        <w:rPr>
          <w:rFonts w:eastAsiaTheme="minorEastAsia"/>
          <w:i/>
          <w:iCs/>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eastAsiaTheme="minorEastAsia"/>
          <w:i/>
          <w:iCs/>
          <w:spacing w:val="6"/>
          <w:sz w:val="24"/>
          <w:u w:val="single"/>
        </w:rPr>
        <w:t>（中型企业、小型企业、微型企业）</w:t>
      </w:r>
      <w:r>
        <w:rPr>
          <w:rFonts w:eastAsiaTheme="minorEastAsia"/>
          <w:spacing w:val="6"/>
          <w:sz w:val="24"/>
        </w:rPr>
        <w:t>；</w:t>
      </w:r>
    </w:p>
    <w:p>
      <w:pPr>
        <w:spacing w:line="360" w:lineRule="auto"/>
        <w:ind w:firstLine="504"/>
        <w:rPr>
          <w:spacing w:val="6"/>
          <w:sz w:val="24"/>
        </w:rPr>
      </w:pPr>
      <w:r>
        <w:rPr>
          <w:rFonts w:eastAsiaTheme="minorEastAsia"/>
          <w:spacing w:val="6"/>
          <w:sz w:val="24"/>
        </w:rPr>
        <w:t>2.</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行业；承建（承接）企业为</w:t>
      </w:r>
      <w:r>
        <w:rPr>
          <w:rFonts w:eastAsiaTheme="minorEastAsia"/>
          <w:i/>
          <w:iCs/>
          <w:spacing w:val="6"/>
          <w:sz w:val="24"/>
          <w:u w:val="single"/>
        </w:rPr>
        <w:t>（企业名称）</w:t>
      </w:r>
      <w:r>
        <w:rPr>
          <w:rFonts w:eastAsiaTheme="minorEastAsia"/>
          <w:spacing w:val="6"/>
          <w:sz w:val="24"/>
        </w:rPr>
        <w:t>，从业人员______人，营业收入为______万元，资产总额为______万元，属于</w:t>
      </w:r>
      <w:r>
        <w:rPr>
          <w:rFonts w:eastAsiaTheme="minorEastAsia"/>
          <w:i/>
          <w:iCs/>
          <w:spacing w:val="6"/>
          <w:sz w:val="24"/>
          <w:u w:val="single"/>
        </w:rPr>
        <w:t>（中型企业、小型企业、微型企业）</w:t>
      </w:r>
      <w:r>
        <w:rPr>
          <w:rFonts w:eastAsiaTheme="minorEastAsia"/>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line="360" w:lineRule="auto"/>
        <w:jc w:val="center"/>
        <w:rPr>
          <w:b/>
          <w:color w:val="000000"/>
        </w:rPr>
      </w:pPr>
      <w:r>
        <w:rPr>
          <w:b/>
          <w:color w:val="000000"/>
          <w:sz w:val="36"/>
          <w:szCs w:val="36"/>
        </w:rPr>
        <w:t xml:space="preserve">残疾人福利性单位声明函格式     </w:t>
      </w:r>
      <w:r>
        <w:rPr>
          <w:b/>
          <w:color w:val="000000"/>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spacing w:line="360" w:lineRule="auto"/>
        <w:rPr>
          <w:color w:val="000000"/>
        </w:rPr>
      </w:pPr>
      <w:r>
        <w:rPr>
          <w:color w:val="000000"/>
        </w:rPr>
        <w:t>2-1-2 拟分包情况说明及分包意向协议</w:t>
      </w:r>
      <w:r>
        <w:rPr>
          <w:rFonts w:hint="eastAsia" w:ascii="宋体" w:hAnsi="宋体"/>
          <w:b/>
          <w:bCs/>
          <w:sz w:val="24"/>
        </w:rPr>
        <w:t>【本项目不适用】</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rFonts w:eastAsiaTheme="minorEastAsia"/>
          <w:sz w:val="24"/>
        </w:rPr>
      </w:pPr>
      <w:r>
        <w:rPr>
          <w:rFonts w:eastAsiaTheme="minorEastAsia"/>
          <w:sz w:val="24"/>
        </w:rPr>
        <w:t>如本项目（包）允许分包，且供应商拟进行分包时，</w:t>
      </w:r>
    </w:p>
    <w:p>
      <w:pPr>
        <w:tabs>
          <w:tab w:val="left" w:pos="5580"/>
        </w:tabs>
        <w:spacing w:line="360" w:lineRule="auto"/>
        <w:rPr>
          <w:sz w:val="24"/>
        </w:rPr>
      </w:pPr>
      <w:r>
        <w:rPr>
          <w:rFonts w:eastAsiaTheme="minorEastAsia"/>
          <w:sz w:val="24"/>
        </w:rPr>
        <w:t>（1）响应文件中须提供</w:t>
      </w:r>
      <w:r>
        <w:rPr>
          <w:sz w:val="24"/>
        </w:rPr>
        <w:t>《拟分包情况说明》，否则</w:t>
      </w:r>
      <w:r>
        <w:rPr>
          <w:b/>
          <w:sz w:val="24"/>
        </w:rPr>
        <w:t>响应无效</w:t>
      </w:r>
      <w:r>
        <w:rPr>
          <w:sz w:val="24"/>
        </w:rPr>
        <w:t>；</w:t>
      </w:r>
    </w:p>
    <w:p>
      <w:pPr>
        <w:tabs>
          <w:tab w:val="left" w:pos="5580"/>
        </w:tabs>
        <w:spacing w:line="360" w:lineRule="auto"/>
        <w:rPr>
          <w:sz w:val="24"/>
        </w:rPr>
      </w:pPr>
      <w:r>
        <w:rPr>
          <w:sz w:val="24"/>
        </w:rPr>
        <w:t>（2）当同时符合下列情形时，</w:t>
      </w:r>
      <w:r>
        <w:rPr>
          <w:rFonts w:eastAsiaTheme="minorEastAsia"/>
          <w:sz w:val="24"/>
        </w:rPr>
        <w:t>响应文件</w:t>
      </w:r>
      <w:r>
        <w:rPr>
          <w:sz w:val="24"/>
        </w:rPr>
        <w:t>还须提供《分包意向协议》，否则</w:t>
      </w:r>
      <w:r>
        <w:rPr>
          <w:b/>
          <w:sz w:val="24"/>
        </w:rPr>
        <w:t>响应无效</w:t>
      </w:r>
      <w:r>
        <w:rPr>
          <w:sz w:val="24"/>
        </w:rPr>
        <w:t>：</w:t>
      </w:r>
    </w:p>
    <w:p>
      <w:pPr>
        <w:tabs>
          <w:tab w:val="left" w:pos="5580"/>
        </w:tabs>
        <w:spacing w:line="360" w:lineRule="auto"/>
        <w:ind w:left="567" w:leftChars="270"/>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pPr>
        <w:tabs>
          <w:tab w:val="left" w:pos="5580"/>
        </w:tabs>
        <w:spacing w:line="360" w:lineRule="auto"/>
        <w:ind w:left="567" w:leftChars="270"/>
        <w:rPr>
          <w:rFonts w:eastAsiaTheme="minorEastAsia"/>
          <w:sz w:val="24"/>
        </w:rPr>
      </w:pPr>
      <w:r>
        <w:rPr>
          <w:rFonts w:eastAsiaTheme="minorEastAsia"/>
          <w:sz w:val="24"/>
        </w:rPr>
        <w:t xml:space="preserve">B. </w:t>
      </w:r>
      <w:r>
        <w:rPr>
          <w:sz w:val="24"/>
        </w:rPr>
        <w:t>供应商通过分包方式满足中小企业政策要求的。</w:t>
      </w:r>
    </w:p>
    <w:p>
      <w:pPr>
        <w:tabs>
          <w:tab w:val="left" w:pos="5580"/>
        </w:tabs>
        <w:spacing w:line="360" w:lineRule="auto"/>
        <w:rPr>
          <w:rFonts w:eastAsiaTheme="minorEastAsia"/>
          <w:sz w:val="24"/>
        </w:rPr>
      </w:pPr>
      <w:r>
        <w:rPr>
          <w:sz w:val="24"/>
        </w:rPr>
        <w:t>（3）不属于上述情形时，无须提供《拟分包情况说明》及《分包意向协议》。</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p>
    <w:p>
      <w:pPr>
        <w:autoSpaceDE w:val="0"/>
        <w:autoSpaceDN w:val="0"/>
        <w:adjustRightInd w:val="0"/>
        <w:jc w:val="center"/>
        <w:rPr>
          <w:color w:val="000000"/>
          <w:sz w:val="30"/>
          <w:szCs w:val="30"/>
        </w:rPr>
      </w:pPr>
    </w:p>
    <w:p>
      <w:pPr>
        <w:widowControl/>
        <w:jc w:val="left"/>
        <w:rPr>
          <w:b/>
          <w:color w:val="000000"/>
          <w:sz w:val="36"/>
          <w:szCs w:val="36"/>
        </w:rPr>
      </w:pPr>
      <w:r>
        <w:rPr>
          <w:b/>
          <w:color w:val="000000"/>
          <w:sz w:val="36"/>
          <w:szCs w:val="36"/>
        </w:rPr>
        <w:br w:type="page"/>
      </w:r>
    </w:p>
    <w:p>
      <w:pPr>
        <w:spacing w:line="360" w:lineRule="auto"/>
        <w:jc w:val="center"/>
        <w:rPr>
          <w:b/>
          <w:color w:val="000000"/>
          <w:sz w:val="36"/>
          <w:szCs w:val="36"/>
        </w:rPr>
      </w:pPr>
      <w:r>
        <w:rPr>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响应。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pPr>
              <w:pStyle w:val="246"/>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6"/>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p>
    <w:p>
      <w:pPr>
        <w:adjustRightInd w:val="0"/>
        <w:snapToGrid w:val="0"/>
        <w:spacing w:line="360" w:lineRule="auto"/>
        <w:jc w:val="left"/>
        <w:rPr>
          <w:rFonts w:eastAsiaTheme="minorEastAsia"/>
          <w:sz w:val="24"/>
        </w:rPr>
      </w:pPr>
      <w:r>
        <w:rPr>
          <w:rFonts w:eastAsiaTheme="minorEastAsia"/>
          <w:sz w:val="24"/>
        </w:rPr>
        <w:t>注：</w:t>
      </w:r>
    </w:p>
    <w:p>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pPr>
        <w:adjustRightInd w:val="0"/>
        <w:snapToGrid w:val="0"/>
        <w:spacing w:line="360" w:lineRule="auto"/>
        <w:jc w:val="left"/>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（3）如本采购文件《供应商须知资料表》载明本项目分包承担主体应具备的相应资质条件，则供应商须在本表中列明分包承担主体的资质等级，并后附资质证书电子件，否则</w:t>
      </w:r>
      <w:r>
        <w:rPr>
          <w:rFonts w:eastAsiaTheme="minorEastAsia"/>
          <w:b/>
          <w:sz w:val="24"/>
        </w:rPr>
        <w:t>响应无效</w:t>
      </w:r>
      <w:r>
        <w:rPr>
          <w:rFonts w:eastAsiaTheme="minorEastAsia"/>
          <w:sz w:val="24"/>
        </w:rPr>
        <w:t>。</w:t>
      </w:r>
    </w:p>
    <w:p>
      <w:pPr>
        <w:adjustRightInd w:val="0"/>
        <w:snapToGrid w:val="0"/>
        <w:spacing w:line="360" w:lineRule="auto"/>
        <w:jc w:val="left"/>
        <w:rPr>
          <w:color w:val="000000"/>
          <w:sz w:val="30"/>
          <w:szCs w:val="30"/>
        </w:rPr>
      </w:pPr>
    </w:p>
    <w:p>
      <w:pPr>
        <w:spacing w:line="360" w:lineRule="auto"/>
        <w:jc w:val="center"/>
        <w:rPr>
          <w:b/>
          <w:color w:val="000000"/>
          <w:sz w:val="30"/>
          <w:szCs w:val="30"/>
        </w:rPr>
      </w:pPr>
      <w:r>
        <w:rPr>
          <w:b/>
          <w:color w:val="000000"/>
          <w:sz w:val="36"/>
          <w:szCs w:val="36"/>
        </w:rPr>
        <w:t>分包意向协议（实质性格式）</w:t>
      </w:r>
    </w:p>
    <w:p>
      <w:pPr>
        <w:adjustRightInd w:val="0"/>
        <w:snapToGrid w:val="0"/>
        <w:spacing w:line="360" w:lineRule="auto"/>
        <w:ind w:firstLine="480" w:firstLineChars="200"/>
        <w:jc w:val="left"/>
        <w:rPr>
          <w:sz w:val="24"/>
        </w:rPr>
      </w:pPr>
      <w:r>
        <w:rPr>
          <w:sz w:val="24"/>
        </w:rPr>
        <w:t>甲方（供应商）：________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甲方承诺，一旦在_________（采购项目名称）（项目编号/包号为：_______）采购项目中获得采购合同，将按照下述约定将合同项下部分内容分包给乙方：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2.分包金额：_____，该金额占该采购包合同金额的比例为___%。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pPr>
      <w:r>
        <w:rPr>
          <w:rFonts w:eastAsiaTheme="minorEastAsia"/>
          <w:sz w:val="24"/>
        </w:rPr>
        <w:t>注</w:t>
      </w:r>
      <w:r>
        <w:rPr>
          <w:color w:val="000000"/>
          <w:sz w:val="24"/>
        </w:rPr>
        <w:t>：</w:t>
      </w:r>
    </w:p>
    <w:p>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pPr>
        <w:tabs>
          <w:tab w:val="left" w:pos="8280"/>
        </w:tabs>
        <w:spacing w:line="360" w:lineRule="auto"/>
        <w:rPr>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pPr>
        <w:tabs>
          <w:tab w:val="left" w:pos="8280"/>
        </w:tabs>
        <w:spacing w:line="360" w:lineRule="auto"/>
        <w:rPr>
          <w:color w:val="000000"/>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pPr>
        <w:spacing w:line="360" w:lineRule="auto"/>
        <w:outlineLvl w:val="2"/>
        <w:rPr>
          <w:color w:val="000000"/>
          <w:sz w:val="24"/>
          <w:szCs w:val="20"/>
        </w:rPr>
      </w:pPr>
      <w:r>
        <w:rPr>
          <w:color w:val="000000"/>
          <w:sz w:val="24"/>
          <w:szCs w:val="20"/>
        </w:rPr>
        <w:t>2-2 其它落实政府采购政策的资格要求（如有）</w:t>
      </w:r>
    </w:p>
    <w:p>
      <w:pPr>
        <w:widowControl/>
        <w:jc w:val="left"/>
        <w:rPr>
          <w:sz w:val="24"/>
        </w:rPr>
      </w:pPr>
    </w:p>
    <w:p>
      <w:pPr>
        <w:widowControl/>
        <w:jc w:val="left"/>
        <w:rPr>
          <w:sz w:val="24"/>
        </w:rPr>
      </w:pPr>
      <w:r>
        <w:rPr>
          <w:sz w:val="24"/>
        </w:rPr>
        <w:br w:type="page"/>
      </w:r>
    </w:p>
    <w:p>
      <w:pPr>
        <w:numPr>
          <w:ilvl w:val="0"/>
          <w:numId w:val="14"/>
        </w:numPr>
        <w:tabs>
          <w:tab w:val="left" w:pos="360"/>
        </w:tabs>
        <w:snapToGrid w:val="0"/>
        <w:spacing w:line="360" w:lineRule="auto"/>
        <w:outlineLvl w:val="1"/>
        <w:rPr>
          <w:color w:val="000000"/>
          <w:sz w:val="24"/>
          <w:szCs w:val="20"/>
        </w:rPr>
      </w:pPr>
      <w:r>
        <w:rPr>
          <w:sz w:val="24"/>
        </w:rPr>
        <w:t>本项目的特定资格要求</w:t>
      </w:r>
    </w:p>
    <w:p>
      <w:pPr>
        <w:spacing w:line="360" w:lineRule="auto"/>
        <w:rPr>
          <w:color w:val="000000"/>
          <w:sz w:val="24"/>
          <w:szCs w:val="20"/>
        </w:rPr>
      </w:pPr>
      <w:r>
        <w:rPr>
          <w:color w:val="000000"/>
          <w:sz w:val="24"/>
          <w:szCs w:val="20"/>
        </w:rPr>
        <w:t>3-1 联合协议（如有）</w:t>
      </w:r>
      <w:r>
        <w:rPr>
          <w:rFonts w:hint="eastAsia" w:ascii="宋体" w:hAnsi="宋体"/>
          <w:b/>
          <w:bCs/>
          <w:sz w:val="24"/>
        </w:rPr>
        <w:t>【本项目不适用】</w:t>
      </w:r>
    </w:p>
    <w:p>
      <w:pPr>
        <w:spacing w:line="360" w:lineRule="auto"/>
        <w:ind w:firstLine="3614" w:firstLineChars="1000"/>
        <w:rPr>
          <w:b/>
          <w:color w:val="000000"/>
          <w:sz w:val="36"/>
          <w:szCs w:val="36"/>
        </w:rPr>
      </w:pPr>
      <w:r>
        <w:rPr>
          <w:b/>
          <w:color w:val="000000"/>
          <w:sz w:val="36"/>
          <w:szCs w:val="36"/>
        </w:rPr>
        <w:t>联合协议</w:t>
      </w:r>
    </w:p>
    <w:p>
      <w:pPr>
        <w:spacing w:line="360" w:lineRule="auto"/>
        <w:ind w:firstLine="828" w:firstLineChars="345"/>
        <w:rPr>
          <w:bCs/>
          <w:color w:val="000000"/>
        </w:rPr>
      </w:pPr>
      <w:r>
        <w:rPr>
          <w:bCs/>
          <w:color w:val="000000"/>
          <w:sz w:val="24"/>
        </w:rPr>
        <w:t>___________ 、 __________ 及 __________就“________________</w:t>
      </w:r>
      <w:r>
        <w:rPr>
          <w:bCs/>
          <w:color w:val="000000"/>
          <w:sz w:val="24"/>
          <w:u w:val="single"/>
        </w:rPr>
        <w:t>（项目名称）</w:t>
      </w:r>
      <w:r>
        <w:rPr>
          <w:color w:val="000000"/>
          <w:sz w:val="24"/>
        </w:rPr>
        <w:t>”____包</w:t>
      </w:r>
      <w:r>
        <w:rPr>
          <w:bCs/>
          <w:color w:val="000000"/>
          <w:sz w:val="24"/>
        </w:rPr>
        <w:t>采购项目的响应事宜，经各方充分协商一致，达成如下协议：</w:t>
      </w:r>
    </w:p>
    <w:p>
      <w:pPr>
        <w:numPr>
          <w:ilvl w:val="0"/>
          <w:numId w:val="16"/>
        </w:numPr>
        <w:spacing w:line="360" w:lineRule="auto"/>
        <w:rPr>
          <w:bCs/>
          <w:color w:val="000000"/>
          <w:sz w:val="24"/>
        </w:rPr>
      </w:pPr>
      <w:r>
        <w:rPr>
          <w:bCs/>
          <w:color w:val="000000"/>
          <w:sz w:val="24"/>
        </w:rPr>
        <w:t>由_____________牵头，__________、___________参加，组成联合体共同进行采购项目的响应工作。</w:t>
      </w:r>
    </w:p>
    <w:p>
      <w:pPr>
        <w:numPr>
          <w:ilvl w:val="0"/>
          <w:numId w:val="16"/>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pPr>
        <w:numPr>
          <w:ilvl w:val="0"/>
          <w:numId w:val="16"/>
        </w:numPr>
        <w:spacing w:line="360" w:lineRule="auto"/>
        <w:rPr>
          <w:bCs/>
          <w:color w:val="000000"/>
          <w:sz w:val="24"/>
        </w:rPr>
      </w:pPr>
      <w:r>
        <w:rPr>
          <w:bCs/>
          <w:color w:val="000000"/>
          <w:sz w:val="24"/>
        </w:rPr>
        <w:t>联合体各方均同意由牵头人代表其他联合体成员单位按谈判文件要求出具《授权委托书》。</w:t>
      </w:r>
    </w:p>
    <w:p>
      <w:pPr>
        <w:numPr>
          <w:ilvl w:val="0"/>
          <w:numId w:val="16"/>
        </w:numPr>
        <w:spacing w:line="360" w:lineRule="auto"/>
        <w:rPr>
          <w:bCs/>
          <w:color w:val="000000"/>
          <w:sz w:val="24"/>
        </w:rPr>
      </w:pPr>
      <w:r>
        <w:rPr>
          <w:bCs/>
          <w:color w:val="000000"/>
          <w:sz w:val="24"/>
        </w:rPr>
        <w:t>牵头人为项目的总负责单位；组织各参加方进行项目实施工作。</w:t>
      </w:r>
    </w:p>
    <w:p>
      <w:pPr>
        <w:numPr>
          <w:ilvl w:val="0"/>
          <w:numId w:val="16"/>
        </w:numPr>
        <w:spacing w:line="360" w:lineRule="auto"/>
        <w:rPr>
          <w:bCs/>
          <w:color w:val="000000"/>
          <w:sz w:val="24"/>
        </w:rPr>
      </w:pPr>
      <w:r>
        <w:rPr>
          <w:bCs/>
          <w:color w:val="000000"/>
          <w:sz w:val="24"/>
        </w:rPr>
        <w:t>___________负责_________，具体工作范围、内容以响应文件及合同为准。</w:t>
      </w:r>
    </w:p>
    <w:p>
      <w:pPr>
        <w:numPr>
          <w:ilvl w:val="0"/>
          <w:numId w:val="16"/>
        </w:numPr>
        <w:spacing w:line="360" w:lineRule="auto"/>
        <w:rPr>
          <w:bCs/>
          <w:color w:val="000000"/>
          <w:sz w:val="24"/>
        </w:rPr>
      </w:pPr>
      <w:r>
        <w:rPr>
          <w:bCs/>
          <w:color w:val="000000"/>
          <w:sz w:val="24"/>
        </w:rPr>
        <w:t>___________负责_________，具体工作范围、内容以响应文件及合同为准。</w:t>
      </w:r>
    </w:p>
    <w:p>
      <w:pPr>
        <w:numPr>
          <w:ilvl w:val="0"/>
          <w:numId w:val="16"/>
        </w:numPr>
        <w:spacing w:line="360" w:lineRule="auto"/>
        <w:rPr>
          <w:bCs/>
          <w:color w:val="000000"/>
          <w:sz w:val="24"/>
        </w:rPr>
      </w:pPr>
      <w:r>
        <w:rPr>
          <w:bCs/>
          <w:color w:val="000000"/>
          <w:sz w:val="24"/>
        </w:rPr>
        <w:t>___________负责________（如有），具体工作范围、内容以响应文件及合同为准。</w:t>
      </w:r>
    </w:p>
    <w:p>
      <w:pPr>
        <w:numPr>
          <w:ilvl w:val="0"/>
          <w:numId w:val="16"/>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___________</w:t>
      </w:r>
      <w:r>
        <w:rPr>
          <w:color w:val="000000"/>
          <w:sz w:val="24"/>
          <w:szCs w:val="20"/>
        </w:rPr>
        <w:t>为□大型企业□中型企业、□小微企业（包含监狱企业、残疾人福利性单位）、□其他，合同金额为_____元。</w:t>
      </w:r>
    </w:p>
    <w:p>
      <w:pPr>
        <w:numPr>
          <w:ilvl w:val="0"/>
          <w:numId w:val="16"/>
        </w:numPr>
        <w:tabs>
          <w:tab w:val="left" w:pos="993"/>
        </w:tabs>
        <w:spacing w:line="360" w:lineRule="auto"/>
        <w:rPr>
          <w:color w:val="000000"/>
          <w:sz w:val="24"/>
          <w:szCs w:val="20"/>
        </w:rPr>
      </w:pPr>
      <w:r>
        <w:rPr>
          <w:color w:val="000000"/>
          <w:sz w:val="24"/>
          <w:szCs w:val="20"/>
        </w:rPr>
        <w:t>以联合体形式参加政府采购活动的，联合体各方不得再单独参加或者与其他供应商另外组成联合体参加同一合同项下的政府采购活动。</w:t>
      </w:r>
    </w:p>
    <w:p>
      <w:pPr>
        <w:numPr>
          <w:ilvl w:val="0"/>
          <w:numId w:val="16"/>
        </w:numPr>
        <w:spacing w:line="360" w:lineRule="auto"/>
        <w:rPr>
          <w:bCs/>
          <w:color w:val="000000"/>
          <w:sz w:val="24"/>
        </w:rPr>
      </w:pPr>
      <w:r>
        <w:rPr>
          <w:bCs/>
          <w:color w:val="000000"/>
          <w:sz w:val="24"/>
        </w:rPr>
        <w:t>其他约定（如有）：______________。</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color w:val="000000"/>
          <w:sz w:val="24"/>
        </w:rPr>
        <w:br w:type="page"/>
      </w: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color w:val="000000"/>
          <w:sz w:val="24"/>
        </w:rPr>
        <w:t>联合体成员名称：</w:t>
      </w:r>
      <w:r>
        <w:rPr>
          <w:color w:val="000000"/>
          <w:sz w:val="24"/>
          <w:szCs w:val="20"/>
        </w:rPr>
        <w:t>______</w:t>
      </w:r>
    </w:p>
    <w:p>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pPr>
        <w:widowControl/>
        <w:ind w:firstLine="480" w:firstLineChars="200"/>
        <w:jc w:val="left"/>
        <w:rPr>
          <w:color w:val="000000"/>
          <w:sz w:val="24"/>
        </w:rPr>
      </w:pPr>
      <w:r>
        <w:rPr>
          <w:color w:val="000000"/>
          <w:sz w:val="24"/>
        </w:rPr>
        <w:t xml:space="preserve">                                </w:t>
      </w: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rFonts w:eastAsiaTheme="minorEastAsia"/>
          <w:color w:val="000000"/>
          <w:sz w:val="24"/>
        </w:rPr>
      </w:pPr>
      <w:r>
        <w:rPr>
          <w:rFonts w:eastAsiaTheme="minorEastAsia"/>
          <w:color w:val="000000"/>
          <w:sz w:val="24"/>
        </w:rPr>
        <w:t>注：</w:t>
      </w:r>
    </w:p>
    <w:p>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pPr>
        <w:spacing w:line="360" w:lineRule="auto"/>
        <w:ind w:left="719" w:leftChars="228" w:hanging="240" w:hangingChars="100"/>
        <w:rPr>
          <w:color w:val="000000"/>
          <w:sz w:val="24"/>
        </w:rPr>
      </w:pPr>
      <w:r>
        <w:rPr>
          <w:rFonts w:eastAsiaTheme="minorEastAsia"/>
          <w:color w:val="000000"/>
          <w:sz w:val="24"/>
        </w:rPr>
        <w:t>2. 联合体各方成员需在本协议上共同盖章。</w:t>
      </w:r>
    </w:p>
    <w:p>
      <w:pPr>
        <w:widowControl/>
        <w:jc w:val="left"/>
        <w:rPr>
          <w:sz w:val="24"/>
        </w:rPr>
      </w:pPr>
      <w:r>
        <w:rPr>
          <w:sz w:val="24"/>
        </w:rPr>
        <w:br w:type="page"/>
      </w:r>
    </w:p>
    <w:p>
      <w:pPr>
        <w:spacing w:line="360" w:lineRule="auto"/>
        <w:outlineLvl w:val="2"/>
        <w:rPr>
          <w:sz w:val="24"/>
          <w:szCs w:val="20"/>
        </w:rPr>
      </w:pPr>
      <w:r>
        <w:rPr>
          <w:color w:val="000000"/>
          <w:sz w:val="24"/>
          <w:szCs w:val="20"/>
        </w:rPr>
        <w:t>3-2 其他</w:t>
      </w:r>
      <w:r>
        <w:rPr>
          <w:sz w:val="24"/>
          <w:szCs w:val="20"/>
        </w:rPr>
        <w:t>特定资格要求</w:t>
      </w:r>
    </w:p>
    <w:p>
      <w:pPr>
        <w:pStyle w:val="20"/>
        <w:spacing w:line="360" w:lineRule="auto"/>
        <w:ind w:left="0" w:leftChars="0" w:firstLine="0" w:firstLineChars="0"/>
        <w:rPr>
          <w:rFonts w:ascii="宋体" w:hAnsi="宋体"/>
          <w:b/>
          <w:bCs/>
          <w:sz w:val="24"/>
        </w:rPr>
      </w:pPr>
      <w:r>
        <w:rPr>
          <w:rFonts w:hint="eastAsia" w:ascii="宋体" w:hAnsi="宋体"/>
          <w:sz w:val="24"/>
        </w:rPr>
        <w:t>（1）供应商具有建设主管部门核发的</w:t>
      </w:r>
      <w:r>
        <w:rPr>
          <w:rFonts w:hint="eastAsia" w:ascii="宋体" w:hAnsi="宋体"/>
          <w:sz w:val="24"/>
          <w:lang w:val="en-US" w:eastAsia="zh-CN"/>
        </w:rPr>
        <w:t>工程</w:t>
      </w:r>
      <w:r>
        <w:rPr>
          <w:rFonts w:hint="eastAsia" w:ascii="宋体" w:hAnsi="宋体"/>
          <w:sz w:val="24"/>
          <w:lang w:eastAsia="zh-CN"/>
        </w:rPr>
        <w:t>工程监理综合资质工程监理电力工程专业乙级（含）以上资质</w:t>
      </w:r>
      <w:r>
        <w:rPr>
          <w:rFonts w:hint="eastAsia" w:ascii="宋体" w:hAnsi="宋体"/>
          <w:sz w:val="24"/>
        </w:rPr>
        <w:t>；</w:t>
      </w:r>
      <w:r>
        <w:rPr>
          <w:rFonts w:hint="eastAsia" w:ascii="宋体" w:hAnsi="宋体"/>
          <w:b/>
          <w:bCs/>
          <w:sz w:val="24"/>
        </w:rPr>
        <w:t>（提供证书复印件加盖公章）</w:t>
      </w:r>
    </w:p>
    <w:p>
      <w:pPr>
        <w:pStyle w:val="20"/>
        <w:spacing w:line="360" w:lineRule="auto"/>
        <w:ind w:left="0" w:leftChars="0" w:firstLine="0" w:firstLineChars="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）单位负责人为同一人或者存在直接控股、管理关系的不同单位，不得参加本项目的谈判活动；</w:t>
      </w:r>
      <w:r>
        <w:rPr>
          <w:rFonts w:hint="eastAsia" w:ascii="宋体" w:hAnsi="宋体"/>
          <w:b/>
          <w:bCs/>
          <w:sz w:val="24"/>
        </w:rPr>
        <w:t>（提供承诺加盖公章，格式自拟）</w:t>
      </w:r>
    </w:p>
    <w:p>
      <w:pPr>
        <w:spacing w:line="360" w:lineRule="auto"/>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）凡受托为本次采购的服务进行管理、检测、监理和其相关的咨询公司，及相关联的附属机构，不得参加本项目谈判。</w:t>
      </w:r>
      <w:r>
        <w:rPr>
          <w:rFonts w:hint="eastAsia" w:ascii="宋体" w:hAnsi="宋体"/>
          <w:b/>
          <w:bCs/>
          <w:sz w:val="24"/>
        </w:rPr>
        <w:t>（提供承诺加盖公章，格式自拟）</w:t>
      </w:r>
    </w:p>
    <w:p>
      <w:pPr>
        <w:tabs>
          <w:tab w:val="left" w:pos="5580"/>
        </w:tabs>
        <w:spacing w:line="360" w:lineRule="auto"/>
        <w:rPr>
          <w:sz w:val="24"/>
        </w:rPr>
      </w:pPr>
    </w:p>
    <w:p>
      <w:pPr>
        <w:widowControl/>
        <w:jc w:val="left"/>
        <w:rPr>
          <w:sz w:val="24"/>
          <w:szCs w:val="20"/>
        </w:rPr>
      </w:pPr>
      <w:r>
        <w:rPr>
          <w:sz w:val="24"/>
          <w:szCs w:val="20"/>
        </w:rPr>
        <w:br w:type="page"/>
      </w:r>
    </w:p>
    <w:p>
      <w:pPr>
        <w:numPr>
          <w:ilvl w:val="0"/>
          <w:numId w:val="14"/>
        </w:numPr>
        <w:tabs>
          <w:tab w:val="left" w:pos="360"/>
        </w:tabs>
        <w:snapToGrid w:val="0"/>
        <w:spacing w:line="360" w:lineRule="auto"/>
        <w:outlineLvl w:val="1"/>
        <w:rPr>
          <w:rFonts w:eastAsiaTheme="minorEastAsia"/>
          <w:color w:val="000000"/>
          <w:sz w:val="24"/>
          <w:szCs w:val="20"/>
        </w:rPr>
      </w:pPr>
      <w:r>
        <w:rPr>
          <w:rFonts w:eastAsiaTheme="minorEastAsia"/>
          <w:color w:val="000000"/>
          <w:sz w:val="24"/>
        </w:rPr>
        <w:t>保证金凭证/交款单据</w:t>
      </w:r>
    </w:p>
    <w:p>
      <w:pPr>
        <w:tabs>
          <w:tab w:val="left" w:pos="5580"/>
        </w:tabs>
        <w:spacing w:line="360" w:lineRule="auto"/>
        <w:rPr>
          <w:sz w:val="24"/>
          <w:szCs w:val="20"/>
        </w:rPr>
      </w:pPr>
    </w:p>
    <w:p>
      <w:pPr>
        <w:widowControl/>
        <w:jc w:val="left"/>
        <w:rPr>
          <w:kern w:val="0"/>
          <w:sz w:val="24"/>
          <w:szCs w:val="20"/>
        </w:rPr>
      </w:pPr>
      <w:r>
        <w:rPr>
          <w:b/>
          <w:sz w:val="24"/>
        </w:rPr>
        <w:br w:type="page"/>
      </w:r>
    </w:p>
    <w:p>
      <w:pPr>
        <w:numPr>
          <w:ilvl w:val="0"/>
          <w:numId w:val="14"/>
        </w:numPr>
        <w:tabs>
          <w:tab w:val="left" w:pos="360"/>
        </w:tabs>
        <w:snapToGrid w:val="0"/>
        <w:spacing w:line="360" w:lineRule="auto"/>
        <w:outlineLvl w:val="1"/>
        <w:rPr>
          <w:color w:val="000000"/>
          <w:sz w:val="24"/>
          <w:szCs w:val="20"/>
        </w:rPr>
      </w:pPr>
      <w:bookmarkStart w:id="709" w:name="_Hlt520355504"/>
      <w:bookmarkEnd w:id="709"/>
      <w:bookmarkStart w:id="710" w:name="_Hlt520274407"/>
      <w:bookmarkEnd w:id="710"/>
      <w:bookmarkStart w:id="711" w:name="_Hlt520274393"/>
      <w:bookmarkEnd w:id="711"/>
      <w:bookmarkStart w:id="712" w:name="_Hlt520274065"/>
      <w:bookmarkEnd w:id="712"/>
      <w:bookmarkStart w:id="713" w:name="_Hlt520343000"/>
      <w:bookmarkEnd w:id="713"/>
      <w:bookmarkStart w:id="714" w:name="_Hlt520274121"/>
      <w:bookmarkEnd w:id="714"/>
      <w:bookmarkStart w:id="715" w:name="_Hlt520350918"/>
      <w:bookmarkEnd w:id="715"/>
      <w:bookmarkStart w:id="716" w:name="_Hlt520271212"/>
      <w:bookmarkEnd w:id="716"/>
      <w:bookmarkStart w:id="717" w:name="_Hlt520273711"/>
      <w:bookmarkEnd w:id="717"/>
      <w:bookmarkStart w:id="718" w:name="_Hlt520343392"/>
      <w:bookmarkEnd w:id="718"/>
      <w:bookmarkStart w:id="719" w:name="_Toc226309800"/>
      <w:bookmarkStart w:id="720" w:name="_Toc226337252"/>
      <w:bookmarkStart w:id="721" w:name="_Toc195842921"/>
      <w:bookmarkStart w:id="722" w:name="_Toc142311058"/>
      <w:bookmarkStart w:id="723" w:name="_Toc150774761"/>
      <w:bookmarkStart w:id="724" w:name="_Toc520356217"/>
      <w:bookmarkStart w:id="725" w:name="_Toc150480794"/>
      <w:bookmarkStart w:id="726" w:name="_Toc226965746"/>
      <w:bookmarkStart w:id="727" w:name="_Toc127151556"/>
      <w:bookmarkStart w:id="728" w:name="_Toc226965829"/>
      <w:r>
        <w:rPr>
          <w:color w:val="000000"/>
          <w:sz w:val="24"/>
        </w:rPr>
        <w:t>响应书</w:t>
      </w:r>
      <w:bookmarkEnd w:id="719"/>
      <w:bookmarkEnd w:id="720"/>
      <w:bookmarkEnd w:id="721"/>
      <w:bookmarkEnd w:id="722"/>
      <w:bookmarkEnd w:id="723"/>
      <w:bookmarkEnd w:id="724"/>
      <w:bookmarkEnd w:id="725"/>
      <w:bookmarkEnd w:id="726"/>
      <w:bookmarkEnd w:id="727"/>
      <w:bookmarkEnd w:id="728"/>
      <w:r>
        <w:rPr>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我方参加你方就_____________________（项目名称，项目编号/包号）组织的采购活动，并对此项目进行响应。</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已详细审查全部谈判文件</w:t>
      </w:r>
      <w:r>
        <w:rPr>
          <w:color w:val="000000"/>
          <w:sz w:val="24"/>
          <w:szCs w:val="20"/>
        </w:rPr>
        <w:t>，自愿参与响应并承诺如下：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（2）除合同条款及采购需求偏离表列出的偏离外，我方响应谈判文件的全部要求。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（4）如我方成交，我方将在法律规定的期限内与你方签订合同，按照谈判文件要求提交履约保证金，并在合同约定的期限内完成合同规定的全部义务。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_____________________</w:t>
      </w:r>
      <w:r>
        <w:rPr>
          <w:color w:val="000000"/>
          <w:sz w:val="24"/>
        </w:rPr>
        <w:t>。</w:t>
      </w:r>
    </w:p>
    <w:p>
      <w:pPr>
        <w:spacing w:line="360" w:lineRule="auto"/>
        <w:ind w:firstLine="480" w:firstLineChars="200"/>
        <w:rPr>
          <w:color w:val="000000"/>
          <w:sz w:val="24"/>
        </w:rPr>
      </w:pPr>
      <w:r>
        <w:rPr>
          <w:color w:val="000000"/>
          <w:sz w:val="24"/>
        </w:rPr>
        <w:t>与本响应有关的一切正式往来信函请寄：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供应商名称（加盖公章） _____________________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rPr>
      </w:pPr>
    </w:p>
    <w:p>
      <w:pPr>
        <w:widowControl/>
        <w:jc w:val="left"/>
        <w:rPr>
          <w:b/>
          <w:color w:val="000000"/>
          <w:sz w:val="24"/>
          <w:szCs w:val="20"/>
        </w:rPr>
      </w:pPr>
      <w:r>
        <w:rPr>
          <w:b/>
          <w:color w:val="000000"/>
          <w:sz w:val="24"/>
          <w:szCs w:val="20"/>
        </w:rPr>
        <w:br w:type="page"/>
      </w:r>
    </w:p>
    <w:p>
      <w:pPr>
        <w:numPr>
          <w:ilvl w:val="0"/>
          <w:numId w:val="14"/>
        </w:numPr>
        <w:tabs>
          <w:tab w:val="left" w:pos="360"/>
        </w:tabs>
        <w:snapToGrid w:val="0"/>
        <w:spacing w:line="360" w:lineRule="auto"/>
        <w:outlineLvl w:val="1"/>
        <w:rPr>
          <w:color w:val="000000"/>
          <w:sz w:val="24"/>
        </w:rPr>
      </w:pPr>
      <w:bookmarkStart w:id="729" w:name="_Hlt520355938"/>
      <w:bookmarkEnd w:id="729"/>
      <w:bookmarkStart w:id="730" w:name="_Hlt520356243"/>
      <w:bookmarkEnd w:id="730"/>
      <w:bookmarkStart w:id="731" w:name="_Toc195842922"/>
      <w:bookmarkStart w:id="732" w:name="_Toc142311059"/>
      <w:bookmarkStart w:id="733" w:name="_Toc305158899"/>
      <w:bookmarkStart w:id="734" w:name="_Toc226309801"/>
      <w:bookmarkStart w:id="735" w:name="_Toc150774762"/>
      <w:bookmarkStart w:id="736" w:name="_Toc226965830"/>
      <w:bookmarkStart w:id="737" w:name="_Toc520356218"/>
      <w:bookmarkStart w:id="738" w:name="_Ref467988705"/>
      <w:bookmarkStart w:id="739" w:name="_Toc305158825"/>
      <w:bookmarkStart w:id="740" w:name="_Toc265228395"/>
      <w:bookmarkStart w:id="741" w:name="_Toc150480795"/>
      <w:bookmarkStart w:id="742" w:name="_Toc226337253"/>
      <w:bookmarkStart w:id="743" w:name="_Toc127151557"/>
      <w:bookmarkStart w:id="744" w:name="_Toc226965747"/>
      <w:bookmarkStart w:id="745" w:name="_Toc480942350"/>
      <w:bookmarkStart w:id="746" w:name="_Toc264969247"/>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trPr>
        <w:tc>
          <w:tcPr>
            <w:tcW w:w="8296" w:type="dxa"/>
          </w:tcPr>
          <w:p>
            <w:pPr>
              <w:tabs>
                <w:tab w:val="left" w:pos="5580"/>
              </w:tabs>
              <w:spacing w:line="360" w:lineRule="auto"/>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pPr>
              <w:pStyle w:val="18"/>
              <w:kinsoku w:val="0"/>
              <w:overflowPunct w:val="0"/>
              <w:spacing w:line="583" w:lineRule="auto"/>
              <w:ind w:right="-46"/>
              <w:rPr>
                <w:color w:val="000000"/>
                <w:szCs w:val="20"/>
              </w:rPr>
            </w:pPr>
          </w:p>
        </w:tc>
      </w:tr>
    </w:tbl>
    <w:p>
      <w:pPr>
        <w:pStyle w:val="18"/>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：________________</w:t>
      </w:r>
    </w:p>
    <w:p>
      <w:pPr>
        <w:pStyle w:val="18"/>
        <w:kinsoku w:val="0"/>
        <w:overflowPunct w:val="0"/>
        <w:spacing w:line="360"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ascii="Times New Roman" w:hAnsi="Times New Roman"/>
          <w:color w:val="000000"/>
          <w:szCs w:val="20"/>
        </w:rPr>
        <w:t>或签章</w:t>
      </w:r>
      <w:r>
        <w:rPr>
          <w:rFonts w:ascii="Times New Roman" w:hAnsi="Times New Roman"/>
          <w:spacing w:val="-3"/>
        </w:rPr>
        <w:t>）：_____________</w:t>
      </w:r>
    </w:p>
    <w:p>
      <w:pPr>
        <w:pStyle w:val="18"/>
        <w:spacing w:line="360" w:lineRule="auto"/>
        <w:rPr>
          <w:rFonts w:ascii="Times New Roman" w:hAnsi="Times New Roman"/>
          <w:color w:val="000000"/>
          <w:lang w:val="zh-CN"/>
        </w:rPr>
      </w:pPr>
      <w:r>
        <w:rPr>
          <w:rFonts w:ascii="Times New Roman" w:hAnsi="Times New Roman"/>
          <w:color w:val="000000"/>
        </w:rPr>
        <w:t>日期：_____年______月______日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numPr>
          <w:ilvl w:val="0"/>
          <w:numId w:val="14"/>
        </w:numPr>
        <w:tabs>
          <w:tab w:val="left" w:pos="360"/>
        </w:tabs>
        <w:snapToGrid w:val="0"/>
        <w:spacing w:line="360" w:lineRule="auto"/>
        <w:outlineLvl w:val="1"/>
        <w:rPr>
          <w:color w:val="000000"/>
          <w:sz w:val="24"/>
          <w:szCs w:val="20"/>
        </w:rPr>
      </w:pPr>
      <w:r>
        <w:rPr>
          <w:color w:val="000000"/>
          <w:sz w:val="24"/>
          <w:szCs w:val="20"/>
        </w:rPr>
        <w:t>报价一览表</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spacing w:line="360" w:lineRule="exact"/>
        <w:jc w:val="center"/>
        <w:rPr>
          <w:b/>
          <w:color w:val="000000"/>
          <w:sz w:val="36"/>
          <w:szCs w:val="36"/>
        </w:rPr>
      </w:pPr>
      <w:bookmarkStart w:id="747" w:name="_Toc305158826"/>
      <w:bookmarkStart w:id="748" w:name="_Toc164608827"/>
      <w:bookmarkStart w:id="749" w:name="_Toc226965748"/>
      <w:bookmarkStart w:id="750" w:name="_Toc265228396"/>
      <w:bookmarkStart w:id="751" w:name="_Toc226309802"/>
      <w:bookmarkStart w:id="752" w:name="_Toc195842923"/>
      <w:bookmarkStart w:id="753" w:name="_Toc264969248"/>
      <w:bookmarkStart w:id="754" w:name="_Toc226965831"/>
      <w:bookmarkStart w:id="755" w:name="_Toc305158900"/>
      <w:bookmarkStart w:id="756" w:name="_Toc226337254"/>
      <w:bookmarkStart w:id="757" w:name="_Toc164608672"/>
      <w:r>
        <w:rPr>
          <w:b/>
          <w:color w:val="000000"/>
          <w:sz w:val="36"/>
          <w:szCs w:val="36"/>
        </w:rPr>
        <w:t>报价一览表</w:t>
      </w:r>
      <w:bookmarkEnd w:id="747"/>
      <w:bookmarkEnd w:id="748"/>
      <w:bookmarkEnd w:id="749"/>
      <w:bookmarkEnd w:id="750"/>
      <w:bookmarkEnd w:id="751"/>
      <w:bookmarkEnd w:id="752"/>
      <w:bookmarkEnd w:id="753"/>
      <w:bookmarkEnd w:id="754"/>
      <w:bookmarkEnd w:id="755"/>
      <w:bookmarkEnd w:id="756"/>
      <w:bookmarkEnd w:id="757"/>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758" w:name="_Toc127151558"/>
      <w:bookmarkStart w:id="759" w:name="_Toc226965749"/>
      <w:bookmarkStart w:id="760" w:name="_Toc142311060"/>
      <w:bookmarkStart w:id="761" w:name="_Toc195842924"/>
      <w:bookmarkStart w:id="762" w:name="_Toc265228397"/>
      <w:bookmarkStart w:id="763" w:name="_Toc226309803"/>
      <w:bookmarkStart w:id="764" w:name="_Toc305158901"/>
      <w:bookmarkStart w:id="765" w:name="_Toc264969249"/>
      <w:bookmarkStart w:id="766" w:name="_Toc226337255"/>
      <w:bookmarkStart w:id="767" w:name="_Toc150774763"/>
      <w:bookmarkStart w:id="768" w:name="_Toc226965832"/>
      <w:bookmarkStart w:id="769" w:name="_Toc305158827"/>
      <w:bookmarkStart w:id="770" w:name="_Toc150480796"/>
    </w:p>
    <w:p>
      <w:pPr>
        <w:numPr>
          <w:ilvl w:val="0"/>
          <w:numId w:val="14"/>
        </w:numPr>
        <w:tabs>
          <w:tab w:val="left" w:pos="360"/>
        </w:tabs>
        <w:snapToGrid w:val="0"/>
        <w:spacing w:line="360" w:lineRule="auto"/>
        <w:outlineLvl w:val="1"/>
        <w:rPr>
          <w:color w:val="000000"/>
          <w:sz w:val="24"/>
          <w:szCs w:val="20"/>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pPr>
        <w:numPr>
          <w:ilvl w:val="0"/>
          <w:numId w:val="14"/>
        </w:numPr>
        <w:tabs>
          <w:tab w:val="left" w:pos="360"/>
        </w:tabs>
        <w:snapToGrid w:val="0"/>
        <w:spacing w:line="360" w:lineRule="auto"/>
        <w:outlineLvl w:val="1"/>
        <w:rPr>
          <w:color w:val="000000"/>
          <w:sz w:val="24"/>
          <w:szCs w:val="20"/>
        </w:rPr>
      </w:pPr>
      <w:r>
        <w:rPr>
          <w:color w:val="000000"/>
          <w:sz w:val="24"/>
          <w:szCs w:val="20"/>
        </w:rPr>
        <w:t>分项报价表</w:t>
      </w:r>
      <w:bookmarkEnd w:id="758"/>
      <w:bookmarkEnd w:id="759"/>
      <w:bookmarkEnd w:id="760"/>
      <w:bookmarkEnd w:id="761"/>
      <w:bookmarkEnd w:id="762"/>
      <w:bookmarkEnd w:id="763"/>
      <w:bookmarkEnd w:id="764"/>
      <w:bookmarkEnd w:id="765"/>
      <w:bookmarkEnd w:id="766"/>
      <w:bookmarkEnd w:id="767"/>
      <w:bookmarkEnd w:id="768"/>
      <w:bookmarkEnd w:id="769"/>
      <w:bookmarkEnd w:id="770"/>
    </w:p>
    <w:p>
      <w:pPr>
        <w:tabs>
          <w:tab w:val="left" w:pos="360"/>
        </w:tabs>
        <w:snapToGrid w:val="0"/>
        <w:spacing w:line="360" w:lineRule="auto"/>
        <w:jc w:val="center"/>
        <w:outlineLvl w:val="1"/>
        <w:rPr>
          <w:color w:val="000000"/>
          <w:sz w:val="36"/>
          <w:szCs w:val="36"/>
        </w:rPr>
      </w:pPr>
      <w:r>
        <w:rPr>
          <w:color w:val="000000"/>
          <w:sz w:val="36"/>
          <w:szCs w:val="36"/>
        </w:rPr>
        <w:t>分项报价表</w:t>
      </w:r>
    </w:p>
    <w:p>
      <w:pPr>
        <w:pStyle w:val="13"/>
      </w:pPr>
    </w:p>
    <w:p>
      <w:pPr>
        <w:tabs>
          <w:tab w:val="left" w:pos="1800"/>
          <w:tab w:val="left" w:pos="5580"/>
        </w:tabs>
        <w:rPr>
          <w:rFonts w:eastAsiaTheme="minorEastAsia"/>
          <w:color w:val="000000"/>
          <w:sz w:val="24"/>
        </w:rPr>
      </w:pP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pPr>
              <w:adjustRightInd w:val="0"/>
              <w:snapToGrid w:val="0"/>
              <w:jc w:val="left"/>
              <w:rPr>
                <w:rFonts w:eastAsiaTheme="minorEastAsia"/>
                <w:b/>
                <w:color w:val="000000"/>
                <w:sz w:val="24"/>
              </w:rPr>
            </w:pPr>
            <w:r>
              <w:rPr>
                <w:rFonts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pPr>
              <w:adjustRightInd w:val="0"/>
              <w:snapToGrid w:val="0"/>
              <w:jc w:val="left"/>
              <w:rPr>
                <w:rFonts w:eastAsiaTheme="minorEastAsia"/>
                <w:color w:val="000000"/>
                <w:sz w:val="24"/>
              </w:rPr>
            </w:pPr>
          </w:p>
        </w:tc>
        <w:tc>
          <w:tcPr>
            <w:tcW w:w="725" w:type="pct"/>
            <w:vAlign w:val="center"/>
          </w:tcPr>
          <w:p>
            <w:pPr>
              <w:adjustRightInd w:val="0"/>
              <w:snapToGrid w:val="0"/>
              <w:jc w:val="left"/>
              <w:rPr>
                <w:rFonts w:eastAsiaTheme="minorEastAsia"/>
                <w:color w:val="000000"/>
                <w:sz w:val="24"/>
              </w:rPr>
            </w:pP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19"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pPr>
              <w:adjustRightInd w:val="0"/>
              <w:snapToGrid w:val="0"/>
              <w:jc w:val="left"/>
              <w:rPr>
                <w:rFonts w:eastAsiaTheme="minorEastAsia"/>
                <w:color w:val="000000"/>
                <w:sz w:val="24"/>
              </w:rPr>
            </w:pPr>
          </w:p>
        </w:tc>
        <w:tc>
          <w:tcPr>
            <w:tcW w:w="725" w:type="pct"/>
            <w:vAlign w:val="center"/>
          </w:tcPr>
          <w:p>
            <w:pPr>
              <w:adjustRightInd w:val="0"/>
              <w:snapToGrid w:val="0"/>
              <w:jc w:val="left"/>
              <w:rPr>
                <w:rFonts w:eastAsiaTheme="minorEastAsia"/>
                <w:color w:val="000000"/>
                <w:sz w:val="24"/>
              </w:rPr>
            </w:pP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19"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pPr>
              <w:adjustRightInd w:val="0"/>
              <w:snapToGrid w:val="0"/>
              <w:jc w:val="left"/>
              <w:rPr>
                <w:rFonts w:eastAsiaTheme="minorEastAsia"/>
                <w:color w:val="000000"/>
                <w:sz w:val="24"/>
              </w:rPr>
            </w:pP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19"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357" w:type="pct"/>
            <w:gridSpan w:val="4"/>
            <w:vAlign w:val="center"/>
          </w:tcPr>
          <w:p>
            <w:pPr>
              <w:adjustRightInd w:val="0"/>
              <w:snapToGrid w:val="0"/>
              <w:jc w:val="center"/>
              <w:rPr>
                <w:rFonts w:eastAsiaTheme="minorEastAsia"/>
                <w:color w:val="000000"/>
                <w:sz w:val="24"/>
              </w:rPr>
            </w:pPr>
            <w:r>
              <w:rPr>
                <w:rFonts w:eastAsiaTheme="minorEastAsia"/>
                <w:color w:val="000000"/>
                <w:sz w:val="24"/>
              </w:rPr>
              <w:t>总价（元）</w:t>
            </w:r>
          </w:p>
        </w:tc>
        <w:tc>
          <w:tcPr>
            <w:tcW w:w="724" w:type="pct"/>
            <w:vAlign w:val="center"/>
          </w:tcPr>
          <w:p>
            <w:pPr>
              <w:adjustRightInd w:val="0"/>
              <w:snapToGrid w:val="0"/>
              <w:jc w:val="left"/>
              <w:rPr>
                <w:rFonts w:eastAsiaTheme="minorEastAsia"/>
                <w:color w:val="000000"/>
                <w:sz w:val="24"/>
              </w:rPr>
            </w:pPr>
          </w:p>
        </w:tc>
        <w:tc>
          <w:tcPr>
            <w:tcW w:w="919" w:type="pct"/>
            <w:vAlign w:val="center"/>
          </w:tcPr>
          <w:p>
            <w:pPr>
              <w:adjustRightInd w:val="0"/>
              <w:snapToGrid w:val="0"/>
              <w:jc w:val="left"/>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2.上述各项的详细规格（如有），可另页描述。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4"/>
        </w:numPr>
        <w:tabs>
          <w:tab w:val="left" w:pos="360"/>
        </w:tabs>
        <w:snapToGrid w:val="0"/>
        <w:spacing w:line="360" w:lineRule="auto"/>
        <w:outlineLvl w:val="1"/>
        <w:rPr>
          <w:color w:val="000000"/>
          <w:sz w:val="24"/>
          <w:szCs w:val="20"/>
        </w:rPr>
      </w:pPr>
      <w:bookmarkStart w:id="771" w:name="_Toc127151562"/>
      <w:bookmarkStart w:id="772" w:name="_Toc226337258"/>
      <w:bookmarkStart w:id="773" w:name="_Toc150480798"/>
      <w:bookmarkStart w:id="774" w:name="_Toc226965752"/>
      <w:bookmarkStart w:id="775" w:name="_Toc305158830"/>
      <w:bookmarkStart w:id="776" w:name="_Toc142311062"/>
      <w:bookmarkStart w:id="777" w:name="_Toc264969252"/>
      <w:bookmarkStart w:id="778" w:name="_Toc305158904"/>
      <w:bookmarkStart w:id="779" w:name="_Toc150774765"/>
      <w:bookmarkStart w:id="780" w:name="_Toc195842927"/>
      <w:bookmarkStart w:id="781" w:name="_Toc265228400"/>
      <w:bookmarkStart w:id="782" w:name="_Toc226309806"/>
      <w:bookmarkStart w:id="783" w:name="_Toc226965835"/>
      <w:bookmarkStart w:id="784" w:name="_Toc264969251"/>
      <w:bookmarkStart w:id="785" w:name="_Toc150774764"/>
      <w:bookmarkStart w:id="786" w:name="_Toc226965751"/>
      <w:bookmarkStart w:id="787" w:name="_Toc305158829"/>
      <w:bookmarkStart w:id="788" w:name="_Toc142311061"/>
      <w:bookmarkStart w:id="789" w:name="_Toc127151561"/>
      <w:bookmarkStart w:id="790" w:name="_Toc226309805"/>
      <w:bookmarkStart w:id="791" w:name="_Toc226337257"/>
      <w:bookmarkStart w:id="792" w:name="_Toc195842926"/>
      <w:bookmarkStart w:id="793" w:name="_Toc305158903"/>
      <w:bookmarkStart w:id="794" w:name="_Toc150480797"/>
      <w:bookmarkStart w:id="795" w:name="_Toc265228399"/>
      <w:bookmarkStart w:id="796" w:name="_Toc226965834"/>
      <w:r>
        <w:rPr>
          <w:color w:val="000000"/>
          <w:sz w:val="24"/>
          <w:szCs w:val="20"/>
        </w:rPr>
        <w:br w:type="page"/>
      </w:r>
      <w:r>
        <w:rPr>
          <w:color w:val="000000"/>
          <w:sz w:val="24"/>
          <w:szCs w:val="20"/>
        </w:rPr>
        <w:t>合同条款偏离表</w:t>
      </w:r>
      <w:bookmarkEnd w:id="771"/>
      <w:bookmarkEnd w:id="772"/>
      <w:bookmarkEnd w:id="773"/>
      <w:bookmarkEnd w:id="774"/>
      <w:bookmarkEnd w:id="775"/>
      <w:bookmarkEnd w:id="776"/>
      <w:bookmarkEnd w:id="777"/>
      <w:bookmarkEnd w:id="778"/>
      <w:bookmarkEnd w:id="779"/>
      <w:bookmarkEnd w:id="780"/>
      <w:bookmarkEnd w:id="781"/>
      <w:bookmarkEnd w:id="782"/>
      <w:bookmarkEnd w:id="783"/>
      <w:r>
        <w:rPr>
          <w:rFonts w:hint="eastAsia"/>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r>
              <w:rPr>
                <w:color w:val="000000"/>
                <w:sz w:val="24"/>
              </w:rPr>
              <w:t>序号</w:t>
            </w:r>
          </w:p>
        </w:tc>
        <w:tc>
          <w:tcPr>
            <w:tcW w:w="1394" w:type="dxa"/>
            <w:vAlign w:val="center"/>
          </w:tcPr>
          <w:p>
            <w:pPr>
              <w:adjustRightInd w:val="0"/>
              <w:snapToGrid w:val="0"/>
              <w:jc w:val="center"/>
              <w:rPr>
                <w:color w:val="000000"/>
                <w:sz w:val="24"/>
              </w:rPr>
            </w:pPr>
            <w:r>
              <w:rPr>
                <w:color w:val="000000"/>
                <w:sz w:val="24"/>
                <w:szCs w:val="21"/>
              </w:rPr>
              <w:t>谈判文件</w:t>
            </w:r>
            <w:r>
              <w:rPr>
                <w:color w:val="000000"/>
                <w:sz w:val="24"/>
              </w:rPr>
              <w:t>条目号（页码）</w:t>
            </w:r>
          </w:p>
        </w:tc>
        <w:tc>
          <w:tcPr>
            <w:tcW w:w="1808" w:type="dxa"/>
            <w:vAlign w:val="center"/>
          </w:tcPr>
          <w:p>
            <w:pPr>
              <w:adjustRightInd w:val="0"/>
              <w:snapToGrid w:val="0"/>
              <w:jc w:val="center"/>
              <w:rPr>
                <w:color w:val="000000"/>
                <w:sz w:val="24"/>
              </w:rPr>
            </w:pPr>
            <w:r>
              <w:rPr>
                <w:color w:val="000000"/>
                <w:sz w:val="24"/>
                <w:szCs w:val="21"/>
              </w:rPr>
              <w:t>谈判文件</w:t>
            </w:r>
            <w:r>
              <w:rPr>
                <w:color w:val="000000"/>
                <w:sz w:val="24"/>
              </w:rPr>
              <w:t>要求</w:t>
            </w:r>
          </w:p>
        </w:tc>
        <w:tc>
          <w:tcPr>
            <w:tcW w:w="1809" w:type="dxa"/>
            <w:vAlign w:val="center"/>
          </w:tcPr>
          <w:p>
            <w:pPr>
              <w:adjustRightInd w:val="0"/>
              <w:snapToGrid w:val="0"/>
              <w:jc w:val="center"/>
              <w:rPr>
                <w:color w:val="000000"/>
                <w:sz w:val="24"/>
              </w:rPr>
            </w:pPr>
            <w:r>
              <w:rPr>
                <w:color w:val="000000"/>
                <w:sz w:val="24"/>
              </w:rPr>
              <w:t>响应文件内容</w:t>
            </w:r>
          </w:p>
        </w:tc>
        <w:tc>
          <w:tcPr>
            <w:tcW w:w="2290" w:type="dxa"/>
            <w:vAlign w:val="center"/>
          </w:tcPr>
          <w:p>
            <w:pPr>
              <w:adjustRightInd w:val="0"/>
              <w:snapToGrid w:val="0"/>
              <w:jc w:val="center"/>
              <w:rPr>
                <w:color w:val="000000"/>
                <w:sz w:val="24"/>
              </w:rPr>
            </w:pPr>
            <w:r>
              <w:rPr>
                <w:color w:val="000000"/>
                <w:sz w:val="24"/>
              </w:rPr>
              <w:t>偏离情况</w:t>
            </w:r>
          </w:p>
        </w:tc>
        <w:tc>
          <w:tcPr>
            <w:tcW w:w="863"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pPr>
              <w:adjustRightInd w:val="0"/>
              <w:snapToGrid w:val="0"/>
              <w:jc w:val="left"/>
              <w:rPr>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4"/>
        </w:numPr>
        <w:tabs>
          <w:tab w:val="left" w:pos="360"/>
        </w:tabs>
        <w:snapToGrid w:val="0"/>
        <w:spacing w:line="360" w:lineRule="auto"/>
        <w:outlineLvl w:val="1"/>
        <w:rPr>
          <w:color w:val="000000"/>
          <w:sz w:val="24"/>
          <w:szCs w:val="20"/>
        </w:rPr>
      </w:pPr>
      <w:r>
        <w:rPr>
          <w:color w:val="000000"/>
          <w:sz w:val="24"/>
          <w:szCs w:val="20"/>
        </w:rPr>
        <w:br w:type="page"/>
      </w:r>
      <w:bookmarkEnd w:id="784"/>
      <w:bookmarkEnd w:id="785"/>
      <w:bookmarkEnd w:id="786"/>
      <w:bookmarkEnd w:id="787"/>
      <w:bookmarkEnd w:id="788"/>
      <w:bookmarkEnd w:id="789"/>
      <w:bookmarkEnd w:id="790"/>
      <w:bookmarkEnd w:id="791"/>
      <w:bookmarkEnd w:id="792"/>
      <w:bookmarkEnd w:id="793"/>
      <w:bookmarkEnd w:id="794"/>
      <w:bookmarkEnd w:id="795"/>
      <w:bookmarkEnd w:id="796"/>
      <w:r>
        <w:rPr>
          <w:color w:val="000000"/>
          <w:sz w:val="24"/>
          <w:szCs w:val="20"/>
        </w:rPr>
        <w:t>采购需求偏离表</w:t>
      </w:r>
      <w:r>
        <w:rPr>
          <w:rFonts w:hint="eastAsia"/>
          <w:color w:val="000000"/>
          <w:sz w:val="24"/>
          <w:szCs w:val="20"/>
        </w:rPr>
        <w:t>（实质性格式）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jc w:val="left"/>
        <w:rPr>
          <w:color w:val="000000"/>
          <w:sz w:val="24"/>
          <w:u w:val="single"/>
        </w:rPr>
      </w:pPr>
      <w:r>
        <w:rPr>
          <w:color w:val="000000"/>
          <w:sz w:val="24"/>
        </w:rPr>
        <w:t>项目编号/包号：_____________________     项目名称：_______________________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谈判文件条目号(页码)</w:t>
            </w:r>
          </w:p>
        </w:tc>
        <w:tc>
          <w:tcPr>
            <w:tcW w:w="2384" w:type="dxa"/>
            <w:vAlign w:val="center"/>
          </w:tcPr>
          <w:p>
            <w:pPr>
              <w:adjustRightInd w:val="0"/>
              <w:snapToGrid w:val="0"/>
              <w:jc w:val="center"/>
              <w:rPr>
                <w:color w:val="000000"/>
                <w:sz w:val="24"/>
              </w:rPr>
            </w:pPr>
            <w:r>
              <w:rPr>
                <w:color w:val="000000"/>
                <w:sz w:val="24"/>
              </w:rPr>
              <w:t>谈判文件要求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color w:val="000000"/>
          <w:sz w:val="24"/>
        </w:rPr>
        <w:t xml:space="preserve">1. </w:t>
      </w:r>
      <w:r>
        <w:rPr>
          <w:sz w:val="24"/>
        </w:rPr>
        <w:t>对谈判文件中的所有商务、技术要求，除本表所列明的所有偏离外，均视作供应商已对之理解和响应。</w:t>
      </w:r>
      <w:r>
        <w:rPr>
          <w:color w:val="000000"/>
          <w:sz w:val="24"/>
        </w:rPr>
        <w:t>此表中若无任何文字说明，</w:t>
      </w:r>
      <w:r>
        <w:rPr>
          <w:b/>
          <w:bCs/>
          <w:color w:val="000000"/>
          <w:sz w:val="24"/>
        </w:rPr>
        <w:t>内容为空白的，响应无效</w:t>
      </w:r>
      <w:r>
        <w:rPr>
          <w:color w:val="000000"/>
          <w:sz w:val="24"/>
        </w:rPr>
        <w:t>。</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日期：_____年______月______日   </w:t>
      </w:r>
    </w:p>
    <w:p>
      <w:pPr>
        <w:rPr>
          <w:color w:val="000000"/>
          <w:sz w:val="24"/>
          <w:szCs w:val="20"/>
        </w:rPr>
      </w:pPr>
      <w:r>
        <w:rPr>
          <w:color w:val="000000"/>
          <w:sz w:val="24"/>
          <w:szCs w:val="20"/>
        </w:rPr>
        <w:br w:type="page"/>
      </w:r>
    </w:p>
    <w:p>
      <w:pPr>
        <w:tabs>
          <w:tab w:val="left" w:pos="360"/>
        </w:tabs>
        <w:snapToGrid w:val="0"/>
        <w:spacing w:line="360" w:lineRule="auto"/>
        <w:outlineLvl w:val="1"/>
        <w:rPr>
          <w:color w:val="000000"/>
          <w:sz w:val="24"/>
          <w:szCs w:val="20"/>
        </w:rPr>
      </w:pPr>
    </w:p>
    <w:p>
      <w:pPr>
        <w:numPr>
          <w:ilvl w:val="0"/>
          <w:numId w:val="14"/>
        </w:numPr>
        <w:tabs>
          <w:tab w:val="left" w:pos="360"/>
        </w:tabs>
        <w:snapToGrid w:val="0"/>
        <w:spacing w:line="360" w:lineRule="auto"/>
        <w:outlineLvl w:val="1"/>
        <w:rPr>
          <w:color w:val="000000"/>
          <w:sz w:val="24"/>
          <w:szCs w:val="20"/>
        </w:rPr>
      </w:pPr>
      <w:r>
        <w:rPr>
          <w:color w:val="000000"/>
          <w:sz w:val="24"/>
          <w:szCs w:val="20"/>
        </w:rPr>
        <w:t>谈判文件要求提供或供应商认为应附的其他材料</w:t>
      </w:r>
    </w:p>
    <w:p>
      <w:pPr>
        <w:pStyle w:val="13"/>
        <w:numPr>
          <w:ilvl w:val="0"/>
          <w:numId w:val="17"/>
        </w:numPr>
        <w:rPr>
          <w:color w:val="000000"/>
          <w:szCs w:val="20"/>
        </w:rPr>
      </w:pPr>
      <w:r>
        <w:rPr>
          <w:rFonts w:hint="eastAsia"/>
          <w:color w:val="000000"/>
          <w:szCs w:val="20"/>
        </w:rPr>
        <w:t>拟投入本项目的人员构成及相关材料</w:t>
      </w:r>
    </w:p>
    <w:p>
      <w:pPr>
        <w:pStyle w:val="13"/>
        <w:numPr>
          <w:ilvl w:val="0"/>
          <w:numId w:val="17"/>
        </w:numPr>
        <w:rPr>
          <w:color w:val="000000"/>
          <w:szCs w:val="20"/>
        </w:rPr>
      </w:pPr>
      <w:r>
        <w:rPr>
          <w:color w:val="000000"/>
          <w:szCs w:val="20"/>
        </w:rPr>
        <w:t>供应商认为应附的其他材料</w:t>
      </w:r>
    </w:p>
    <w:p>
      <w:pPr>
        <w:widowControl/>
        <w:jc w:val="left"/>
        <w:rPr>
          <w:sz w:val="24"/>
        </w:rPr>
      </w:pPr>
    </w:p>
    <w:p>
      <w:pPr>
        <w:widowControl/>
        <w:jc w:val="left"/>
        <w:rPr>
          <w:b/>
          <w:sz w:val="36"/>
          <w:szCs w:val="36"/>
        </w:rPr>
      </w:pPr>
      <w:r>
        <w:rPr>
          <w:b/>
          <w:sz w:val="36"/>
          <w:szCs w:val="36"/>
        </w:rPr>
        <w:br w:type="page"/>
      </w:r>
    </w:p>
    <w:p>
      <w:pPr>
        <w:numPr>
          <w:ilvl w:val="0"/>
          <w:numId w:val="14"/>
        </w:numPr>
        <w:tabs>
          <w:tab w:val="left" w:pos="360"/>
        </w:tabs>
        <w:snapToGrid w:val="0"/>
        <w:spacing w:line="360" w:lineRule="auto"/>
        <w:outlineLvl w:val="1"/>
        <w:rPr>
          <w:color w:val="000000"/>
          <w:sz w:val="24"/>
          <w:szCs w:val="20"/>
        </w:rPr>
      </w:pPr>
      <w:r>
        <w:rPr>
          <w:color w:val="000000"/>
          <w:sz w:val="24"/>
          <w:szCs w:val="20"/>
        </w:rPr>
        <w:t>最后报价一览表（实质性格式，谈判后提交）</w:t>
      </w:r>
    </w:p>
    <w:p>
      <w:pPr>
        <w:spacing w:line="360" w:lineRule="exact"/>
        <w:jc w:val="center"/>
        <w:rPr>
          <w:b/>
          <w:color w:val="000000"/>
          <w:sz w:val="36"/>
          <w:szCs w:val="36"/>
        </w:rPr>
      </w:pPr>
      <w:r>
        <w:rPr>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项目编号/包号：_____________________     项目名称：_______________________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2721"/>
        <w:gridCol w:w="2023"/>
        <w:gridCol w:w="180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pStyle w:val="177"/>
        <w:ind w:left="642" w:leftChars="227" w:hanging="165" w:hangingChars="69"/>
        <w:rPr>
          <w:rFonts w:ascii="Times New Roman" w:hAnsi="Times New Roman"/>
          <w:sz w:val="24"/>
          <w:szCs w:val="24"/>
        </w:rPr>
      </w:pPr>
      <w:r>
        <w:rPr>
          <w:rFonts w:ascii="Times New Roman" w:hAnsi="Times New Roman"/>
          <w:sz w:val="24"/>
          <w:szCs w:val="24"/>
        </w:rPr>
        <w:t>3.</w:t>
      </w:r>
      <w:bookmarkStart w:id="797" w:name="_Hlk137145744"/>
      <w:r>
        <w:rPr>
          <w:rFonts w:ascii="Times New Roman" w:hAnsi="Times New Roman"/>
          <w:sz w:val="24"/>
          <w:szCs w:val="24"/>
        </w:rPr>
        <w:t>此表无需在响应文件中提交，谈判后供应商按谈判小组要求提交。</w:t>
      </w:r>
    </w:p>
    <w:bookmarkEnd w:id="797"/>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bookmarkStart w:id="798" w:name="_Hlk144141560"/>
      <w:r>
        <w:rPr>
          <w:color w:val="000000"/>
          <w:sz w:val="24"/>
        </w:rPr>
        <w:t>供应商授权代表签字（或加盖供应商公章）</w:t>
      </w:r>
      <w:r>
        <w:rPr>
          <w:color w:val="000000"/>
          <w:sz w:val="24"/>
          <w:lang w:val="zh-CN"/>
        </w:rPr>
        <w:t>：</w:t>
      </w:r>
      <w:bookmarkEnd w:id="798"/>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p>
    <w:p>
      <w:pPr>
        <w:numPr>
          <w:ilvl w:val="0"/>
          <w:numId w:val="14"/>
        </w:numPr>
        <w:tabs>
          <w:tab w:val="left" w:pos="360"/>
        </w:tabs>
        <w:snapToGrid w:val="0"/>
        <w:spacing w:line="360" w:lineRule="auto"/>
        <w:outlineLvl w:val="1"/>
        <w:rPr>
          <w:color w:val="000000"/>
          <w:sz w:val="24"/>
          <w:szCs w:val="20"/>
        </w:rPr>
        <w:sectPr>
          <w:pgSz w:w="11907" w:h="16840"/>
          <w:pgMar w:top="1418" w:right="1134" w:bottom="1418" w:left="1701" w:header="851" w:footer="851" w:gutter="0"/>
          <w:cols w:space="720" w:num="1"/>
          <w:docGrid w:linePitch="462" w:charSpace="0"/>
        </w:sectPr>
      </w:pPr>
    </w:p>
    <w:p>
      <w:pPr>
        <w:numPr>
          <w:ilvl w:val="0"/>
          <w:numId w:val="14"/>
        </w:numPr>
        <w:tabs>
          <w:tab w:val="left" w:pos="360"/>
        </w:tabs>
        <w:snapToGrid w:val="0"/>
        <w:spacing w:line="360" w:lineRule="auto"/>
        <w:outlineLvl w:val="1"/>
        <w:rPr>
          <w:color w:val="000000"/>
          <w:sz w:val="24"/>
          <w:szCs w:val="20"/>
        </w:rPr>
      </w:pPr>
      <w:r>
        <w:rPr>
          <w:color w:val="000000"/>
          <w:sz w:val="24"/>
          <w:szCs w:val="20"/>
        </w:rPr>
        <w:t>最后分项报价表（实质性格式，谈判后提交）</w:t>
      </w:r>
    </w:p>
    <w:p>
      <w:pPr>
        <w:spacing w:line="360" w:lineRule="exact"/>
        <w:jc w:val="center"/>
        <w:rPr>
          <w:b/>
          <w:color w:val="000000"/>
          <w:sz w:val="36"/>
          <w:szCs w:val="36"/>
        </w:rPr>
      </w:pPr>
    </w:p>
    <w:p>
      <w:pPr>
        <w:spacing w:line="360" w:lineRule="exact"/>
        <w:jc w:val="center"/>
        <w:rPr>
          <w:b/>
          <w:color w:val="000000"/>
          <w:sz w:val="36"/>
          <w:szCs w:val="36"/>
        </w:rPr>
      </w:pPr>
      <w:r>
        <w:rPr>
          <w:b/>
          <w:color w:val="000000"/>
          <w:sz w:val="36"/>
          <w:szCs w:val="36"/>
        </w:rPr>
        <w:t>最后分项报价</w:t>
      </w:r>
    </w:p>
    <w:p/>
    <w:p>
      <w:pPr>
        <w:tabs>
          <w:tab w:val="left" w:pos="1800"/>
          <w:tab w:val="left" w:pos="5580"/>
        </w:tabs>
        <w:rPr>
          <w:rFonts w:eastAsiaTheme="minorEastAsia"/>
          <w:color w:val="000000"/>
          <w:sz w:val="24"/>
        </w:rPr>
      </w:pPr>
      <w:r>
        <w:rPr>
          <w:rFonts w:eastAsiaTheme="minorEastAsia"/>
          <w:color w:val="000000"/>
          <w:sz w:val="24"/>
        </w:rPr>
        <w:t>项目编号/包号：_________ 项目名称：_______</w:t>
      </w:r>
      <w:r>
        <w:rPr>
          <w:rFonts w:hint="eastAsia" w:eastAsiaTheme="minorEastAsia"/>
          <w:color w:val="000000"/>
          <w:sz w:val="24"/>
          <w:u w:val="single"/>
        </w:rPr>
        <w:t xml:space="preserve">    </w:t>
      </w:r>
      <w:r>
        <w:rPr>
          <w:rFonts w:eastAsiaTheme="minorEastAsia"/>
          <w:color w:val="000000"/>
          <w:sz w:val="24"/>
        </w:rPr>
        <w:t>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pPr>
              <w:adjustRightInd w:val="0"/>
              <w:snapToGrid w:val="0"/>
              <w:jc w:val="left"/>
              <w:rPr>
                <w:rFonts w:eastAsiaTheme="minorEastAsia"/>
                <w:b/>
                <w:color w:val="000000"/>
                <w:sz w:val="24"/>
              </w:rPr>
            </w:pPr>
            <w:r>
              <w:rPr>
                <w:rFonts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pPr>
              <w:adjustRightInd w:val="0"/>
              <w:snapToGrid w:val="0"/>
              <w:jc w:val="left"/>
              <w:rPr>
                <w:rFonts w:eastAsiaTheme="minorEastAsia"/>
                <w:color w:val="000000"/>
                <w:sz w:val="24"/>
              </w:rPr>
            </w:pPr>
          </w:p>
        </w:tc>
        <w:tc>
          <w:tcPr>
            <w:tcW w:w="725" w:type="pct"/>
            <w:vAlign w:val="center"/>
          </w:tcPr>
          <w:p>
            <w:pPr>
              <w:adjustRightInd w:val="0"/>
              <w:snapToGrid w:val="0"/>
              <w:jc w:val="left"/>
              <w:rPr>
                <w:rFonts w:eastAsiaTheme="minorEastAsia"/>
                <w:color w:val="000000"/>
                <w:sz w:val="24"/>
              </w:rPr>
            </w:pP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20"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pPr>
              <w:adjustRightInd w:val="0"/>
              <w:snapToGrid w:val="0"/>
              <w:jc w:val="left"/>
              <w:rPr>
                <w:rFonts w:eastAsiaTheme="minorEastAsia"/>
                <w:color w:val="000000"/>
                <w:sz w:val="24"/>
              </w:rPr>
            </w:pPr>
          </w:p>
        </w:tc>
        <w:tc>
          <w:tcPr>
            <w:tcW w:w="725" w:type="pct"/>
            <w:vAlign w:val="center"/>
          </w:tcPr>
          <w:p>
            <w:pPr>
              <w:adjustRightInd w:val="0"/>
              <w:snapToGrid w:val="0"/>
              <w:jc w:val="left"/>
              <w:rPr>
                <w:rFonts w:eastAsiaTheme="minorEastAsia"/>
                <w:color w:val="000000"/>
                <w:sz w:val="24"/>
              </w:rPr>
            </w:pP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20"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pPr>
              <w:adjustRightInd w:val="0"/>
              <w:snapToGrid w:val="0"/>
              <w:jc w:val="left"/>
              <w:rPr>
                <w:rFonts w:eastAsiaTheme="minorEastAsia"/>
                <w:color w:val="000000"/>
                <w:sz w:val="24"/>
              </w:rPr>
            </w:pP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20"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pPr>
              <w:adjustRightInd w:val="0"/>
              <w:snapToGrid w:val="0"/>
              <w:jc w:val="center"/>
              <w:rPr>
                <w:rFonts w:eastAsiaTheme="minorEastAsia"/>
                <w:color w:val="000000"/>
                <w:sz w:val="24"/>
              </w:rPr>
            </w:pPr>
          </w:p>
        </w:tc>
        <w:tc>
          <w:tcPr>
            <w:tcW w:w="724" w:type="pct"/>
            <w:vAlign w:val="center"/>
          </w:tcPr>
          <w:p>
            <w:pPr>
              <w:adjustRightInd w:val="0"/>
              <w:snapToGrid w:val="0"/>
              <w:jc w:val="left"/>
              <w:rPr>
                <w:rFonts w:eastAsiaTheme="minorEastAsia"/>
                <w:color w:val="000000"/>
                <w:sz w:val="24"/>
              </w:rPr>
            </w:pPr>
          </w:p>
        </w:tc>
        <w:tc>
          <w:tcPr>
            <w:tcW w:w="920" w:type="pct"/>
            <w:vAlign w:val="center"/>
          </w:tcPr>
          <w:p>
            <w:pPr>
              <w:adjustRightInd w:val="0"/>
              <w:snapToGrid w:val="0"/>
              <w:jc w:val="left"/>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2.上述各项的详细规格（如有），可另页描述。</w:t>
      </w:r>
    </w:p>
    <w:p>
      <w:pPr>
        <w:tabs>
          <w:tab w:val="left" w:pos="1800"/>
          <w:tab w:val="left" w:pos="5580"/>
        </w:tabs>
        <w:ind w:firstLine="480" w:firstLineChars="200"/>
        <w:jc w:val="left"/>
        <w:rPr>
          <w:sz w:val="24"/>
        </w:rPr>
      </w:pPr>
      <w:r>
        <w:rPr>
          <w:sz w:val="24"/>
        </w:rPr>
        <w:t>3.</w:t>
      </w:r>
      <w:r>
        <w:t xml:space="preserve"> </w:t>
      </w:r>
      <w:r>
        <w:rPr>
          <w:sz w:val="24"/>
        </w:rPr>
        <w:t>此表无需在响应文件中提交，谈判后供应商按谈判小组要求提交。</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：____________</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日期：_____年______月______日   </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42326"/>
    </w:sdtPr>
    <w:sdtEndPr>
      <w:rPr>
        <w:rFonts w:ascii="Times New Roman"/>
      </w:rPr>
    </w:sdtEndPr>
    <w:sdtContent>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46</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p>
  <w:p>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1EBA8"/>
    <w:multiLevelType w:val="singleLevel"/>
    <w:tmpl w:val="DAB1EBA8"/>
    <w:lvl w:ilvl="0" w:tentative="0">
      <w:start w:val="6"/>
      <w:numFmt w:val="chineseCounting"/>
      <w:suff w:val="nothing"/>
      <w:lvlText w:val="%1、"/>
      <w:lvlJc w:val="left"/>
      <w:rPr>
        <w:rFonts w:hint="eastAsia"/>
      </w:rPr>
    </w:lvl>
  </w:abstractNum>
  <w:abstractNum w:abstractNumId="1">
    <w:nsid w:val="F76B5B6E"/>
    <w:multiLevelType w:val="singleLevel"/>
    <w:tmpl w:val="F76B5B6E"/>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8EC6E11"/>
    <w:multiLevelType w:val="singleLevel"/>
    <w:tmpl w:val="18EC6E11"/>
    <w:lvl w:ilvl="0" w:tentative="0">
      <w:start w:val="1"/>
      <w:numFmt w:val="decimal"/>
      <w:lvlText w:val="%1."/>
      <w:lvlJc w:val="left"/>
      <w:pPr>
        <w:tabs>
          <w:tab w:val="left" w:pos="312"/>
        </w:tabs>
      </w:p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6F74A0"/>
    <w:multiLevelType w:val="multilevel"/>
    <w:tmpl w:val="366F74A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0"/>
  </w:num>
  <w:num w:numId="9">
    <w:abstractNumId w:val="8"/>
  </w:num>
  <w:num w:numId="10">
    <w:abstractNumId w:val="12"/>
  </w:num>
  <w:num w:numId="11">
    <w:abstractNumId w:val="2"/>
  </w:num>
  <w:num w:numId="12">
    <w:abstractNumId w:val="11"/>
  </w:num>
  <w:num w:numId="13">
    <w:abstractNumId w:val="13"/>
  </w:num>
  <w:num w:numId="14">
    <w:abstractNumId w:val="15"/>
  </w:num>
  <w:num w:numId="15">
    <w:abstractNumId w:val="1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zdiYThmMzY1YmUxYWY0MzNjNmVhYzI4Yjk0ODZkZDMifQ=="/>
    <w:docVar w:name="VTCASE" w:val="4"/>
    <w:docVar w:name="VTCommandPending" w:val="NONE"/>
  </w:docVars>
  <w:rsids>
    <w:rsidRoot w:val="00172A27"/>
    <w:rsid w:val="00000277"/>
    <w:rsid w:val="000002C4"/>
    <w:rsid w:val="00000368"/>
    <w:rsid w:val="000003BC"/>
    <w:rsid w:val="00000432"/>
    <w:rsid w:val="00000448"/>
    <w:rsid w:val="00000905"/>
    <w:rsid w:val="00000CCE"/>
    <w:rsid w:val="00000DF5"/>
    <w:rsid w:val="00000F3F"/>
    <w:rsid w:val="00001711"/>
    <w:rsid w:val="00001895"/>
    <w:rsid w:val="00001948"/>
    <w:rsid w:val="00001CAB"/>
    <w:rsid w:val="00001F9C"/>
    <w:rsid w:val="000020BD"/>
    <w:rsid w:val="0000218D"/>
    <w:rsid w:val="0000240B"/>
    <w:rsid w:val="000026F7"/>
    <w:rsid w:val="0000279B"/>
    <w:rsid w:val="000027EB"/>
    <w:rsid w:val="00002944"/>
    <w:rsid w:val="00002F3D"/>
    <w:rsid w:val="00002FE1"/>
    <w:rsid w:val="00003279"/>
    <w:rsid w:val="00003711"/>
    <w:rsid w:val="00003804"/>
    <w:rsid w:val="000039FD"/>
    <w:rsid w:val="00003A41"/>
    <w:rsid w:val="00003DDF"/>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56C"/>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B19"/>
    <w:rsid w:val="0003010B"/>
    <w:rsid w:val="000301C2"/>
    <w:rsid w:val="000304E9"/>
    <w:rsid w:val="00030640"/>
    <w:rsid w:val="0003072E"/>
    <w:rsid w:val="000307A8"/>
    <w:rsid w:val="00030887"/>
    <w:rsid w:val="00030D81"/>
    <w:rsid w:val="00030DB7"/>
    <w:rsid w:val="00030EDC"/>
    <w:rsid w:val="00031069"/>
    <w:rsid w:val="000313A2"/>
    <w:rsid w:val="000313C2"/>
    <w:rsid w:val="00031442"/>
    <w:rsid w:val="000315E4"/>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5A0"/>
    <w:rsid w:val="00034786"/>
    <w:rsid w:val="00034820"/>
    <w:rsid w:val="0003491D"/>
    <w:rsid w:val="00034F4A"/>
    <w:rsid w:val="000352D3"/>
    <w:rsid w:val="0003536A"/>
    <w:rsid w:val="00035640"/>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EE"/>
    <w:rsid w:val="00036D6E"/>
    <w:rsid w:val="00036E36"/>
    <w:rsid w:val="00036EE2"/>
    <w:rsid w:val="000370CE"/>
    <w:rsid w:val="000371CF"/>
    <w:rsid w:val="00037376"/>
    <w:rsid w:val="000375F9"/>
    <w:rsid w:val="00037AF2"/>
    <w:rsid w:val="00040091"/>
    <w:rsid w:val="000403CA"/>
    <w:rsid w:val="0004042F"/>
    <w:rsid w:val="0004060C"/>
    <w:rsid w:val="00040B56"/>
    <w:rsid w:val="00040BB8"/>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30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0E2B"/>
    <w:rsid w:val="000514DF"/>
    <w:rsid w:val="0005161F"/>
    <w:rsid w:val="00051756"/>
    <w:rsid w:val="000517DD"/>
    <w:rsid w:val="0005182E"/>
    <w:rsid w:val="0005191F"/>
    <w:rsid w:val="0005192B"/>
    <w:rsid w:val="00051C52"/>
    <w:rsid w:val="00052978"/>
    <w:rsid w:val="00052D2A"/>
    <w:rsid w:val="00052E25"/>
    <w:rsid w:val="00052FD2"/>
    <w:rsid w:val="00053251"/>
    <w:rsid w:val="000535E6"/>
    <w:rsid w:val="00053890"/>
    <w:rsid w:val="00053AC5"/>
    <w:rsid w:val="00053B80"/>
    <w:rsid w:val="00053E3F"/>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0C7"/>
    <w:rsid w:val="0006142A"/>
    <w:rsid w:val="00061819"/>
    <w:rsid w:val="00061DD1"/>
    <w:rsid w:val="00061EF5"/>
    <w:rsid w:val="00061F68"/>
    <w:rsid w:val="000620CE"/>
    <w:rsid w:val="0006234D"/>
    <w:rsid w:val="00062474"/>
    <w:rsid w:val="00062613"/>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7D8"/>
    <w:rsid w:val="0007090B"/>
    <w:rsid w:val="00070998"/>
    <w:rsid w:val="00070BB9"/>
    <w:rsid w:val="0007103D"/>
    <w:rsid w:val="00071171"/>
    <w:rsid w:val="00071223"/>
    <w:rsid w:val="00071356"/>
    <w:rsid w:val="000717B7"/>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BE3"/>
    <w:rsid w:val="00075C3C"/>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713"/>
    <w:rsid w:val="000817A1"/>
    <w:rsid w:val="00081948"/>
    <w:rsid w:val="00082322"/>
    <w:rsid w:val="0008234E"/>
    <w:rsid w:val="00082377"/>
    <w:rsid w:val="0008253C"/>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70"/>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5E"/>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0"/>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B35"/>
    <w:rsid w:val="000A3D00"/>
    <w:rsid w:val="000A3FFB"/>
    <w:rsid w:val="000A414A"/>
    <w:rsid w:val="000A41F4"/>
    <w:rsid w:val="000A4578"/>
    <w:rsid w:val="000A4A3B"/>
    <w:rsid w:val="000A4D3E"/>
    <w:rsid w:val="000A4DA3"/>
    <w:rsid w:val="000A4F98"/>
    <w:rsid w:val="000A5098"/>
    <w:rsid w:val="000A539A"/>
    <w:rsid w:val="000A54CC"/>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0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9CC"/>
    <w:rsid w:val="000C1E46"/>
    <w:rsid w:val="000C1F62"/>
    <w:rsid w:val="000C206A"/>
    <w:rsid w:val="000C2090"/>
    <w:rsid w:val="000C210C"/>
    <w:rsid w:val="000C219A"/>
    <w:rsid w:val="000C24A8"/>
    <w:rsid w:val="000C2692"/>
    <w:rsid w:val="000C2706"/>
    <w:rsid w:val="000C2707"/>
    <w:rsid w:val="000C2E10"/>
    <w:rsid w:val="000C3279"/>
    <w:rsid w:val="000C333F"/>
    <w:rsid w:val="000C3406"/>
    <w:rsid w:val="000C3497"/>
    <w:rsid w:val="000C352D"/>
    <w:rsid w:val="000C36BD"/>
    <w:rsid w:val="000C36F6"/>
    <w:rsid w:val="000C394A"/>
    <w:rsid w:val="000C3A5D"/>
    <w:rsid w:val="000C3A98"/>
    <w:rsid w:val="000C3C31"/>
    <w:rsid w:val="000C41AB"/>
    <w:rsid w:val="000C4314"/>
    <w:rsid w:val="000C440E"/>
    <w:rsid w:val="000C4636"/>
    <w:rsid w:val="000C463D"/>
    <w:rsid w:val="000C4681"/>
    <w:rsid w:val="000C48A6"/>
    <w:rsid w:val="000C4985"/>
    <w:rsid w:val="000C4C98"/>
    <w:rsid w:val="000C4E0C"/>
    <w:rsid w:val="000C4E9E"/>
    <w:rsid w:val="000C4F33"/>
    <w:rsid w:val="000C4F74"/>
    <w:rsid w:val="000C5166"/>
    <w:rsid w:val="000C516C"/>
    <w:rsid w:val="000C5319"/>
    <w:rsid w:val="000C53CE"/>
    <w:rsid w:val="000C5476"/>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5B3"/>
    <w:rsid w:val="000E0865"/>
    <w:rsid w:val="000E0994"/>
    <w:rsid w:val="000E09FF"/>
    <w:rsid w:val="000E10BC"/>
    <w:rsid w:val="000E11BF"/>
    <w:rsid w:val="000E1232"/>
    <w:rsid w:val="000E1253"/>
    <w:rsid w:val="000E12D6"/>
    <w:rsid w:val="000E1754"/>
    <w:rsid w:val="000E179D"/>
    <w:rsid w:val="000E1859"/>
    <w:rsid w:val="000E1C30"/>
    <w:rsid w:val="000E1CCF"/>
    <w:rsid w:val="000E1E99"/>
    <w:rsid w:val="000E208B"/>
    <w:rsid w:val="000E2595"/>
    <w:rsid w:val="000E2961"/>
    <w:rsid w:val="000E2982"/>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A5A"/>
    <w:rsid w:val="00106D64"/>
    <w:rsid w:val="00106E02"/>
    <w:rsid w:val="00106EA1"/>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08E"/>
    <w:rsid w:val="00112212"/>
    <w:rsid w:val="00112496"/>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57"/>
    <w:rsid w:val="001278ED"/>
    <w:rsid w:val="00127B9E"/>
    <w:rsid w:val="00127CA5"/>
    <w:rsid w:val="00127D7F"/>
    <w:rsid w:val="00127EBF"/>
    <w:rsid w:val="00127FC5"/>
    <w:rsid w:val="0013004A"/>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CD7"/>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AFB"/>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462"/>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BC1"/>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619"/>
    <w:rsid w:val="00155BFC"/>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6B"/>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03"/>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27E"/>
    <w:rsid w:val="001703B4"/>
    <w:rsid w:val="001705E4"/>
    <w:rsid w:val="0017091A"/>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53B"/>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35"/>
    <w:rsid w:val="00176149"/>
    <w:rsid w:val="0017622F"/>
    <w:rsid w:val="0017623A"/>
    <w:rsid w:val="00176250"/>
    <w:rsid w:val="00176399"/>
    <w:rsid w:val="00176768"/>
    <w:rsid w:val="00176794"/>
    <w:rsid w:val="001767E0"/>
    <w:rsid w:val="0017690B"/>
    <w:rsid w:val="00176DE2"/>
    <w:rsid w:val="00176E48"/>
    <w:rsid w:val="00176E8F"/>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CCE"/>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2FE2"/>
    <w:rsid w:val="001930E3"/>
    <w:rsid w:val="00193106"/>
    <w:rsid w:val="001938D7"/>
    <w:rsid w:val="00193A98"/>
    <w:rsid w:val="00193AA4"/>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7B3"/>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8B"/>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9BB"/>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9AA"/>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A08"/>
    <w:rsid w:val="001B1C0B"/>
    <w:rsid w:val="001B1D06"/>
    <w:rsid w:val="001B2015"/>
    <w:rsid w:val="001B2049"/>
    <w:rsid w:val="001B2067"/>
    <w:rsid w:val="001B2322"/>
    <w:rsid w:val="001B28F9"/>
    <w:rsid w:val="001B2A06"/>
    <w:rsid w:val="001B2EB9"/>
    <w:rsid w:val="001B2FD0"/>
    <w:rsid w:val="001B302C"/>
    <w:rsid w:val="001B30FE"/>
    <w:rsid w:val="001B3159"/>
    <w:rsid w:val="001B33F0"/>
    <w:rsid w:val="001B3793"/>
    <w:rsid w:val="001B38ED"/>
    <w:rsid w:val="001B39CE"/>
    <w:rsid w:val="001B39DF"/>
    <w:rsid w:val="001B3B2F"/>
    <w:rsid w:val="001B3B98"/>
    <w:rsid w:val="001B3BBA"/>
    <w:rsid w:val="001B3EF9"/>
    <w:rsid w:val="001B40F1"/>
    <w:rsid w:val="001B43B1"/>
    <w:rsid w:val="001B4499"/>
    <w:rsid w:val="001B453C"/>
    <w:rsid w:val="001B49F0"/>
    <w:rsid w:val="001B504D"/>
    <w:rsid w:val="001B5307"/>
    <w:rsid w:val="001B53EE"/>
    <w:rsid w:val="001B56F4"/>
    <w:rsid w:val="001B5918"/>
    <w:rsid w:val="001B5BA3"/>
    <w:rsid w:val="001B5CD4"/>
    <w:rsid w:val="001B64C1"/>
    <w:rsid w:val="001B6C13"/>
    <w:rsid w:val="001B6EEB"/>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0A"/>
    <w:rsid w:val="001C4429"/>
    <w:rsid w:val="001C47A0"/>
    <w:rsid w:val="001C47E6"/>
    <w:rsid w:val="001C49E9"/>
    <w:rsid w:val="001C4AD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2FA"/>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0D65"/>
    <w:rsid w:val="001D112C"/>
    <w:rsid w:val="001D165E"/>
    <w:rsid w:val="001D1689"/>
    <w:rsid w:val="001D1980"/>
    <w:rsid w:val="001D1EED"/>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DBA"/>
    <w:rsid w:val="001E0FFD"/>
    <w:rsid w:val="001E1087"/>
    <w:rsid w:val="001E10CD"/>
    <w:rsid w:val="001E141A"/>
    <w:rsid w:val="001E14D7"/>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283"/>
    <w:rsid w:val="001E437E"/>
    <w:rsid w:val="001E447D"/>
    <w:rsid w:val="001E4ED1"/>
    <w:rsid w:val="001E5295"/>
    <w:rsid w:val="001E54DC"/>
    <w:rsid w:val="001E5F6D"/>
    <w:rsid w:val="001E60C7"/>
    <w:rsid w:val="001E62EA"/>
    <w:rsid w:val="001E63BE"/>
    <w:rsid w:val="001E649A"/>
    <w:rsid w:val="001E65C3"/>
    <w:rsid w:val="001E6704"/>
    <w:rsid w:val="001E6978"/>
    <w:rsid w:val="001E698B"/>
    <w:rsid w:val="001E6A37"/>
    <w:rsid w:val="001E6A83"/>
    <w:rsid w:val="001E6B6F"/>
    <w:rsid w:val="001E6D16"/>
    <w:rsid w:val="001E6E79"/>
    <w:rsid w:val="001E6F5F"/>
    <w:rsid w:val="001E7238"/>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20"/>
    <w:rsid w:val="001F0C50"/>
    <w:rsid w:val="001F107E"/>
    <w:rsid w:val="001F126A"/>
    <w:rsid w:val="001F137C"/>
    <w:rsid w:val="001F13E5"/>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D73"/>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22"/>
    <w:rsid w:val="00202B44"/>
    <w:rsid w:val="00203118"/>
    <w:rsid w:val="00203153"/>
    <w:rsid w:val="00203220"/>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2F7"/>
    <w:rsid w:val="00206410"/>
    <w:rsid w:val="00206722"/>
    <w:rsid w:val="00206A04"/>
    <w:rsid w:val="00206BE4"/>
    <w:rsid w:val="00206D3E"/>
    <w:rsid w:val="00206D5B"/>
    <w:rsid w:val="002074D2"/>
    <w:rsid w:val="002075AE"/>
    <w:rsid w:val="0020761E"/>
    <w:rsid w:val="002077D3"/>
    <w:rsid w:val="002078ED"/>
    <w:rsid w:val="00207913"/>
    <w:rsid w:val="002079D2"/>
    <w:rsid w:val="00207CF8"/>
    <w:rsid w:val="00207E99"/>
    <w:rsid w:val="002105B2"/>
    <w:rsid w:val="002105C3"/>
    <w:rsid w:val="0021063C"/>
    <w:rsid w:val="0021085B"/>
    <w:rsid w:val="002109C6"/>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8B8"/>
    <w:rsid w:val="002139C6"/>
    <w:rsid w:val="00213B0D"/>
    <w:rsid w:val="00213B31"/>
    <w:rsid w:val="00213EC0"/>
    <w:rsid w:val="00213EE5"/>
    <w:rsid w:val="00214137"/>
    <w:rsid w:val="002141E2"/>
    <w:rsid w:val="00214368"/>
    <w:rsid w:val="00214950"/>
    <w:rsid w:val="00214B2B"/>
    <w:rsid w:val="00214F86"/>
    <w:rsid w:val="00214FA6"/>
    <w:rsid w:val="0021509C"/>
    <w:rsid w:val="002152AD"/>
    <w:rsid w:val="00215476"/>
    <w:rsid w:val="0021554A"/>
    <w:rsid w:val="0021618E"/>
    <w:rsid w:val="002161B4"/>
    <w:rsid w:val="00216642"/>
    <w:rsid w:val="002166AF"/>
    <w:rsid w:val="002167D9"/>
    <w:rsid w:val="00216A22"/>
    <w:rsid w:val="00216B83"/>
    <w:rsid w:val="00216EEC"/>
    <w:rsid w:val="00217445"/>
    <w:rsid w:val="00217706"/>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38"/>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1DF"/>
    <w:rsid w:val="00226217"/>
    <w:rsid w:val="0022656B"/>
    <w:rsid w:val="00226831"/>
    <w:rsid w:val="00226BA4"/>
    <w:rsid w:val="00226F38"/>
    <w:rsid w:val="00226FD1"/>
    <w:rsid w:val="0022737E"/>
    <w:rsid w:val="00227679"/>
    <w:rsid w:val="00227B21"/>
    <w:rsid w:val="00230A63"/>
    <w:rsid w:val="00230AEB"/>
    <w:rsid w:val="00230B42"/>
    <w:rsid w:val="00230CB0"/>
    <w:rsid w:val="00230CFB"/>
    <w:rsid w:val="00230EA6"/>
    <w:rsid w:val="0023108B"/>
    <w:rsid w:val="0023109B"/>
    <w:rsid w:val="002312EC"/>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3F8"/>
    <w:rsid w:val="00234AA6"/>
    <w:rsid w:val="00234AED"/>
    <w:rsid w:val="00234B77"/>
    <w:rsid w:val="00234BF1"/>
    <w:rsid w:val="00235450"/>
    <w:rsid w:val="002355E5"/>
    <w:rsid w:val="00235640"/>
    <w:rsid w:val="00235BDF"/>
    <w:rsid w:val="00235BEE"/>
    <w:rsid w:val="00235DA2"/>
    <w:rsid w:val="00235FCF"/>
    <w:rsid w:val="00236642"/>
    <w:rsid w:val="00236688"/>
    <w:rsid w:val="00236765"/>
    <w:rsid w:val="00236C96"/>
    <w:rsid w:val="00237096"/>
    <w:rsid w:val="00237125"/>
    <w:rsid w:val="002371F0"/>
    <w:rsid w:val="00237712"/>
    <w:rsid w:val="00237B33"/>
    <w:rsid w:val="00237C8B"/>
    <w:rsid w:val="00237DF5"/>
    <w:rsid w:val="00237E9C"/>
    <w:rsid w:val="00240071"/>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20"/>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63B"/>
    <w:rsid w:val="00245972"/>
    <w:rsid w:val="002460FE"/>
    <w:rsid w:val="00246133"/>
    <w:rsid w:val="0024623F"/>
    <w:rsid w:val="00246812"/>
    <w:rsid w:val="002469F5"/>
    <w:rsid w:val="00246BC6"/>
    <w:rsid w:val="00246C48"/>
    <w:rsid w:val="00246D51"/>
    <w:rsid w:val="00246E3E"/>
    <w:rsid w:val="00246FBC"/>
    <w:rsid w:val="0024701C"/>
    <w:rsid w:val="0024706D"/>
    <w:rsid w:val="002479EA"/>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8F4"/>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57C"/>
    <w:rsid w:val="00257615"/>
    <w:rsid w:val="0025779E"/>
    <w:rsid w:val="0025784D"/>
    <w:rsid w:val="0025796D"/>
    <w:rsid w:val="00257B21"/>
    <w:rsid w:val="00257BBD"/>
    <w:rsid w:val="00257EAF"/>
    <w:rsid w:val="00257EC6"/>
    <w:rsid w:val="00257ED6"/>
    <w:rsid w:val="00260201"/>
    <w:rsid w:val="0026037B"/>
    <w:rsid w:val="002604FD"/>
    <w:rsid w:val="002605E4"/>
    <w:rsid w:val="00260770"/>
    <w:rsid w:val="002607EE"/>
    <w:rsid w:val="00260A36"/>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3B8"/>
    <w:rsid w:val="002654F2"/>
    <w:rsid w:val="00265791"/>
    <w:rsid w:val="00265EFB"/>
    <w:rsid w:val="00266784"/>
    <w:rsid w:val="002667BA"/>
    <w:rsid w:val="00266A1C"/>
    <w:rsid w:val="00266AC3"/>
    <w:rsid w:val="00266BF6"/>
    <w:rsid w:val="0026712C"/>
    <w:rsid w:val="00267217"/>
    <w:rsid w:val="00267471"/>
    <w:rsid w:val="002674BB"/>
    <w:rsid w:val="002675BA"/>
    <w:rsid w:val="00267698"/>
    <w:rsid w:val="0026796B"/>
    <w:rsid w:val="00267D0F"/>
    <w:rsid w:val="00267DC9"/>
    <w:rsid w:val="00267E37"/>
    <w:rsid w:val="00267E98"/>
    <w:rsid w:val="002701E5"/>
    <w:rsid w:val="0027033A"/>
    <w:rsid w:val="0027037A"/>
    <w:rsid w:val="00270464"/>
    <w:rsid w:val="0027063A"/>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5E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8C"/>
    <w:rsid w:val="00276AEA"/>
    <w:rsid w:val="00276B43"/>
    <w:rsid w:val="00276B8D"/>
    <w:rsid w:val="00276DA3"/>
    <w:rsid w:val="00276E70"/>
    <w:rsid w:val="0027711C"/>
    <w:rsid w:val="00277147"/>
    <w:rsid w:val="002771C6"/>
    <w:rsid w:val="002771CC"/>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5C"/>
    <w:rsid w:val="00283AA1"/>
    <w:rsid w:val="00283C48"/>
    <w:rsid w:val="00283D5E"/>
    <w:rsid w:val="00283E2E"/>
    <w:rsid w:val="00283ED2"/>
    <w:rsid w:val="00283FC0"/>
    <w:rsid w:val="002844F7"/>
    <w:rsid w:val="0028465C"/>
    <w:rsid w:val="002846A1"/>
    <w:rsid w:val="00284859"/>
    <w:rsid w:val="00284905"/>
    <w:rsid w:val="00284C10"/>
    <w:rsid w:val="00284F69"/>
    <w:rsid w:val="00285306"/>
    <w:rsid w:val="00285314"/>
    <w:rsid w:val="002856BE"/>
    <w:rsid w:val="00285712"/>
    <w:rsid w:val="0028577F"/>
    <w:rsid w:val="0028584C"/>
    <w:rsid w:val="0028596A"/>
    <w:rsid w:val="00285A00"/>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0CA"/>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BDE"/>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EE0"/>
    <w:rsid w:val="002A2FCD"/>
    <w:rsid w:val="002A30A1"/>
    <w:rsid w:val="002A3686"/>
    <w:rsid w:val="002A368A"/>
    <w:rsid w:val="002A39F2"/>
    <w:rsid w:val="002A3C11"/>
    <w:rsid w:val="002A3D55"/>
    <w:rsid w:val="002A3E48"/>
    <w:rsid w:val="002A3F8D"/>
    <w:rsid w:val="002A41F4"/>
    <w:rsid w:val="002A42CF"/>
    <w:rsid w:val="002A4349"/>
    <w:rsid w:val="002A43C2"/>
    <w:rsid w:val="002A43C6"/>
    <w:rsid w:val="002A43E1"/>
    <w:rsid w:val="002A4847"/>
    <w:rsid w:val="002A4DA4"/>
    <w:rsid w:val="002A524C"/>
    <w:rsid w:val="002A5749"/>
    <w:rsid w:val="002A5B18"/>
    <w:rsid w:val="002A5D23"/>
    <w:rsid w:val="002A5D36"/>
    <w:rsid w:val="002A5ECF"/>
    <w:rsid w:val="002A60AE"/>
    <w:rsid w:val="002A6390"/>
    <w:rsid w:val="002A6B4C"/>
    <w:rsid w:val="002A6C81"/>
    <w:rsid w:val="002A6CB1"/>
    <w:rsid w:val="002A6CBC"/>
    <w:rsid w:val="002A6CFE"/>
    <w:rsid w:val="002A71C9"/>
    <w:rsid w:val="002A743B"/>
    <w:rsid w:val="002A7544"/>
    <w:rsid w:val="002A77D7"/>
    <w:rsid w:val="002A7A0F"/>
    <w:rsid w:val="002A7B62"/>
    <w:rsid w:val="002A7F5B"/>
    <w:rsid w:val="002B00E2"/>
    <w:rsid w:val="002B02F2"/>
    <w:rsid w:val="002B04FD"/>
    <w:rsid w:val="002B05CF"/>
    <w:rsid w:val="002B0621"/>
    <w:rsid w:val="002B06F7"/>
    <w:rsid w:val="002B073A"/>
    <w:rsid w:val="002B087D"/>
    <w:rsid w:val="002B0BEB"/>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71"/>
    <w:rsid w:val="002B36C4"/>
    <w:rsid w:val="002B37A2"/>
    <w:rsid w:val="002B380B"/>
    <w:rsid w:val="002B389E"/>
    <w:rsid w:val="002B38E4"/>
    <w:rsid w:val="002B3C62"/>
    <w:rsid w:val="002B3E1D"/>
    <w:rsid w:val="002B3E55"/>
    <w:rsid w:val="002B40E6"/>
    <w:rsid w:val="002B41B7"/>
    <w:rsid w:val="002B425C"/>
    <w:rsid w:val="002B4262"/>
    <w:rsid w:val="002B42DF"/>
    <w:rsid w:val="002B44C1"/>
    <w:rsid w:val="002B45DC"/>
    <w:rsid w:val="002B46EB"/>
    <w:rsid w:val="002B4988"/>
    <w:rsid w:val="002B4A39"/>
    <w:rsid w:val="002B4AC8"/>
    <w:rsid w:val="002B4C03"/>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30E"/>
    <w:rsid w:val="002B646E"/>
    <w:rsid w:val="002B6520"/>
    <w:rsid w:val="002B67FB"/>
    <w:rsid w:val="002B6876"/>
    <w:rsid w:val="002B6A46"/>
    <w:rsid w:val="002B6AE5"/>
    <w:rsid w:val="002B6BC8"/>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ED6"/>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195"/>
    <w:rsid w:val="002C34FA"/>
    <w:rsid w:val="002C354D"/>
    <w:rsid w:val="002C36A2"/>
    <w:rsid w:val="002C38AA"/>
    <w:rsid w:val="002C3A0B"/>
    <w:rsid w:val="002C3B26"/>
    <w:rsid w:val="002C3CFE"/>
    <w:rsid w:val="002C407B"/>
    <w:rsid w:val="002C4310"/>
    <w:rsid w:val="002C43B0"/>
    <w:rsid w:val="002C4B7F"/>
    <w:rsid w:val="002C4C00"/>
    <w:rsid w:val="002C4ECA"/>
    <w:rsid w:val="002C50AE"/>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4C"/>
    <w:rsid w:val="002D4A67"/>
    <w:rsid w:val="002D4A89"/>
    <w:rsid w:val="002D4BBC"/>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D4"/>
    <w:rsid w:val="002E0044"/>
    <w:rsid w:val="002E00FB"/>
    <w:rsid w:val="002E0993"/>
    <w:rsid w:val="002E0A10"/>
    <w:rsid w:val="002E0B22"/>
    <w:rsid w:val="002E0C91"/>
    <w:rsid w:val="002E0D1D"/>
    <w:rsid w:val="002E0FE5"/>
    <w:rsid w:val="002E13AA"/>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4991"/>
    <w:rsid w:val="002E4E06"/>
    <w:rsid w:val="002E51A3"/>
    <w:rsid w:val="002E54A1"/>
    <w:rsid w:val="002E5586"/>
    <w:rsid w:val="002E5875"/>
    <w:rsid w:val="002E58BE"/>
    <w:rsid w:val="002E59B7"/>
    <w:rsid w:val="002E5C25"/>
    <w:rsid w:val="002E6163"/>
    <w:rsid w:val="002E622F"/>
    <w:rsid w:val="002E62DD"/>
    <w:rsid w:val="002E6383"/>
    <w:rsid w:val="002E6675"/>
    <w:rsid w:val="002E6E1F"/>
    <w:rsid w:val="002E6ED1"/>
    <w:rsid w:val="002E6ED6"/>
    <w:rsid w:val="002E6EDD"/>
    <w:rsid w:val="002E70A9"/>
    <w:rsid w:val="002E72A8"/>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43"/>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83C"/>
    <w:rsid w:val="002F7B45"/>
    <w:rsid w:val="002F7EEB"/>
    <w:rsid w:val="002F7F33"/>
    <w:rsid w:val="002F7F95"/>
    <w:rsid w:val="003003E9"/>
    <w:rsid w:val="00300607"/>
    <w:rsid w:val="00300BFC"/>
    <w:rsid w:val="00300CAB"/>
    <w:rsid w:val="00300E19"/>
    <w:rsid w:val="00301052"/>
    <w:rsid w:val="00301186"/>
    <w:rsid w:val="003012F3"/>
    <w:rsid w:val="003013BA"/>
    <w:rsid w:val="003013BF"/>
    <w:rsid w:val="003013F3"/>
    <w:rsid w:val="00301620"/>
    <w:rsid w:val="00301668"/>
    <w:rsid w:val="003016CA"/>
    <w:rsid w:val="003016F0"/>
    <w:rsid w:val="00301772"/>
    <w:rsid w:val="003017ED"/>
    <w:rsid w:val="003018F5"/>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42"/>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8E6"/>
    <w:rsid w:val="00306DA5"/>
    <w:rsid w:val="00306E6D"/>
    <w:rsid w:val="00306FC9"/>
    <w:rsid w:val="0030730A"/>
    <w:rsid w:val="00307877"/>
    <w:rsid w:val="0030792F"/>
    <w:rsid w:val="00307A94"/>
    <w:rsid w:val="00307C4F"/>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51B"/>
    <w:rsid w:val="0031494D"/>
    <w:rsid w:val="0031495F"/>
    <w:rsid w:val="00314AAF"/>
    <w:rsid w:val="00314D15"/>
    <w:rsid w:val="00314D31"/>
    <w:rsid w:val="00315055"/>
    <w:rsid w:val="0031524C"/>
    <w:rsid w:val="003152F2"/>
    <w:rsid w:val="0031572F"/>
    <w:rsid w:val="00315D8D"/>
    <w:rsid w:val="00315E32"/>
    <w:rsid w:val="00315F20"/>
    <w:rsid w:val="00316055"/>
    <w:rsid w:val="00316098"/>
    <w:rsid w:val="00316210"/>
    <w:rsid w:val="0031639C"/>
    <w:rsid w:val="00316530"/>
    <w:rsid w:val="00316650"/>
    <w:rsid w:val="003167D3"/>
    <w:rsid w:val="00316A43"/>
    <w:rsid w:val="00316A48"/>
    <w:rsid w:val="00316AE9"/>
    <w:rsid w:val="00316B62"/>
    <w:rsid w:val="00316CC7"/>
    <w:rsid w:val="00316F6E"/>
    <w:rsid w:val="00316F85"/>
    <w:rsid w:val="00317263"/>
    <w:rsid w:val="00317339"/>
    <w:rsid w:val="00317343"/>
    <w:rsid w:val="0031737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250"/>
    <w:rsid w:val="00330B18"/>
    <w:rsid w:val="00330D71"/>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B05"/>
    <w:rsid w:val="00334DD2"/>
    <w:rsid w:val="00334E9D"/>
    <w:rsid w:val="00334FC3"/>
    <w:rsid w:val="0033524C"/>
    <w:rsid w:val="003354C8"/>
    <w:rsid w:val="00335800"/>
    <w:rsid w:val="00335849"/>
    <w:rsid w:val="0033597F"/>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27"/>
    <w:rsid w:val="00340888"/>
    <w:rsid w:val="00340B47"/>
    <w:rsid w:val="00341185"/>
    <w:rsid w:val="0034179B"/>
    <w:rsid w:val="00341A17"/>
    <w:rsid w:val="00341A8B"/>
    <w:rsid w:val="00341CFB"/>
    <w:rsid w:val="00341E81"/>
    <w:rsid w:val="003421D1"/>
    <w:rsid w:val="003421D9"/>
    <w:rsid w:val="0034225D"/>
    <w:rsid w:val="003425D9"/>
    <w:rsid w:val="003426DD"/>
    <w:rsid w:val="00342785"/>
    <w:rsid w:val="003428E8"/>
    <w:rsid w:val="00342B67"/>
    <w:rsid w:val="00342C1D"/>
    <w:rsid w:val="00343098"/>
    <w:rsid w:val="00343567"/>
    <w:rsid w:val="003435AD"/>
    <w:rsid w:val="0034386E"/>
    <w:rsid w:val="00343CCD"/>
    <w:rsid w:val="00343F1C"/>
    <w:rsid w:val="00344001"/>
    <w:rsid w:val="0034434F"/>
    <w:rsid w:val="003445C2"/>
    <w:rsid w:val="003445D6"/>
    <w:rsid w:val="00344893"/>
    <w:rsid w:val="00344CA2"/>
    <w:rsid w:val="00344E50"/>
    <w:rsid w:val="00345469"/>
    <w:rsid w:val="0034581F"/>
    <w:rsid w:val="00345846"/>
    <w:rsid w:val="00345A10"/>
    <w:rsid w:val="00345F57"/>
    <w:rsid w:val="003460FF"/>
    <w:rsid w:val="00346218"/>
    <w:rsid w:val="00346850"/>
    <w:rsid w:val="003469F1"/>
    <w:rsid w:val="00346B32"/>
    <w:rsid w:val="00346C45"/>
    <w:rsid w:val="00346CDC"/>
    <w:rsid w:val="00346D1A"/>
    <w:rsid w:val="00346FDB"/>
    <w:rsid w:val="00347095"/>
    <w:rsid w:val="00347501"/>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948"/>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99"/>
    <w:rsid w:val="00357CAC"/>
    <w:rsid w:val="00357D2E"/>
    <w:rsid w:val="00357EBC"/>
    <w:rsid w:val="00360066"/>
    <w:rsid w:val="00360548"/>
    <w:rsid w:val="003606B1"/>
    <w:rsid w:val="00360902"/>
    <w:rsid w:val="0036094C"/>
    <w:rsid w:val="00360CAA"/>
    <w:rsid w:val="003610BA"/>
    <w:rsid w:val="003611CD"/>
    <w:rsid w:val="003611D0"/>
    <w:rsid w:val="003611EB"/>
    <w:rsid w:val="00361229"/>
    <w:rsid w:val="0036146B"/>
    <w:rsid w:val="00361558"/>
    <w:rsid w:val="003616CD"/>
    <w:rsid w:val="003617D6"/>
    <w:rsid w:val="00361A16"/>
    <w:rsid w:val="00361B86"/>
    <w:rsid w:val="00361D07"/>
    <w:rsid w:val="00361D99"/>
    <w:rsid w:val="00361E23"/>
    <w:rsid w:val="00361F38"/>
    <w:rsid w:val="00361FDF"/>
    <w:rsid w:val="003622AC"/>
    <w:rsid w:val="00362303"/>
    <w:rsid w:val="0036251F"/>
    <w:rsid w:val="00362BEA"/>
    <w:rsid w:val="00362DBD"/>
    <w:rsid w:val="00362F4E"/>
    <w:rsid w:val="00362F81"/>
    <w:rsid w:val="0036303C"/>
    <w:rsid w:val="00363098"/>
    <w:rsid w:val="0036320F"/>
    <w:rsid w:val="0036325A"/>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D5F"/>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794"/>
    <w:rsid w:val="003729BC"/>
    <w:rsid w:val="00372A01"/>
    <w:rsid w:val="00372F28"/>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A53"/>
    <w:rsid w:val="00374B83"/>
    <w:rsid w:val="00374C20"/>
    <w:rsid w:val="00374CD7"/>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DF6"/>
    <w:rsid w:val="00377E36"/>
    <w:rsid w:val="00377F4C"/>
    <w:rsid w:val="00377F7E"/>
    <w:rsid w:val="00380483"/>
    <w:rsid w:val="00380501"/>
    <w:rsid w:val="0038054E"/>
    <w:rsid w:val="00380689"/>
    <w:rsid w:val="00380837"/>
    <w:rsid w:val="00380873"/>
    <w:rsid w:val="003808E4"/>
    <w:rsid w:val="00380941"/>
    <w:rsid w:val="00380CB6"/>
    <w:rsid w:val="00380D14"/>
    <w:rsid w:val="00380D52"/>
    <w:rsid w:val="00380E48"/>
    <w:rsid w:val="0038130C"/>
    <w:rsid w:val="003818E3"/>
    <w:rsid w:val="00381A8F"/>
    <w:rsid w:val="00381AF0"/>
    <w:rsid w:val="00381F0C"/>
    <w:rsid w:val="0038217A"/>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8B5"/>
    <w:rsid w:val="00391CA6"/>
    <w:rsid w:val="00391CF0"/>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9F5"/>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F98"/>
    <w:rsid w:val="003A3007"/>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621"/>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BF"/>
    <w:rsid w:val="003B0306"/>
    <w:rsid w:val="003B07AC"/>
    <w:rsid w:val="003B08E8"/>
    <w:rsid w:val="003B09EC"/>
    <w:rsid w:val="003B0B19"/>
    <w:rsid w:val="003B0CA6"/>
    <w:rsid w:val="003B0D96"/>
    <w:rsid w:val="003B0D9A"/>
    <w:rsid w:val="003B0E65"/>
    <w:rsid w:val="003B0FFF"/>
    <w:rsid w:val="003B121F"/>
    <w:rsid w:val="003B122B"/>
    <w:rsid w:val="003B126E"/>
    <w:rsid w:val="003B15EE"/>
    <w:rsid w:val="003B17FA"/>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DA1"/>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11"/>
    <w:rsid w:val="003C1CAF"/>
    <w:rsid w:val="003C23D6"/>
    <w:rsid w:val="003C23E4"/>
    <w:rsid w:val="003C2415"/>
    <w:rsid w:val="003C248A"/>
    <w:rsid w:val="003C264D"/>
    <w:rsid w:val="003C2A70"/>
    <w:rsid w:val="003C2A7B"/>
    <w:rsid w:val="003C2B3C"/>
    <w:rsid w:val="003C3747"/>
    <w:rsid w:val="003C3B28"/>
    <w:rsid w:val="003C3E67"/>
    <w:rsid w:val="003C40BF"/>
    <w:rsid w:val="003C412E"/>
    <w:rsid w:val="003C417A"/>
    <w:rsid w:val="003C43A6"/>
    <w:rsid w:val="003C43D1"/>
    <w:rsid w:val="003C4515"/>
    <w:rsid w:val="003C46EF"/>
    <w:rsid w:val="003C4E96"/>
    <w:rsid w:val="003C5054"/>
    <w:rsid w:val="003C5201"/>
    <w:rsid w:val="003C5276"/>
    <w:rsid w:val="003C54E8"/>
    <w:rsid w:val="003C5687"/>
    <w:rsid w:val="003C578D"/>
    <w:rsid w:val="003C5793"/>
    <w:rsid w:val="003C59C7"/>
    <w:rsid w:val="003C5A06"/>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44"/>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3FCE"/>
    <w:rsid w:val="003D40F5"/>
    <w:rsid w:val="003D414E"/>
    <w:rsid w:val="003D4177"/>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498"/>
    <w:rsid w:val="003D6899"/>
    <w:rsid w:val="003D6B8C"/>
    <w:rsid w:val="003D6C7D"/>
    <w:rsid w:val="003D7368"/>
    <w:rsid w:val="003D73ED"/>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24"/>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2C"/>
    <w:rsid w:val="003E5628"/>
    <w:rsid w:val="003E56E1"/>
    <w:rsid w:val="003E5907"/>
    <w:rsid w:val="003E5C42"/>
    <w:rsid w:val="003E5E13"/>
    <w:rsid w:val="003E5E2A"/>
    <w:rsid w:val="003E63C1"/>
    <w:rsid w:val="003E6569"/>
    <w:rsid w:val="003E6589"/>
    <w:rsid w:val="003E6BB5"/>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69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BFA"/>
    <w:rsid w:val="003F5CFF"/>
    <w:rsid w:val="003F6044"/>
    <w:rsid w:val="003F6088"/>
    <w:rsid w:val="003F6454"/>
    <w:rsid w:val="003F66BB"/>
    <w:rsid w:val="003F6817"/>
    <w:rsid w:val="003F6A80"/>
    <w:rsid w:val="003F6D84"/>
    <w:rsid w:val="003F6E46"/>
    <w:rsid w:val="003F6E64"/>
    <w:rsid w:val="003F6E8E"/>
    <w:rsid w:val="003F6EC1"/>
    <w:rsid w:val="003F73F7"/>
    <w:rsid w:val="003F7536"/>
    <w:rsid w:val="003F78D1"/>
    <w:rsid w:val="003F7A69"/>
    <w:rsid w:val="003F7D52"/>
    <w:rsid w:val="003F7EAC"/>
    <w:rsid w:val="00400054"/>
    <w:rsid w:val="0040015A"/>
    <w:rsid w:val="004001A6"/>
    <w:rsid w:val="00400359"/>
    <w:rsid w:val="0040035C"/>
    <w:rsid w:val="004003FA"/>
    <w:rsid w:val="004004FE"/>
    <w:rsid w:val="004005F9"/>
    <w:rsid w:val="00400856"/>
    <w:rsid w:val="00400E91"/>
    <w:rsid w:val="00400EFC"/>
    <w:rsid w:val="00400F0D"/>
    <w:rsid w:val="00401033"/>
    <w:rsid w:val="00401045"/>
    <w:rsid w:val="00401293"/>
    <w:rsid w:val="004012CB"/>
    <w:rsid w:val="00401340"/>
    <w:rsid w:val="00401613"/>
    <w:rsid w:val="004017EC"/>
    <w:rsid w:val="00401A8E"/>
    <w:rsid w:val="00401BF6"/>
    <w:rsid w:val="00401D93"/>
    <w:rsid w:val="00402436"/>
    <w:rsid w:val="004029DF"/>
    <w:rsid w:val="004029EC"/>
    <w:rsid w:val="00402ABC"/>
    <w:rsid w:val="00402B36"/>
    <w:rsid w:val="00402FE5"/>
    <w:rsid w:val="0040303D"/>
    <w:rsid w:val="004031A5"/>
    <w:rsid w:val="004032E4"/>
    <w:rsid w:val="0040345E"/>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9F0"/>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9F7"/>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6E"/>
    <w:rsid w:val="004310ED"/>
    <w:rsid w:val="00431222"/>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D74"/>
    <w:rsid w:val="0043505E"/>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DA7"/>
    <w:rsid w:val="00437E2E"/>
    <w:rsid w:val="00440015"/>
    <w:rsid w:val="004402E3"/>
    <w:rsid w:val="004406C1"/>
    <w:rsid w:val="004408D1"/>
    <w:rsid w:val="00440DD7"/>
    <w:rsid w:val="00440DED"/>
    <w:rsid w:val="00440EC0"/>
    <w:rsid w:val="00440F5D"/>
    <w:rsid w:val="00441030"/>
    <w:rsid w:val="00441405"/>
    <w:rsid w:val="00441490"/>
    <w:rsid w:val="00441AAC"/>
    <w:rsid w:val="00441B3D"/>
    <w:rsid w:val="00441BFB"/>
    <w:rsid w:val="00441F5B"/>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DD0"/>
    <w:rsid w:val="00444ED1"/>
    <w:rsid w:val="00444FC6"/>
    <w:rsid w:val="0044506C"/>
    <w:rsid w:val="00445422"/>
    <w:rsid w:val="0044563B"/>
    <w:rsid w:val="004457C8"/>
    <w:rsid w:val="004457EE"/>
    <w:rsid w:val="00445971"/>
    <w:rsid w:val="00445BC2"/>
    <w:rsid w:val="00445C65"/>
    <w:rsid w:val="00445C71"/>
    <w:rsid w:val="00445C78"/>
    <w:rsid w:val="00445F8D"/>
    <w:rsid w:val="00446100"/>
    <w:rsid w:val="004461DB"/>
    <w:rsid w:val="00446335"/>
    <w:rsid w:val="00446497"/>
    <w:rsid w:val="004464FA"/>
    <w:rsid w:val="004466E4"/>
    <w:rsid w:val="00446AB1"/>
    <w:rsid w:val="00446AC7"/>
    <w:rsid w:val="00446B58"/>
    <w:rsid w:val="00446C69"/>
    <w:rsid w:val="00446E59"/>
    <w:rsid w:val="004473B1"/>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B51"/>
    <w:rsid w:val="00453E11"/>
    <w:rsid w:val="00453E33"/>
    <w:rsid w:val="00454330"/>
    <w:rsid w:val="00454349"/>
    <w:rsid w:val="0045438B"/>
    <w:rsid w:val="0045446D"/>
    <w:rsid w:val="004546D5"/>
    <w:rsid w:val="004546EB"/>
    <w:rsid w:val="0045475C"/>
    <w:rsid w:val="00454780"/>
    <w:rsid w:val="004548F0"/>
    <w:rsid w:val="00454DA3"/>
    <w:rsid w:val="00455273"/>
    <w:rsid w:val="004553A0"/>
    <w:rsid w:val="004553BC"/>
    <w:rsid w:val="00455458"/>
    <w:rsid w:val="004558D7"/>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B89"/>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1E5"/>
    <w:rsid w:val="004734A2"/>
    <w:rsid w:val="0047351A"/>
    <w:rsid w:val="004736AF"/>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E3E"/>
    <w:rsid w:val="00474F7A"/>
    <w:rsid w:val="00475106"/>
    <w:rsid w:val="004753CE"/>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9A6"/>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43F"/>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2A"/>
    <w:rsid w:val="0049075F"/>
    <w:rsid w:val="00490846"/>
    <w:rsid w:val="00490AEE"/>
    <w:rsid w:val="00490CE2"/>
    <w:rsid w:val="00490F7C"/>
    <w:rsid w:val="004910E9"/>
    <w:rsid w:val="004911DA"/>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EB4"/>
    <w:rsid w:val="00493F7B"/>
    <w:rsid w:val="004940F6"/>
    <w:rsid w:val="004941FC"/>
    <w:rsid w:val="00494240"/>
    <w:rsid w:val="004942E4"/>
    <w:rsid w:val="00494333"/>
    <w:rsid w:val="00494904"/>
    <w:rsid w:val="004949B4"/>
    <w:rsid w:val="00494C2E"/>
    <w:rsid w:val="00494EF5"/>
    <w:rsid w:val="00495188"/>
    <w:rsid w:val="0049534C"/>
    <w:rsid w:val="004958F0"/>
    <w:rsid w:val="004958F4"/>
    <w:rsid w:val="00495930"/>
    <w:rsid w:val="00495A40"/>
    <w:rsid w:val="00495A52"/>
    <w:rsid w:val="00495B6C"/>
    <w:rsid w:val="00495DC4"/>
    <w:rsid w:val="00495FA6"/>
    <w:rsid w:val="0049656B"/>
    <w:rsid w:val="0049674B"/>
    <w:rsid w:val="00496C69"/>
    <w:rsid w:val="00496D74"/>
    <w:rsid w:val="00496E65"/>
    <w:rsid w:val="0049700D"/>
    <w:rsid w:val="004972F2"/>
    <w:rsid w:val="00497318"/>
    <w:rsid w:val="004976CB"/>
    <w:rsid w:val="00497773"/>
    <w:rsid w:val="004978B6"/>
    <w:rsid w:val="004978C4"/>
    <w:rsid w:val="00497942"/>
    <w:rsid w:val="004979A5"/>
    <w:rsid w:val="00497AF8"/>
    <w:rsid w:val="00497D3E"/>
    <w:rsid w:val="004A039F"/>
    <w:rsid w:val="004A053C"/>
    <w:rsid w:val="004A06C1"/>
    <w:rsid w:val="004A0B5A"/>
    <w:rsid w:val="004A0B66"/>
    <w:rsid w:val="004A1240"/>
    <w:rsid w:val="004A1346"/>
    <w:rsid w:val="004A137D"/>
    <w:rsid w:val="004A1636"/>
    <w:rsid w:val="004A1C93"/>
    <w:rsid w:val="004A1F90"/>
    <w:rsid w:val="004A24C2"/>
    <w:rsid w:val="004A273A"/>
    <w:rsid w:val="004A2810"/>
    <w:rsid w:val="004A2945"/>
    <w:rsid w:val="004A29CB"/>
    <w:rsid w:val="004A2C49"/>
    <w:rsid w:val="004A30E8"/>
    <w:rsid w:val="004A3132"/>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161"/>
    <w:rsid w:val="004A53B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3F"/>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80"/>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1C4"/>
    <w:rsid w:val="004C0490"/>
    <w:rsid w:val="004C0721"/>
    <w:rsid w:val="004C0E43"/>
    <w:rsid w:val="004C100B"/>
    <w:rsid w:val="004C130F"/>
    <w:rsid w:val="004C1409"/>
    <w:rsid w:val="004C147D"/>
    <w:rsid w:val="004C153A"/>
    <w:rsid w:val="004C1627"/>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2E8"/>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0A2"/>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B60"/>
    <w:rsid w:val="004D6FC1"/>
    <w:rsid w:val="004D720B"/>
    <w:rsid w:val="004D7442"/>
    <w:rsid w:val="004D7568"/>
    <w:rsid w:val="004D78AA"/>
    <w:rsid w:val="004D79C6"/>
    <w:rsid w:val="004D7EDE"/>
    <w:rsid w:val="004D7FA6"/>
    <w:rsid w:val="004E00B0"/>
    <w:rsid w:val="004E0375"/>
    <w:rsid w:val="004E053E"/>
    <w:rsid w:val="004E081B"/>
    <w:rsid w:val="004E0A30"/>
    <w:rsid w:val="004E0A50"/>
    <w:rsid w:val="004E0C81"/>
    <w:rsid w:val="004E0D8B"/>
    <w:rsid w:val="004E1045"/>
    <w:rsid w:val="004E10CE"/>
    <w:rsid w:val="004E1201"/>
    <w:rsid w:val="004E16E4"/>
    <w:rsid w:val="004E19C3"/>
    <w:rsid w:val="004E1D7B"/>
    <w:rsid w:val="004E1FF2"/>
    <w:rsid w:val="004E2740"/>
    <w:rsid w:val="004E2772"/>
    <w:rsid w:val="004E2C83"/>
    <w:rsid w:val="004E2DF0"/>
    <w:rsid w:val="004E2EAE"/>
    <w:rsid w:val="004E31D9"/>
    <w:rsid w:val="004E33EE"/>
    <w:rsid w:val="004E3470"/>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C9"/>
    <w:rsid w:val="00500B45"/>
    <w:rsid w:val="00500DA9"/>
    <w:rsid w:val="00500FA8"/>
    <w:rsid w:val="005013E9"/>
    <w:rsid w:val="00501649"/>
    <w:rsid w:val="00501682"/>
    <w:rsid w:val="005016C9"/>
    <w:rsid w:val="005017FC"/>
    <w:rsid w:val="00501942"/>
    <w:rsid w:val="00501BD4"/>
    <w:rsid w:val="00501E75"/>
    <w:rsid w:val="005022D4"/>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1FA"/>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0E3"/>
    <w:rsid w:val="0051312A"/>
    <w:rsid w:val="005135BD"/>
    <w:rsid w:val="005135E5"/>
    <w:rsid w:val="005135FB"/>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4A9"/>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7AC"/>
    <w:rsid w:val="00520A8B"/>
    <w:rsid w:val="00520FFF"/>
    <w:rsid w:val="00521016"/>
    <w:rsid w:val="005210E0"/>
    <w:rsid w:val="0052125C"/>
    <w:rsid w:val="005215D4"/>
    <w:rsid w:val="00521663"/>
    <w:rsid w:val="005217E8"/>
    <w:rsid w:val="00521851"/>
    <w:rsid w:val="0052192E"/>
    <w:rsid w:val="005224FF"/>
    <w:rsid w:val="005226C2"/>
    <w:rsid w:val="0052276E"/>
    <w:rsid w:val="005227C6"/>
    <w:rsid w:val="00522C96"/>
    <w:rsid w:val="00522E95"/>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E65"/>
    <w:rsid w:val="005250AC"/>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99"/>
    <w:rsid w:val="00532654"/>
    <w:rsid w:val="005326F2"/>
    <w:rsid w:val="005327D2"/>
    <w:rsid w:val="005327E8"/>
    <w:rsid w:val="00532824"/>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327"/>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213"/>
    <w:rsid w:val="005432E9"/>
    <w:rsid w:val="005433E9"/>
    <w:rsid w:val="005434EE"/>
    <w:rsid w:val="00543983"/>
    <w:rsid w:val="00543AC9"/>
    <w:rsid w:val="00543AE6"/>
    <w:rsid w:val="00543B25"/>
    <w:rsid w:val="00543BCD"/>
    <w:rsid w:val="00543DE6"/>
    <w:rsid w:val="00543F80"/>
    <w:rsid w:val="0054402D"/>
    <w:rsid w:val="00544202"/>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25"/>
    <w:rsid w:val="00556A67"/>
    <w:rsid w:val="00556E9E"/>
    <w:rsid w:val="00557648"/>
    <w:rsid w:val="005577C4"/>
    <w:rsid w:val="00557962"/>
    <w:rsid w:val="00557D30"/>
    <w:rsid w:val="00560344"/>
    <w:rsid w:val="005603D9"/>
    <w:rsid w:val="00560420"/>
    <w:rsid w:val="0056044E"/>
    <w:rsid w:val="0056055F"/>
    <w:rsid w:val="005607CA"/>
    <w:rsid w:val="00560890"/>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EC"/>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AD"/>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15"/>
    <w:rsid w:val="00577375"/>
    <w:rsid w:val="0057777F"/>
    <w:rsid w:val="005779CF"/>
    <w:rsid w:val="00577BEE"/>
    <w:rsid w:val="00577DDD"/>
    <w:rsid w:val="00577F3D"/>
    <w:rsid w:val="00577FA5"/>
    <w:rsid w:val="00580073"/>
    <w:rsid w:val="00580669"/>
    <w:rsid w:val="005806BE"/>
    <w:rsid w:val="00580B68"/>
    <w:rsid w:val="00580D5A"/>
    <w:rsid w:val="00580F2F"/>
    <w:rsid w:val="00581066"/>
    <w:rsid w:val="005811FF"/>
    <w:rsid w:val="00581413"/>
    <w:rsid w:val="00581442"/>
    <w:rsid w:val="00581498"/>
    <w:rsid w:val="0058159F"/>
    <w:rsid w:val="00581656"/>
    <w:rsid w:val="005818E6"/>
    <w:rsid w:val="00581D8F"/>
    <w:rsid w:val="00581E63"/>
    <w:rsid w:val="00581F26"/>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45C"/>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B0A"/>
    <w:rsid w:val="00594B92"/>
    <w:rsid w:val="00594DAE"/>
    <w:rsid w:val="00594F05"/>
    <w:rsid w:val="00595335"/>
    <w:rsid w:val="00595416"/>
    <w:rsid w:val="00595436"/>
    <w:rsid w:val="0059548B"/>
    <w:rsid w:val="005955B7"/>
    <w:rsid w:val="00595632"/>
    <w:rsid w:val="00595729"/>
    <w:rsid w:val="00595AAA"/>
    <w:rsid w:val="00595C20"/>
    <w:rsid w:val="00595DE3"/>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50"/>
    <w:rsid w:val="005A4EB2"/>
    <w:rsid w:val="005A4FD3"/>
    <w:rsid w:val="005A523A"/>
    <w:rsid w:val="005A532E"/>
    <w:rsid w:val="005A536D"/>
    <w:rsid w:val="005A53AD"/>
    <w:rsid w:val="005A5532"/>
    <w:rsid w:val="005A5855"/>
    <w:rsid w:val="005A594D"/>
    <w:rsid w:val="005A5953"/>
    <w:rsid w:val="005A5B16"/>
    <w:rsid w:val="005A5B79"/>
    <w:rsid w:val="005A6109"/>
    <w:rsid w:val="005A624A"/>
    <w:rsid w:val="005A6302"/>
    <w:rsid w:val="005A639A"/>
    <w:rsid w:val="005A63DA"/>
    <w:rsid w:val="005A6824"/>
    <w:rsid w:val="005A6AD0"/>
    <w:rsid w:val="005A6BCF"/>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208"/>
    <w:rsid w:val="005B4888"/>
    <w:rsid w:val="005B49B4"/>
    <w:rsid w:val="005B4D05"/>
    <w:rsid w:val="005B57CD"/>
    <w:rsid w:val="005B58F8"/>
    <w:rsid w:val="005B5F99"/>
    <w:rsid w:val="005B5FF2"/>
    <w:rsid w:val="005B603E"/>
    <w:rsid w:val="005B60C4"/>
    <w:rsid w:val="005B60D3"/>
    <w:rsid w:val="005B65A2"/>
    <w:rsid w:val="005B66D6"/>
    <w:rsid w:val="005B670A"/>
    <w:rsid w:val="005B6903"/>
    <w:rsid w:val="005B69B6"/>
    <w:rsid w:val="005B6A72"/>
    <w:rsid w:val="005B6A92"/>
    <w:rsid w:val="005B6B20"/>
    <w:rsid w:val="005B6BD4"/>
    <w:rsid w:val="005B6C58"/>
    <w:rsid w:val="005B6DDD"/>
    <w:rsid w:val="005B6E54"/>
    <w:rsid w:val="005B7074"/>
    <w:rsid w:val="005B71B7"/>
    <w:rsid w:val="005B7328"/>
    <w:rsid w:val="005B752E"/>
    <w:rsid w:val="005B7605"/>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F3"/>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02C"/>
    <w:rsid w:val="005C710E"/>
    <w:rsid w:val="005C7296"/>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31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34B"/>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DF"/>
    <w:rsid w:val="005D6848"/>
    <w:rsid w:val="005D68CE"/>
    <w:rsid w:val="005D6B1F"/>
    <w:rsid w:val="005D6B9A"/>
    <w:rsid w:val="005D6BF0"/>
    <w:rsid w:val="005D6D9E"/>
    <w:rsid w:val="005D6E76"/>
    <w:rsid w:val="005D6EF2"/>
    <w:rsid w:val="005D6F75"/>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83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73"/>
    <w:rsid w:val="005F5ED6"/>
    <w:rsid w:val="005F5FE6"/>
    <w:rsid w:val="005F645C"/>
    <w:rsid w:val="005F64D4"/>
    <w:rsid w:val="005F699D"/>
    <w:rsid w:val="005F6C2C"/>
    <w:rsid w:val="005F6EFA"/>
    <w:rsid w:val="005F7011"/>
    <w:rsid w:val="005F70C0"/>
    <w:rsid w:val="005F70F0"/>
    <w:rsid w:val="005F71A9"/>
    <w:rsid w:val="005F72F4"/>
    <w:rsid w:val="005F741B"/>
    <w:rsid w:val="005F74FA"/>
    <w:rsid w:val="005F7602"/>
    <w:rsid w:val="005F7682"/>
    <w:rsid w:val="005F7C31"/>
    <w:rsid w:val="005F7CBF"/>
    <w:rsid w:val="005F7E87"/>
    <w:rsid w:val="005F7E9E"/>
    <w:rsid w:val="005F7ED5"/>
    <w:rsid w:val="00600076"/>
    <w:rsid w:val="00600132"/>
    <w:rsid w:val="006002C0"/>
    <w:rsid w:val="00600305"/>
    <w:rsid w:val="006003E3"/>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DB"/>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9F2"/>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3F29"/>
    <w:rsid w:val="006140D2"/>
    <w:rsid w:val="0061413F"/>
    <w:rsid w:val="00614486"/>
    <w:rsid w:val="0061460D"/>
    <w:rsid w:val="00614664"/>
    <w:rsid w:val="0061466C"/>
    <w:rsid w:val="0061495C"/>
    <w:rsid w:val="00614BB6"/>
    <w:rsid w:val="00614C1A"/>
    <w:rsid w:val="00614C57"/>
    <w:rsid w:val="00615B17"/>
    <w:rsid w:val="00615E7C"/>
    <w:rsid w:val="00615FA2"/>
    <w:rsid w:val="00616057"/>
    <w:rsid w:val="006162A7"/>
    <w:rsid w:val="0061636D"/>
    <w:rsid w:val="006168DF"/>
    <w:rsid w:val="0061698F"/>
    <w:rsid w:val="00616A4C"/>
    <w:rsid w:val="006174C4"/>
    <w:rsid w:val="00617613"/>
    <w:rsid w:val="00617B36"/>
    <w:rsid w:val="00617DD2"/>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B86"/>
    <w:rsid w:val="00623E9D"/>
    <w:rsid w:val="00624010"/>
    <w:rsid w:val="00624298"/>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CB"/>
    <w:rsid w:val="00630865"/>
    <w:rsid w:val="006309C3"/>
    <w:rsid w:val="00630A66"/>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60"/>
    <w:rsid w:val="00632FB8"/>
    <w:rsid w:val="006330FD"/>
    <w:rsid w:val="00633302"/>
    <w:rsid w:val="0063330C"/>
    <w:rsid w:val="006333DF"/>
    <w:rsid w:val="0063347B"/>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68"/>
    <w:rsid w:val="00637955"/>
    <w:rsid w:val="00637A0E"/>
    <w:rsid w:val="00637B2E"/>
    <w:rsid w:val="00637D07"/>
    <w:rsid w:val="00640185"/>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06"/>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0BE"/>
    <w:rsid w:val="006463DB"/>
    <w:rsid w:val="006464DA"/>
    <w:rsid w:val="006465F8"/>
    <w:rsid w:val="0064695D"/>
    <w:rsid w:val="00646A70"/>
    <w:rsid w:val="00646ACD"/>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1EAE"/>
    <w:rsid w:val="00652258"/>
    <w:rsid w:val="006523E8"/>
    <w:rsid w:val="006525C5"/>
    <w:rsid w:val="006527C8"/>
    <w:rsid w:val="006528E9"/>
    <w:rsid w:val="00652BB4"/>
    <w:rsid w:val="00652FC4"/>
    <w:rsid w:val="00653144"/>
    <w:rsid w:val="0065319F"/>
    <w:rsid w:val="00653437"/>
    <w:rsid w:val="006534F4"/>
    <w:rsid w:val="006536C4"/>
    <w:rsid w:val="0065371E"/>
    <w:rsid w:val="00653901"/>
    <w:rsid w:val="00653BC7"/>
    <w:rsid w:val="00653C98"/>
    <w:rsid w:val="00653D89"/>
    <w:rsid w:val="00654077"/>
    <w:rsid w:val="006540F9"/>
    <w:rsid w:val="0065420C"/>
    <w:rsid w:val="006545F9"/>
    <w:rsid w:val="00654732"/>
    <w:rsid w:val="006548E9"/>
    <w:rsid w:val="00654916"/>
    <w:rsid w:val="00654BFE"/>
    <w:rsid w:val="00654F6E"/>
    <w:rsid w:val="00655003"/>
    <w:rsid w:val="00655022"/>
    <w:rsid w:val="00655198"/>
    <w:rsid w:val="0065577D"/>
    <w:rsid w:val="006559E7"/>
    <w:rsid w:val="00655F67"/>
    <w:rsid w:val="00656011"/>
    <w:rsid w:val="006563B4"/>
    <w:rsid w:val="006566F9"/>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0F"/>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53"/>
    <w:rsid w:val="006645FE"/>
    <w:rsid w:val="0066462C"/>
    <w:rsid w:val="00664CA5"/>
    <w:rsid w:val="00665170"/>
    <w:rsid w:val="006654E8"/>
    <w:rsid w:val="00665803"/>
    <w:rsid w:val="006659C6"/>
    <w:rsid w:val="00665A65"/>
    <w:rsid w:val="00665B53"/>
    <w:rsid w:val="00665C03"/>
    <w:rsid w:val="00666097"/>
    <w:rsid w:val="0066624C"/>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1CB1"/>
    <w:rsid w:val="006722AE"/>
    <w:rsid w:val="006723AC"/>
    <w:rsid w:val="006724BA"/>
    <w:rsid w:val="006725C5"/>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121"/>
    <w:rsid w:val="00683238"/>
    <w:rsid w:val="00683471"/>
    <w:rsid w:val="006834FA"/>
    <w:rsid w:val="006835A5"/>
    <w:rsid w:val="0068374C"/>
    <w:rsid w:val="006839F5"/>
    <w:rsid w:val="00683C9D"/>
    <w:rsid w:val="00684355"/>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40F"/>
    <w:rsid w:val="00697517"/>
    <w:rsid w:val="0069769A"/>
    <w:rsid w:val="006977F0"/>
    <w:rsid w:val="006979DB"/>
    <w:rsid w:val="00697E29"/>
    <w:rsid w:val="00697F7C"/>
    <w:rsid w:val="006A007C"/>
    <w:rsid w:val="006A0090"/>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63F"/>
    <w:rsid w:val="006A2721"/>
    <w:rsid w:val="006A292C"/>
    <w:rsid w:val="006A2975"/>
    <w:rsid w:val="006A2E46"/>
    <w:rsid w:val="006A31E7"/>
    <w:rsid w:val="006A36D1"/>
    <w:rsid w:val="006A3AB6"/>
    <w:rsid w:val="006A3AF3"/>
    <w:rsid w:val="006A3E5A"/>
    <w:rsid w:val="006A401F"/>
    <w:rsid w:val="006A40CC"/>
    <w:rsid w:val="006A4128"/>
    <w:rsid w:val="006A4185"/>
    <w:rsid w:val="006A421B"/>
    <w:rsid w:val="006A440E"/>
    <w:rsid w:val="006A4510"/>
    <w:rsid w:val="006A4732"/>
    <w:rsid w:val="006A492C"/>
    <w:rsid w:val="006A4ECD"/>
    <w:rsid w:val="006A50D4"/>
    <w:rsid w:val="006A50FD"/>
    <w:rsid w:val="006A560E"/>
    <w:rsid w:val="006A56A0"/>
    <w:rsid w:val="006A56AF"/>
    <w:rsid w:val="006A572F"/>
    <w:rsid w:val="006A59DB"/>
    <w:rsid w:val="006A619C"/>
    <w:rsid w:val="006A62BD"/>
    <w:rsid w:val="006A638B"/>
    <w:rsid w:val="006A66D1"/>
    <w:rsid w:val="006A6958"/>
    <w:rsid w:val="006A6973"/>
    <w:rsid w:val="006A697A"/>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E67"/>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14F"/>
    <w:rsid w:val="006C32F8"/>
    <w:rsid w:val="006C335A"/>
    <w:rsid w:val="006C363F"/>
    <w:rsid w:val="006C3ACC"/>
    <w:rsid w:val="006C3D37"/>
    <w:rsid w:val="006C3ED5"/>
    <w:rsid w:val="006C42C2"/>
    <w:rsid w:val="006C4360"/>
    <w:rsid w:val="006C44AB"/>
    <w:rsid w:val="006C44F0"/>
    <w:rsid w:val="006C453E"/>
    <w:rsid w:val="006C4872"/>
    <w:rsid w:val="006C4980"/>
    <w:rsid w:val="006C4C23"/>
    <w:rsid w:val="006C4E9A"/>
    <w:rsid w:val="006C512C"/>
    <w:rsid w:val="006C52A4"/>
    <w:rsid w:val="006C55E2"/>
    <w:rsid w:val="006C5614"/>
    <w:rsid w:val="006C57C2"/>
    <w:rsid w:val="006C57DE"/>
    <w:rsid w:val="006C58E0"/>
    <w:rsid w:val="006C58ED"/>
    <w:rsid w:val="006C5C56"/>
    <w:rsid w:val="006C5E1A"/>
    <w:rsid w:val="006C632A"/>
    <w:rsid w:val="006C6376"/>
    <w:rsid w:val="006C670C"/>
    <w:rsid w:val="006C67F9"/>
    <w:rsid w:val="006C6A18"/>
    <w:rsid w:val="006C6B97"/>
    <w:rsid w:val="006C6C08"/>
    <w:rsid w:val="006C6C46"/>
    <w:rsid w:val="006C6CFA"/>
    <w:rsid w:val="006C6DB8"/>
    <w:rsid w:val="006C70C7"/>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5B3"/>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59B"/>
    <w:rsid w:val="006D684F"/>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11A"/>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4FD2"/>
    <w:rsid w:val="006F5283"/>
    <w:rsid w:val="006F542F"/>
    <w:rsid w:val="006F55DB"/>
    <w:rsid w:val="006F5728"/>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198"/>
    <w:rsid w:val="007012FE"/>
    <w:rsid w:val="007013AD"/>
    <w:rsid w:val="00701655"/>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39"/>
    <w:rsid w:val="00710DF6"/>
    <w:rsid w:val="00710E55"/>
    <w:rsid w:val="00711167"/>
    <w:rsid w:val="0071144C"/>
    <w:rsid w:val="00711558"/>
    <w:rsid w:val="0071164F"/>
    <w:rsid w:val="007117E0"/>
    <w:rsid w:val="0071185C"/>
    <w:rsid w:val="00711DE3"/>
    <w:rsid w:val="00711FEF"/>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572"/>
    <w:rsid w:val="00717662"/>
    <w:rsid w:val="00717B54"/>
    <w:rsid w:val="00717C56"/>
    <w:rsid w:val="00717FD4"/>
    <w:rsid w:val="00720033"/>
    <w:rsid w:val="0072003A"/>
    <w:rsid w:val="00720075"/>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BAF"/>
    <w:rsid w:val="00733CA9"/>
    <w:rsid w:val="00733E95"/>
    <w:rsid w:val="00733F91"/>
    <w:rsid w:val="00734062"/>
    <w:rsid w:val="00734121"/>
    <w:rsid w:val="0073414A"/>
    <w:rsid w:val="007343BA"/>
    <w:rsid w:val="007345D0"/>
    <w:rsid w:val="0073465A"/>
    <w:rsid w:val="00734B38"/>
    <w:rsid w:val="00734B51"/>
    <w:rsid w:val="00734CDA"/>
    <w:rsid w:val="00734F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712"/>
    <w:rsid w:val="007419EE"/>
    <w:rsid w:val="00741A5E"/>
    <w:rsid w:val="00741CCC"/>
    <w:rsid w:val="00742141"/>
    <w:rsid w:val="0074221D"/>
    <w:rsid w:val="0074224C"/>
    <w:rsid w:val="00742252"/>
    <w:rsid w:val="0074263F"/>
    <w:rsid w:val="007426B7"/>
    <w:rsid w:val="007426C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AA2"/>
    <w:rsid w:val="00745BE5"/>
    <w:rsid w:val="00745D3B"/>
    <w:rsid w:val="00745D9E"/>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9A"/>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6C6"/>
    <w:rsid w:val="00760816"/>
    <w:rsid w:val="007608C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7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2A1"/>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6BF"/>
    <w:rsid w:val="007728B1"/>
    <w:rsid w:val="007729F5"/>
    <w:rsid w:val="00772A24"/>
    <w:rsid w:val="00772A52"/>
    <w:rsid w:val="00772F8D"/>
    <w:rsid w:val="007730B5"/>
    <w:rsid w:val="0077324F"/>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EC9"/>
    <w:rsid w:val="00776F56"/>
    <w:rsid w:val="0077709D"/>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EE2"/>
    <w:rsid w:val="00782F60"/>
    <w:rsid w:val="00782FD8"/>
    <w:rsid w:val="00783091"/>
    <w:rsid w:val="007831A8"/>
    <w:rsid w:val="00783302"/>
    <w:rsid w:val="0078339C"/>
    <w:rsid w:val="00783429"/>
    <w:rsid w:val="00783ACD"/>
    <w:rsid w:val="00783BC4"/>
    <w:rsid w:val="00783BD9"/>
    <w:rsid w:val="00783D2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CA5"/>
    <w:rsid w:val="00787E5B"/>
    <w:rsid w:val="00787EC9"/>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DBB"/>
    <w:rsid w:val="00794010"/>
    <w:rsid w:val="0079446D"/>
    <w:rsid w:val="00794785"/>
    <w:rsid w:val="007948BF"/>
    <w:rsid w:val="00794928"/>
    <w:rsid w:val="00794A1C"/>
    <w:rsid w:val="00794AB9"/>
    <w:rsid w:val="00794B55"/>
    <w:rsid w:val="00794CC0"/>
    <w:rsid w:val="00794E05"/>
    <w:rsid w:val="00794EE4"/>
    <w:rsid w:val="00795104"/>
    <w:rsid w:val="0079554B"/>
    <w:rsid w:val="007955F7"/>
    <w:rsid w:val="0079571B"/>
    <w:rsid w:val="007957DE"/>
    <w:rsid w:val="007958CE"/>
    <w:rsid w:val="00795905"/>
    <w:rsid w:val="007959D6"/>
    <w:rsid w:val="007959D9"/>
    <w:rsid w:val="00795EE5"/>
    <w:rsid w:val="00795F87"/>
    <w:rsid w:val="007961C9"/>
    <w:rsid w:val="00796337"/>
    <w:rsid w:val="007964B2"/>
    <w:rsid w:val="007964DB"/>
    <w:rsid w:val="007967B9"/>
    <w:rsid w:val="007967D0"/>
    <w:rsid w:val="00796858"/>
    <w:rsid w:val="00796AB3"/>
    <w:rsid w:val="00796B09"/>
    <w:rsid w:val="00796BEB"/>
    <w:rsid w:val="00796E3D"/>
    <w:rsid w:val="00797269"/>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4FD"/>
    <w:rsid w:val="007B0564"/>
    <w:rsid w:val="007B05F1"/>
    <w:rsid w:val="007B07F9"/>
    <w:rsid w:val="007B081C"/>
    <w:rsid w:val="007B1053"/>
    <w:rsid w:val="007B1284"/>
    <w:rsid w:val="007B14CF"/>
    <w:rsid w:val="007B1B00"/>
    <w:rsid w:val="007B1F40"/>
    <w:rsid w:val="007B20E8"/>
    <w:rsid w:val="007B2795"/>
    <w:rsid w:val="007B28C6"/>
    <w:rsid w:val="007B29A5"/>
    <w:rsid w:val="007B2BE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7CC"/>
    <w:rsid w:val="007C6835"/>
    <w:rsid w:val="007C688F"/>
    <w:rsid w:val="007C7402"/>
    <w:rsid w:val="007C7907"/>
    <w:rsid w:val="007C796E"/>
    <w:rsid w:val="007C7B60"/>
    <w:rsid w:val="007C7CD2"/>
    <w:rsid w:val="007C7CE3"/>
    <w:rsid w:val="007C7D88"/>
    <w:rsid w:val="007C7E38"/>
    <w:rsid w:val="007C7E6D"/>
    <w:rsid w:val="007C7E94"/>
    <w:rsid w:val="007C7F32"/>
    <w:rsid w:val="007D02F6"/>
    <w:rsid w:val="007D06D8"/>
    <w:rsid w:val="007D08BF"/>
    <w:rsid w:val="007D0955"/>
    <w:rsid w:val="007D0EAF"/>
    <w:rsid w:val="007D0F65"/>
    <w:rsid w:val="007D0F9D"/>
    <w:rsid w:val="007D1532"/>
    <w:rsid w:val="007D18E0"/>
    <w:rsid w:val="007D1947"/>
    <w:rsid w:val="007D1A2C"/>
    <w:rsid w:val="007D1CD8"/>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4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888"/>
    <w:rsid w:val="007D59E9"/>
    <w:rsid w:val="007D6076"/>
    <w:rsid w:val="007D61CD"/>
    <w:rsid w:val="007D67D4"/>
    <w:rsid w:val="007D67D5"/>
    <w:rsid w:val="007D6A25"/>
    <w:rsid w:val="007D6A84"/>
    <w:rsid w:val="007D6ADF"/>
    <w:rsid w:val="007D6EB6"/>
    <w:rsid w:val="007D7001"/>
    <w:rsid w:val="007D76B6"/>
    <w:rsid w:val="007D7717"/>
    <w:rsid w:val="007D7A89"/>
    <w:rsid w:val="007D7A8A"/>
    <w:rsid w:val="007D7B16"/>
    <w:rsid w:val="007D7C51"/>
    <w:rsid w:val="007D7D39"/>
    <w:rsid w:val="007E0381"/>
    <w:rsid w:val="007E0411"/>
    <w:rsid w:val="007E048F"/>
    <w:rsid w:val="007E0603"/>
    <w:rsid w:val="007E0645"/>
    <w:rsid w:val="007E08A1"/>
    <w:rsid w:val="007E0939"/>
    <w:rsid w:val="007E0E0B"/>
    <w:rsid w:val="007E0E50"/>
    <w:rsid w:val="007E138A"/>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1F5"/>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32B"/>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B15"/>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05"/>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6F9B"/>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744"/>
    <w:rsid w:val="00832890"/>
    <w:rsid w:val="0083290A"/>
    <w:rsid w:val="00832F7A"/>
    <w:rsid w:val="008334A0"/>
    <w:rsid w:val="008337A3"/>
    <w:rsid w:val="0083395D"/>
    <w:rsid w:val="00834EE2"/>
    <w:rsid w:val="00834F3A"/>
    <w:rsid w:val="0083530C"/>
    <w:rsid w:val="00835420"/>
    <w:rsid w:val="00835645"/>
    <w:rsid w:val="0083566F"/>
    <w:rsid w:val="00835753"/>
    <w:rsid w:val="00835A5F"/>
    <w:rsid w:val="00835B7E"/>
    <w:rsid w:val="00835B8F"/>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45A"/>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06F"/>
    <w:rsid w:val="00846136"/>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5E6"/>
    <w:rsid w:val="008527C5"/>
    <w:rsid w:val="00852842"/>
    <w:rsid w:val="0085291D"/>
    <w:rsid w:val="00852EA6"/>
    <w:rsid w:val="00852F47"/>
    <w:rsid w:val="0085329A"/>
    <w:rsid w:val="00853515"/>
    <w:rsid w:val="008536A0"/>
    <w:rsid w:val="0085385B"/>
    <w:rsid w:val="008538C5"/>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7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27E"/>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4EF"/>
    <w:rsid w:val="00867712"/>
    <w:rsid w:val="00867D59"/>
    <w:rsid w:val="00867D83"/>
    <w:rsid w:val="00867E81"/>
    <w:rsid w:val="00870274"/>
    <w:rsid w:val="0087029B"/>
    <w:rsid w:val="008703F6"/>
    <w:rsid w:val="00870639"/>
    <w:rsid w:val="008707D3"/>
    <w:rsid w:val="00870A44"/>
    <w:rsid w:val="00870A5B"/>
    <w:rsid w:val="00870AAE"/>
    <w:rsid w:val="00870C9E"/>
    <w:rsid w:val="00870DD2"/>
    <w:rsid w:val="0087125E"/>
    <w:rsid w:val="00871464"/>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6BB"/>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27"/>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53B"/>
    <w:rsid w:val="00890728"/>
    <w:rsid w:val="00890780"/>
    <w:rsid w:val="00890812"/>
    <w:rsid w:val="00890A87"/>
    <w:rsid w:val="00890FAB"/>
    <w:rsid w:val="0089125B"/>
    <w:rsid w:val="008912F8"/>
    <w:rsid w:val="0089130C"/>
    <w:rsid w:val="00891748"/>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2D"/>
    <w:rsid w:val="008A069D"/>
    <w:rsid w:val="008A0767"/>
    <w:rsid w:val="008A0B3C"/>
    <w:rsid w:val="008A0F40"/>
    <w:rsid w:val="008A1898"/>
    <w:rsid w:val="008A198E"/>
    <w:rsid w:val="008A1BAB"/>
    <w:rsid w:val="008A1E23"/>
    <w:rsid w:val="008A237E"/>
    <w:rsid w:val="008A2407"/>
    <w:rsid w:val="008A242B"/>
    <w:rsid w:val="008A25B5"/>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46"/>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8FF"/>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44B"/>
    <w:rsid w:val="008B350D"/>
    <w:rsid w:val="008B3586"/>
    <w:rsid w:val="008B37AC"/>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CE3"/>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DA"/>
    <w:rsid w:val="008C20AA"/>
    <w:rsid w:val="008C226E"/>
    <w:rsid w:val="008C228E"/>
    <w:rsid w:val="008C2431"/>
    <w:rsid w:val="008C245A"/>
    <w:rsid w:val="008C25BB"/>
    <w:rsid w:val="008C2847"/>
    <w:rsid w:val="008C29A0"/>
    <w:rsid w:val="008C2C38"/>
    <w:rsid w:val="008C2D87"/>
    <w:rsid w:val="008C2E0B"/>
    <w:rsid w:val="008C30E5"/>
    <w:rsid w:val="008C31C7"/>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94D"/>
    <w:rsid w:val="008D3E2A"/>
    <w:rsid w:val="008D4060"/>
    <w:rsid w:val="008D41A9"/>
    <w:rsid w:val="008D41EF"/>
    <w:rsid w:val="008D431C"/>
    <w:rsid w:val="008D434C"/>
    <w:rsid w:val="008D45B9"/>
    <w:rsid w:val="008D4972"/>
    <w:rsid w:val="008D4C14"/>
    <w:rsid w:val="008D4C2C"/>
    <w:rsid w:val="008D4CE4"/>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C99"/>
    <w:rsid w:val="008D6D26"/>
    <w:rsid w:val="008D6F8B"/>
    <w:rsid w:val="008D6FAF"/>
    <w:rsid w:val="008D70BC"/>
    <w:rsid w:val="008D7301"/>
    <w:rsid w:val="008D74A9"/>
    <w:rsid w:val="008D7582"/>
    <w:rsid w:val="008D7609"/>
    <w:rsid w:val="008D7A32"/>
    <w:rsid w:val="008D7B06"/>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7C8"/>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2BF"/>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10"/>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7D"/>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C4B"/>
    <w:rsid w:val="00906D3B"/>
    <w:rsid w:val="00906E61"/>
    <w:rsid w:val="00907066"/>
    <w:rsid w:val="0090717F"/>
    <w:rsid w:val="009075C0"/>
    <w:rsid w:val="00907B53"/>
    <w:rsid w:val="00907D56"/>
    <w:rsid w:val="00907DC8"/>
    <w:rsid w:val="00910070"/>
    <w:rsid w:val="00910091"/>
    <w:rsid w:val="0091013C"/>
    <w:rsid w:val="00910647"/>
    <w:rsid w:val="00910723"/>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51F"/>
    <w:rsid w:val="00915A8D"/>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2AC"/>
    <w:rsid w:val="00921443"/>
    <w:rsid w:val="0092145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E6"/>
    <w:rsid w:val="009228FA"/>
    <w:rsid w:val="00922A06"/>
    <w:rsid w:val="00922AA6"/>
    <w:rsid w:val="00922BE5"/>
    <w:rsid w:val="00922C9F"/>
    <w:rsid w:val="00923034"/>
    <w:rsid w:val="009231DA"/>
    <w:rsid w:val="00923234"/>
    <w:rsid w:val="009234BF"/>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2B9"/>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E16"/>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70"/>
    <w:rsid w:val="00942A0D"/>
    <w:rsid w:val="00942BC9"/>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5B9"/>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42"/>
    <w:rsid w:val="009533F0"/>
    <w:rsid w:val="0095370F"/>
    <w:rsid w:val="00953740"/>
    <w:rsid w:val="009538E8"/>
    <w:rsid w:val="00953904"/>
    <w:rsid w:val="00953A28"/>
    <w:rsid w:val="00953C20"/>
    <w:rsid w:val="00953EB0"/>
    <w:rsid w:val="00954128"/>
    <w:rsid w:val="00954189"/>
    <w:rsid w:val="009547A7"/>
    <w:rsid w:val="00954DB9"/>
    <w:rsid w:val="00954F12"/>
    <w:rsid w:val="0095502C"/>
    <w:rsid w:val="00955C13"/>
    <w:rsid w:val="00955DA2"/>
    <w:rsid w:val="00956060"/>
    <w:rsid w:val="009561D9"/>
    <w:rsid w:val="0095632F"/>
    <w:rsid w:val="0095634D"/>
    <w:rsid w:val="00956636"/>
    <w:rsid w:val="00956DAB"/>
    <w:rsid w:val="00957141"/>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26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CD8"/>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23"/>
    <w:rsid w:val="00970C01"/>
    <w:rsid w:val="00970E59"/>
    <w:rsid w:val="009710CD"/>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5EE"/>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691"/>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C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121"/>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FE"/>
    <w:rsid w:val="00991658"/>
    <w:rsid w:val="00991789"/>
    <w:rsid w:val="009917E4"/>
    <w:rsid w:val="00991E1D"/>
    <w:rsid w:val="00991FB8"/>
    <w:rsid w:val="009920BF"/>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86"/>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446"/>
    <w:rsid w:val="009A0512"/>
    <w:rsid w:val="009A0D3B"/>
    <w:rsid w:val="009A0F97"/>
    <w:rsid w:val="009A133D"/>
    <w:rsid w:val="009A139E"/>
    <w:rsid w:val="009A151C"/>
    <w:rsid w:val="009A1919"/>
    <w:rsid w:val="009A1ADC"/>
    <w:rsid w:val="009A1BF5"/>
    <w:rsid w:val="009A1E5C"/>
    <w:rsid w:val="009A1F26"/>
    <w:rsid w:val="009A2147"/>
    <w:rsid w:val="009A23A3"/>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10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78D"/>
    <w:rsid w:val="009A78B4"/>
    <w:rsid w:val="009A7D7B"/>
    <w:rsid w:val="009A7E5E"/>
    <w:rsid w:val="009B0014"/>
    <w:rsid w:val="009B0059"/>
    <w:rsid w:val="009B017F"/>
    <w:rsid w:val="009B03C2"/>
    <w:rsid w:val="009B0A64"/>
    <w:rsid w:val="009B0AD7"/>
    <w:rsid w:val="009B0BC3"/>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AD"/>
    <w:rsid w:val="009C004B"/>
    <w:rsid w:val="009C02F4"/>
    <w:rsid w:val="009C0529"/>
    <w:rsid w:val="009C08FE"/>
    <w:rsid w:val="009C0B37"/>
    <w:rsid w:val="009C0E08"/>
    <w:rsid w:val="009C113D"/>
    <w:rsid w:val="009C11C0"/>
    <w:rsid w:val="009C15F0"/>
    <w:rsid w:val="009C16A5"/>
    <w:rsid w:val="009C1993"/>
    <w:rsid w:val="009C199B"/>
    <w:rsid w:val="009C1D73"/>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4BD0"/>
    <w:rsid w:val="009E505E"/>
    <w:rsid w:val="009E51F0"/>
    <w:rsid w:val="009E53B0"/>
    <w:rsid w:val="009E5427"/>
    <w:rsid w:val="009E54C2"/>
    <w:rsid w:val="009E55B5"/>
    <w:rsid w:val="009E55C6"/>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2BC"/>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A52"/>
    <w:rsid w:val="009F4ED4"/>
    <w:rsid w:val="009F4F96"/>
    <w:rsid w:val="009F503C"/>
    <w:rsid w:val="009F50B1"/>
    <w:rsid w:val="009F5151"/>
    <w:rsid w:val="009F515D"/>
    <w:rsid w:val="009F51C0"/>
    <w:rsid w:val="009F5335"/>
    <w:rsid w:val="009F5469"/>
    <w:rsid w:val="009F587E"/>
    <w:rsid w:val="009F58AE"/>
    <w:rsid w:val="009F60B3"/>
    <w:rsid w:val="009F6157"/>
    <w:rsid w:val="009F619E"/>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B04"/>
    <w:rsid w:val="00A060B4"/>
    <w:rsid w:val="00A060EB"/>
    <w:rsid w:val="00A0636B"/>
    <w:rsid w:val="00A06CF7"/>
    <w:rsid w:val="00A06D47"/>
    <w:rsid w:val="00A06E6F"/>
    <w:rsid w:val="00A070DD"/>
    <w:rsid w:val="00A07365"/>
    <w:rsid w:val="00A07514"/>
    <w:rsid w:val="00A07558"/>
    <w:rsid w:val="00A078AB"/>
    <w:rsid w:val="00A102D1"/>
    <w:rsid w:val="00A1031F"/>
    <w:rsid w:val="00A1037F"/>
    <w:rsid w:val="00A108F7"/>
    <w:rsid w:val="00A10914"/>
    <w:rsid w:val="00A10A9E"/>
    <w:rsid w:val="00A10CD3"/>
    <w:rsid w:val="00A10D24"/>
    <w:rsid w:val="00A10DA0"/>
    <w:rsid w:val="00A10F73"/>
    <w:rsid w:val="00A113F3"/>
    <w:rsid w:val="00A115BF"/>
    <w:rsid w:val="00A11863"/>
    <w:rsid w:val="00A118FA"/>
    <w:rsid w:val="00A11A14"/>
    <w:rsid w:val="00A11A26"/>
    <w:rsid w:val="00A11A61"/>
    <w:rsid w:val="00A11AD2"/>
    <w:rsid w:val="00A11B95"/>
    <w:rsid w:val="00A11C1E"/>
    <w:rsid w:val="00A11F12"/>
    <w:rsid w:val="00A11FD6"/>
    <w:rsid w:val="00A123DD"/>
    <w:rsid w:val="00A12425"/>
    <w:rsid w:val="00A12641"/>
    <w:rsid w:val="00A126A9"/>
    <w:rsid w:val="00A1279B"/>
    <w:rsid w:val="00A12815"/>
    <w:rsid w:val="00A128F8"/>
    <w:rsid w:val="00A12AB9"/>
    <w:rsid w:val="00A12C35"/>
    <w:rsid w:val="00A12F49"/>
    <w:rsid w:val="00A12FA4"/>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457"/>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0E0"/>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6EDD"/>
    <w:rsid w:val="00A270AB"/>
    <w:rsid w:val="00A2723B"/>
    <w:rsid w:val="00A273B8"/>
    <w:rsid w:val="00A276F1"/>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3F"/>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0E4"/>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176"/>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37F9F"/>
    <w:rsid w:val="00A40110"/>
    <w:rsid w:val="00A40405"/>
    <w:rsid w:val="00A40430"/>
    <w:rsid w:val="00A404D5"/>
    <w:rsid w:val="00A40558"/>
    <w:rsid w:val="00A409B7"/>
    <w:rsid w:val="00A40AED"/>
    <w:rsid w:val="00A40B5C"/>
    <w:rsid w:val="00A40BE8"/>
    <w:rsid w:val="00A40C65"/>
    <w:rsid w:val="00A40DFC"/>
    <w:rsid w:val="00A41273"/>
    <w:rsid w:val="00A415E6"/>
    <w:rsid w:val="00A41676"/>
    <w:rsid w:val="00A41AB4"/>
    <w:rsid w:val="00A41D6D"/>
    <w:rsid w:val="00A41EFA"/>
    <w:rsid w:val="00A4237E"/>
    <w:rsid w:val="00A4243C"/>
    <w:rsid w:val="00A42485"/>
    <w:rsid w:val="00A42623"/>
    <w:rsid w:val="00A429E7"/>
    <w:rsid w:val="00A42A55"/>
    <w:rsid w:val="00A42D4C"/>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575"/>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4EE1"/>
    <w:rsid w:val="00A54F48"/>
    <w:rsid w:val="00A551E5"/>
    <w:rsid w:val="00A555C5"/>
    <w:rsid w:val="00A55B14"/>
    <w:rsid w:val="00A55DD1"/>
    <w:rsid w:val="00A55F56"/>
    <w:rsid w:val="00A55FEF"/>
    <w:rsid w:val="00A56309"/>
    <w:rsid w:val="00A5662D"/>
    <w:rsid w:val="00A566A4"/>
    <w:rsid w:val="00A56A6B"/>
    <w:rsid w:val="00A56CDE"/>
    <w:rsid w:val="00A56DA5"/>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94E"/>
    <w:rsid w:val="00A62ACB"/>
    <w:rsid w:val="00A633A4"/>
    <w:rsid w:val="00A6374D"/>
    <w:rsid w:val="00A637DE"/>
    <w:rsid w:val="00A638C5"/>
    <w:rsid w:val="00A638FA"/>
    <w:rsid w:val="00A63900"/>
    <w:rsid w:val="00A63A44"/>
    <w:rsid w:val="00A63B68"/>
    <w:rsid w:val="00A63CEF"/>
    <w:rsid w:val="00A64055"/>
    <w:rsid w:val="00A640A0"/>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90"/>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9D0"/>
    <w:rsid w:val="00A72B08"/>
    <w:rsid w:val="00A72CAD"/>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389"/>
    <w:rsid w:val="00A76517"/>
    <w:rsid w:val="00A7660C"/>
    <w:rsid w:val="00A7663F"/>
    <w:rsid w:val="00A7683C"/>
    <w:rsid w:val="00A76A95"/>
    <w:rsid w:val="00A76C12"/>
    <w:rsid w:val="00A76C51"/>
    <w:rsid w:val="00A76EF3"/>
    <w:rsid w:val="00A77035"/>
    <w:rsid w:val="00A77136"/>
    <w:rsid w:val="00A77267"/>
    <w:rsid w:val="00A773C6"/>
    <w:rsid w:val="00A775FD"/>
    <w:rsid w:val="00A77784"/>
    <w:rsid w:val="00A77807"/>
    <w:rsid w:val="00A77993"/>
    <w:rsid w:val="00A77A4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95"/>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533"/>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806"/>
    <w:rsid w:val="00A92DAC"/>
    <w:rsid w:val="00A92DF9"/>
    <w:rsid w:val="00A92EF0"/>
    <w:rsid w:val="00A93101"/>
    <w:rsid w:val="00A9338F"/>
    <w:rsid w:val="00A935BD"/>
    <w:rsid w:val="00A93D0E"/>
    <w:rsid w:val="00A93F0B"/>
    <w:rsid w:val="00A93F4F"/>
    <w:rsid w:val="00A940DF"/>
    <w:rsid w:val="00A9421F"/>
    <w:rsid w:val="00A94354"/>
    <w:rsid w:val="00A946D6"/>
    <w:rsid w:val="00A94843"/>
    <w:rsid w:val="00A94BD7"/>
    <w:rsid w:val="00A94DED"/>
    <w:rsid w:val="00A94EA5"/>
    <w:rsid w:val="00A94F39"/>
    <w:rsid w:val="00A950FC"/>
    <w:rsid w:val="00A95198"/>
    <w:rsid w:val="00A95962"/>
    <w:rsid w:val="00A95C7A"/>
    <w:rsid w:val="00A95CA5"/>
    <w:rsid w:val="00A95E7D"/>
    <w:rsid w:val="00A961B5"/>
    <w:rsid w:val="00A96464"/>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D3D"/>
    <w:rsid w:val="00A97E78"/>
    <w:rsid w:val="00A97FF2"/>
    <w:rsid w:val="00AA003E"/>
    <w:rsid w:val="00AA007C"/>
    <w:rsid w:val="00AA00EC"/>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45"/>
    <w:rsid w:val="00AA3263"/>
    <w:rsid w:val="00AA3367"/>
    <w:rsid w:val="00AA36C0"/>
    <w:rsid w:val="00AA3863"/>
    <w:rsid w:val="00AA3896"/>
    <w:rsid w:val="00AA3909"/>
    <w:rsid w:val="00AA3C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AA3"/>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96"/>
    <w:rsid w:val="00AB595D"/>
    <w:rsid w:val="00AB5A1A"/>
    <w:rsid w:val="00AB5ADA"/>
    <w:rsid w:val="00AB5B29"/>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DC"/>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00"/>
    <w:rsid w:val="00AC1B93"/>
    <w:rsid w:val="00AC20E6"/>
    <w:rsid w:val="00AC210F"/>
    <w:rsid w:val="00AC23F5"/>
    <w:rsid w:val="00AC2CC1"/>
    <w:rsid w:val="00AC2D3F"/>
    <w:rsid w:val="00AC2DD6"/>
    <w:rsid w:val="00AC2E89"/>
    <w:rsid w:val="00AC2F2D"/>
    <w:rsid w:val="00AC31D1"/>
    <w:rsid w:val="00AC335A"/>
    <w:rsid w:val="00AC33F1"/>
    <w:rsid w:val="00AC35B1"/>
    <w:rsid w:val="00AC3717"/>
    <w:rsid w:val="00AC39D0"/>
    <w:rsid w:val="00AC3A68"/>
    <w:rsid w:val="00AC3FBF"/>
    <w:rsid w:val="00AC4C08"/>
    <w:rsid w:val="00AC511C"/>
    <w:rsid w:val="00AC5357"/>
    <w:rsid w:val="00AC566A"/>
    <w:rsid w:val="00AC5DDE"/>
    <w:rsid w:val="00AC5F08"/>
    <w:rsid w:val="00AC614A"/>
    <w:rsid w:val="00AC625F"/>
    <w:rsid w:val="00AC62F8"/>
    <w:rsid w:val="00AC64A3"/>
    <w:rsid w:val="00AC6668"/>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2E2"/>
    <w:rsid w:val="00AD235D"/>
    <w:rsid w:val="00AD2668"/>
    <w:rsid w:val="00AD293E"/>
    <w:rsid w:val="00AD29ED"/>
    <w:rsid w:val="00AD2D4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5A4"/>
    <w:rsid w:val="00AD678D"/>
    <w:rsid w:val="00AD67CF"/>
    <w:rsid w:val="00AD6BDF"/>
    <w:rsid w:val="00AD70DA"/>
    <w:rsid w:val="00AD73C9"/>
    <w:rsid w:val="00AD75BF"/>
    <w:rsid w:val="00AD764F"/>
    <w:rsid w:val="00AD76E3"/>
    <w:rsid w:val="00AD77CA"/>
    <w:rsid w:val="00AD78E8"/>
    <w:rsid w:val="00AD79A7"/>
    <w:rsid w:val="00AD7A28"/>
    <w:rsid w:val="00AD7CE7"/>
    <w:rsid w:val="00AD7F1E"/>
    <w:rsid w:val="00AD7F21"/>
    <w:rsid w:val="00AD7F73"/>
    <w:rsid w:val="00AE0298"/>
    <w:rsid w:val="00AE038C"/>
    <w:rsid w:val="00AE047F"/>
    <w:rsid w:val="00AE075D"/>
    <w:rsid w:val="00AE08B3"/>
    <w:rsid w:val="00AE0A6D"/>
    <w:rsid w:val="00AE0B6E"/>
    <w:rsid w:val="00AE0C70"/>
    <w:rsid w:val="00AE0D0A"/>
    <w:rsid w:val="00AE0F81"/>
    <w:rsid w:val="00AE1330"/>
    <w:rsid w:val="00AE15DB"/>
    <w:rsid w:val="00AE1634"/>
    <w:rsid w:val="00AE16FE"/>
    <w:rsid w:val="00AE1733"/>
    <w:rsid w:val="00AE17FC"/>
    <w:rsid w:val="00AE1A0B"/>
    <w:rsid w:val="00AE1AFB"/>
    <w:rsid w:val="00AE1FE4"/>
    <w:rsid w:val="00AE235F"/>
    <w:rsid w:val="00AE262B"/>
    <w:rsid w:val="00AE27F4"/>
    <w:rsid w:val="00AE27F9"/>
    <w:rsid w:val="00AE2C2B"/>
    <w:rsid w:val="00AE2DD3"/>
    <w:rsid w:val="00AE3058"/>
    <w:rsid w:val="00AE3310"/>
    <w:rsid w:val="00AE354F"/>
    <w:rsid w:val="00AE37A1"/>
    <w:rsid w:val="00AE3956"/>
    <w:rsid w:val="00AE3A4F"/>
    <w:rsid w:val="00AE3D5E"/>
    <w:rsid w:val="00AE3D85"/>
    <w:rsid w:val="00AE41EF"/>
    <w:rsid w:val="00AE4703"/>
    <w:rsid w:val="00AE4BF3"/>
    <w:rsid w:val="00AE4F79"/>
    <w:rsid w:val="00AE516D"/>
    <w:rsid w:val="00AE517E"/>
    <w:rsid w:val="00AE5246"/>
    <w:rsid w:val="00AE5292"/>
    <w:rsid w:val="00AE52B4"/>
    <w:rsid w:val="00AE56A2"/>
    <w:rsid w:val="00AE56C7"/>
    <w:rsid w:val="00AE58C5"/>
    <w:rsid w:val="00AE5993"/>
    <w:rsid w:val="00AE5B55"/>
    <w:rsid w:val="00AE5BF8"/>
    <w:rsid w:val="00AE5F51"/>
    <w:rsid w:val="00AE600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5B"/>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B8"/>
    <w:rsid w:val="00AF37FA"/>
    <w:rsid w:val="00AF38BE"/>
    <w:rsid w:val="00AF3928"/>
    <w:rsid w:val="00AF3B06"/>
    <w:rsid w:val="00AF3D18"/>
    <w:rsid w:val="00AF40A0"/>
    <w:rsid w:val="00AF44F8"/>
    <w:rsid w:val="00AF4514"/>
    <w:rsid w:val="00AF46C4"/>
    <w:rsid w:val="00AF46C7"/>
    <w:rsid w:val="00AF4717"/>
    <w:rsid w:val="00AF4956"/>
    <w:rsid w:val="00AF53A4"/>
    <w:rsid w:val="00AF578C"/>
    <w:rsid w:val="00AF5798"/>
    <w:rsid w:val="00AF5959"/>
    <w:rsid w:val="00AF5C7C"/>
    <w:rsid w:val="00AF5CC9"/>
    <w:rsid w:val="00AF5EC5"/>
    <w:rsid w:val="00AF66DE"/>
    <w:rsid w:val="00AF6A8A"/>
    <w:rsid w:val="00AF6B26"/>
    <w:rsid w:val="00AF6BDB"/>
    <w:rsid w:val="00AF6CD4"/>
    <w:rsid w:val="00AF6DB3"/>
    <w:rsid w:val="00AF6DD6"/>
    <w:rsid w:val="00AF6F80"/>
    <w:rsid w:val="00AF70CB"/>
    <w:rsid w:val="00AF7535"/>
    <w:rsid w:val="00AF799C"/>
    <w:rsid w:val="00AF7E45"/>
    <w:rsid w:val="00B00000"/>
    <w:rsid w:val="00B00B19"/>
    <w:rsid w:val="00B00D80"/>
    <w:rsid w:val="00B00F03"/>
    <w:rsid w:val="00B012CC"/>
    <w:rsid w:val="00B0177D"/>
    <w:rsid w:val="00B01887"/>
    <w:rsid w:val="00B01E07"/>
    <w:rsid w:val="00B0237B"/>
    <w:rsid w:val="00B02777"/>
    <w:rsid w:val="00B02BFB"/>
    <w:rsid w:val="00B02D6F"/>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CEB"/>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756"/>
    <w:rsid w:val="00B07799"/>
    <w:rsid w:val="00B07D77"/>
    <w:rsid w:val="00B1041B"/>
    <w:rsid w:val="00B10616"/>
    <w:rsid w:val="00B10D15"/>
    <w:rsid w:val="00B110A1"/>
    <w:rsid w:val="00B111CE"/>
    <w:rsid w:val="00B11204"/>
    <w:rsid w:val="00B112A0"/>
    <w:rsid w:val="00B11476"/>
    <w:rsid w:val="00B114BC"/>
    <w:rsid w:val="00B1153A"/>
    <w:rsid w:val="00B1169E"/>
    <w:rsid w:val="00B119E6"/>
    <w:rsid w:val="00B11A60"/>
    <w:rsid w:val="00B11A88"/>
    <w:rsid w:val="00B11CB2"/>
    <w:rsid w:val="00B11DB8"/>
    <w:rsid w:val="00B11EB7"/>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81"/>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005"/>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A91"/>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4DD"/>
    <w:rsid w:val="00B27586"/>
    <w:rsid w:val="00B279A8"/>
    <w:rsid w:val="00B27C91"/>
    <w:rsid w:val="00B27E12"/>
    <w:rsid w:val="00B30180"/>
    <w:rsid w:val="00B30383"/>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0FD4"/>
    <w:rsid w:val="00B412AB"/>
    <w:rsid w:val="00B416B0"/>
    <w:rsid w:val="00B41960"/>
    <w:rsid w:val="00B4198D"/>
    <w:rsid w:val="00B41992"/>
    <w:rsid w:val="00B41A10"/>
    <w:rsid w:val="00B41B42"/>
    <w:rsid w:val="00B41B56"/>
    <w:rsid w:val="00B41D4E"/>
    <w:rsid w:val="00B420CA"/>
    <w:rsid w:val="00B42163"/>
    <w:rsid w:val="00B42231"/>
    <w:rsid w:val="00B42562"/>
    <w:rsid w:val="00B4264F"/>
    <w:rsid w:val="00B42975"/>
    <w:rsid w:val="00B42ADD"/>
    <w:rsid w:val="00B4319D"/>
    <w:rsid w:val="00B43E75"/>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CBD"/>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551"/>
    <w:rsid w:val="00B55894"/>
    <w:rsid w:val="00B558F6"/>
    <w:rsid w:val="00B55B8F"/>
    <w:rsid w:val="00B55D61"/>
    <w:rsid w:val="00B55F8D"/>
    <w:rsid w:val="00B56297"/>
    <w:rsid w:val="00B5651D"/>
    <w:rsid w:val="00B56796"/>
    <w:rsid w:val="00B5681C"/>
    <w:rsid w:val="00B56A4A"/>
    <w:rsid w:val="00B56AF7"/>
    <w:rsid w:val="00B56B9B"/>
    <w:rsid w:val="00B56B9D"/>
    <w:rsid w:val="00B56F47"/>
    <w:rsid w:val="00B57039"/>
    <w:rsid w:val="00B570E6"/>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8B"/>
    <w:rsid w:val="00B61EEC"/>
    <w:rsid w:val="00B62057"/>
    <w:rsid w:val="00B620EB"/>
    <w:rsid w:val="00B62742"/>
    <w:rsid w:val="00B6277A"/>
    <w:rsid w:val="00B62A1E"/>
    <w:rsid w:val="00B62A55"/>
    <w:rsid w:val="00B62B23"/>
    <w:rsid w:val="00B62C60"/>
    <w:rsid w:val="00B62DF4"/>
    <w:rsid w:val="00B62DFA"/>
    <w:rsid w:val="00B632AA"/>
    <w:rsid w:val="00B6337B"/>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36"/>
    <w:rsid w:val="00B6687A"/>
    <w:rsid w:val="00B66C15"/>
    <w:rsid w:val="00B66F68"/>
    <w:rsid w:val="00B67187"/>
    <w:rsid w:val="00B6733A"/>
    <w:rsid w:val="00B6766B"/>
    <w:rsid w:val="00B67681"/>
    <w:rsid w:val="00B67741"/>
    <w:rsid w:val="00B6789A"/>
    <w:rsid w:val="00B67D3D"/>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3AC"/>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A7A"/>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D2"/>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65"/>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3AF"/>
    <w:rsid w:val="00B844A4"/>
    <w:rsid w:val="00B844AA"/>
    <w:rsid w:val="00B8453F"/>
    <w:rsid w:val="00B845D5"/>
    <w:rsid w:val="00B845F9"/>
    <w:rsid w:val="00B84609"/>
    <w:rsid w:val="00B84936"/>
    <w:rsid w:val="00B84CBA"/>
    <w:rsid w:val="00B85140"/>
    <w:rsid w:val="00B851D1"/>
    <w:rsid w:val="00B85228"/>
    <w:rsid w:val="00B85ABC"/>
    <w:rsid w:val="00B85E49"/>
    <w:rsid w:val="00B8616B"/>
    <w:rsid w:val="00B863F0"/>
    <w:rsid w:val="00B864C4"/>
    <w:rsid w:val="00B8659E"/>
    <w:rsid w:val="00B865D1"/>
    <w:rsid w:val="00B866B2"/>
    <w:rsid w:val="00B866CA"/>
    <w:rsid w:val="00B8670B"/>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6BD"/>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04B"/>
    <w:rsid w:val="00B920B1"/>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63"/>
    <w:rsid w:val="00B93B72"/>
    <w:rsid w:val="00B93F6C"/>
    <w:rsid w:val="00B94007"/>
    <w:rsid w:val="00B944E2"/>
    <w:rsid w:val="00B945FA"/>
    <w:rsid w:val="00B948DA"/>
    <w:rsid w:val="00B94CD2"/>
    <w:rsid w:val="00B95249"/>
    <w:rsid w:val="00B95341"/>
    <w:rsid w:val="00B9536A"/>
    <w:rsid w:val="00B953FA"/>
    <w:rsid w:val="00B95AB0"/>
    <w:rsid w:val="00B95C70"/>
    <w:rsid w:val="00B95DBF"/>
    <w:rsid w:val="00B95E24"/>
    <w:rsid w:val="00B96224"/>
    <w:rsid w:val="00B9626C"/>
    <w:rsid w:val="00B962F3"/>
    <w:rsid w:val="00B96355"/>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90"/>
    <w:rsid w:val="00BA01F4"/>
    <w:rsid w:val="00BA0325"/>
    <w:rsid w:val="00BA03BD"/>
    <w:rsid w:val="00BA04CC"/>
    <w:rsid w:val="00BA0564"/>
    <w:rsid w:val="00BA070E"/>
    <w:rsid w:val="00BA083E"/>
    <w:rsid w:val="00BA0873"/>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60"/>
    <w:rsid w:val="00BA23F6"/>
    <w:rsid w:val="00BA242D"/>
    <w:rsid w:val="00BA246A"/>
    <w:rsid w:val="00BA27FC"/>
    <w:rsid w:val="00BA2A1E"/>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22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06E"/>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62"/>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780"/>
    <w:rsid w:val="00BD2926"/>
    <w:rsid w:val="00BD299E"/>
    <w:rsid w:val="00BD2A5C"/>
    <w:rsid w:val="00BD2AE5"/>
    <w:rsid w:val="00BD2C5F"/>
    <w:rsid w:val="00BD2D35"/>
    <w:rsid w:val="00BD2E77"/>
    <w:rsid w:val="00BD30CC"/>
    <w:rsid w:val="00BD32B6"/>
    <w:rsid w:val="00BD33F7"/>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536"/>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75"/>
    <w:rsid w:val="00BF1BD7"/>
    <w:rsid w:val="00BF1CA3"/>
    <w:rsid w:val="00BF1D73"/>
    <w:rsid w:val="00BF225C"/>
    <w:rsid w:val="00BF26BE"/>
    <w:rsid w:val="00BF26C3"/>
    <w:rsid w:val="00BF2803"/>
    <w:rsid w:val="00BF2D63"/>
    <w:rsid w:val="00BF2E3C"/>
    <w:rsid w:val="00BF33AD"/>
    <w:rsid w:val="00BF34E7"/>
    <w:rsid w:val="00BF3777"/>
    <w:rsid w:val="00BF3914"/>
    <w:rsid w:val="00BF3A01"/>
    <w:rsid w:val="00BF3BF6"/>
    <w:rsid w:val="00BF3EC6"/>
    <w:rsid w:val="00BF48F4"/>
    <w:rsid w:val="00BF4AC8"/>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55"/>
    <w:rsid w:val="00C0079C"/>
    <w:rsid w:val="00C0083C"/>
    <w:rsid w:val="00C009F0"/>
    <w:rsid w:val="00C010A8"/>
    <w:rsid w:val="00C0141D"/>
    <w:rsid w:val="00C014DE"/>
    <w:rsid w:val="00C0152B"/>
    <w:rsid w:val="00C0164A"/>
    <w:rsid w:val="00C017BF"/>
    <w:rsid w:val="00C019CB"/>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66"/>
    <w:rsid w:val="00C02DE3"/>
    <w:rsid w:val="00C02ECB"/>
    <w:rsid w:val="00C02FE1"/>
    <w:rsid w:val="00C03012"/>
    <w:rsid w:val="00C033E5"/>
    <w:rsid w:val="00C036E8"/>
    <w:rsid w:val="00C0371A"/>
    <w:rsid w:val="00C0373D"/>
    <w:rsid w:val="00C03DA6"/>
    <w:rsid w:val="00C03EA6"/>
    <w:rsid w:val="00C043A9"/>
    <w:rsid w:val="00C0450D"/>
    <w:rsid w:val="00C0457A"/>
    <w:rsid w:val="00C04615"/>
    <w:rsid w:val="00C0469C"/>
    <w:rsid w:val="00C04834"/>
    <w:rsid w:val="00C049E2"/>
    <w:rsid w:val="00C04B79"/>
    <w:rsid w:val="00C04C3D"/>
    <w:rsid w:val="00C04C83"/>
    <w:rsid w:val="00C04CF5"/>
    <w:rsid w:val="00C04CFA"/>
    <w:rsid w:val="00C04E20"/>
    <w:rsid w:val="00C04E95"/>
    <w:rsid w:val="00C051D9"/>
    <w:rsid w:val="00C0525D"/>
    <w:rsid w:val="00C0558B"/>
    <w:rsid w:val="00C05613"/>
    <w:rsid w:val="00C056E0"/>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4BB"/>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3DF"/>
    <w:rsid w:val="00C206A9"/>
    <w:rsid w:val="00C20794"/>
    <w:rsid w:val="00C2081E"/>
    <w:rsid w:val="00C20C68"/>
    <w:rsid w:val="00C20D4D"/>
    <w:rsid w:val="00C2107D"/>
    <w:rsid w:val="00C2123D"/>
    <w:rsid w:val="00C2156B"/>
    <w:rsid w:val="00C21875"/>
    <w:rsid w:val="00C219E8"/>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DD6"/>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1E6A"/>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8E3"/>
    <w:rsid w:val="00C37D11"/>
    <w:rsid w:val="00C37D38"/>
    <w:rsid w:val="00C37FED"/>
    <w:rsid w:val="00C40492"/>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45A"/>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644"/>
    <w:rsid w:val="00C468B8"/>
    <w:rsid w:val="00C46D4F"/>
    <w:rsid w:val="00C470B9"/>
    <w:rsid w:val="00C47118"/>
    <w:rsid w:val="00C473FF"/>
    <w:rsid w:val="00C47432"/>
    <w:rsid w:val="00C4764A"/>
    <w:rsid w:val="00C47885"/>
    <w:rsid w:val="00C47A6F"/>
    <w:rsid w:val="00C47D42"/>
    <w:rsid w:val="00C47D7C"/>
    <w:rsid w:val="00C47F39"/>
    <w:rsid w:val="00C50321"/>
    <w:rsid w:val="00C510DD"/>
    <w:rsid w:val="00C511E3"/>
    <w:rsid w:val="00C517F3"/>
    <w:rsid w:val="00C51CD5"/>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1E0"/>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77"/>
    <w:rsid w:val="00C61CEA"/>
    <w:rsid w:val="00C61F29"/>
    <w:rsid w:val="00C61FD1"/>
    <w:rsid w:val="00C62015"/>
    <w:rsid w:val="00C62710"/>
    <w:rsid w:val="00C62C6C"/>
    <w:rsid w:val="00C631C9"/>
    <w:rsid w:val="00C63336"/>
    <w:rsid w:val="00C63370"/>
    <w:rsid w:val="00C636BA"/>
    <w:rsid w:val="00C638E0"/>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570"/>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85B"/>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D8C"/>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905"/>
    <w:rsid w:val="00CA1FE9"/>
    <w:rsid w:val="00CA22DA"/>
    <w:rsid w:val="00CA267C"/>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B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7F"/>
    <w:rsid w:val="00CB69AA"/>
    <w:rsid w:val="00CB6A8E"/>
    <w:rsid w:val="00CB6B3A"/>
    <w:rsid w:val="00CB6FBF"/>
    <w:rsid w:val="00CB6FEF"/>
    <w:rsid w:val="00CB71D2"/>
    <w:rsid w:val="00CB738A"/>
    <w:rsid w:val="00CB758D"/>
    <w:rsid w:val="00CB7A89"/>
    <w:rsid w:val="00CB7D8F"/>
    <w:rsid w:val="00CB7E6B"/>
    <w:rsid w:val="00CC002D"/>
    <w:rsid w:val="00CC03A6"/>
    <w:rsid w:val="00CC0565"/>
    <w:rsid w:val="00CC07C1"/>
    <w:rsid w:val="00CC07C7"/>
    <w:rsid w:val="00CC07CB"/>
    <w:rsid w:val="00CC0908"/>
    <w:rsid w:val="00CC0D49"/>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2E"/>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51"/>
    <w:rsid w:val="00CD3A83"/>
    <w:rsid w:val="00CD3AAD"/>
    <w:rsid w:val="00CD3BD5"/>
    <w:rsid w:val="00CD3D33"/>
    <w:rsid w:val="00CD42DE"/>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A76"/>
    <w:rsid w:val="00CD6D39"/>
    <w:rsid w:val="00CD6EAC"/>
    <w:rsid w:val="00CD6F01"/>
    <w:rsid w:val="00CD73DB"/>
    <w:rsid w:val="00CD7575"/>
    <w:rsid w:val="00CD767C"/>
    <w:rsid w:val="00CD7EA4"/>
    <w:rsid w:val="00CD7F16"/>
    <w:rsid w:val="00CE0296"/>
    <w:rsid w:val="00CE0318"/>
    <w:rsid w:val="00CE03FE"/>
    <w:rsid w:val="00CE099E"/>
    <w:rsid w:val="00CE0B02"/>
    <w:rsid w:val="00CE0DED"/>
    <w:rsid w:val="00CE0FA8"/>
    <w:rsid w:val="00CE1767"/>
    <w:rsid w:val="00CE196F"/>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5DC"/>
    <w:rsid w:val="00CE36FE"/>
    <w:rsid w:val="00CE37A0"/>
    <w:rsid w:val="00CE38FD"/>
    <w:rsid w:val="00CE3BA8"/>
    <w:rsid w:val="00CE40C0"/>
    <w:rsid w:val="00CE4281"/>
    <w:rsid w:val="00CE4747"/>
    <w:rsid w:val="00CE4793"/>
    <w:rsid w:val="00CE4A80"/>
    <w:rsid w:val="00CE4B35"/>
    <w:rsid w:val="00CE4BCB"/>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666"/>
    <w:rsid w:val="00CE6D34"/>
    <w:rsid w:val="00CE7012"/>
    <w:rsid w:val="00CE7120"/>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87"/>
    <w:rsid w:val="00CF53CD"/>
    <w:rsid w:val="00CF55E0"/>
    <w:rsid w:val="00CF56F9"/>
    <w:rsid w:val="00CF5739"/>
    <w:rsid w:val="00CF5772"/>
    <w:rsid w:val="00CF59FB"/>
    <w:rsid w:val="00CF5EEA"/>
    <w:rsid w:val="00CF60CE"/>
    <w:rsid w:val="00CF635E"/>
    <w:rsid w:val="00CF63C0"/>
    <w:rsid w:val="00CF660A"/>
    <w:rsid w:val="00CF669A"/>
    <w:rsid w:val="00CF66A1"/>
    <w:rsid w:val="00CF70CE"/>
    <w:rsid w:val="00CF7137"/>
    <w:rsid w:val="00CF73DB"/>
    <w:rsid w:val="00CF74E3"/>
    <w:rsid w:val="00CF76C2"/>
    <w:rsid w:val="00CF7AFF"/>
    <w:rsid w:val="00CF7CDC"/>
    <w:rsid w:val="00CF7E65"/>
    <w:rsid w:val="00D0041B"/>
    <w:rsid w:val="00D00C21"/>
    <w:rsid w:val="00D00FD7"/>
    <w:rsid w:val="00D012CB"/>
    <w:rsid w:val="00D0137F"/>
    <w:rsid w:val="00D01726"/>
    <w:rsid w:val="00D01B3A"/>
    <w:rsid w:val="00D01BA6"/>
    <w:rsid w:val="00D01BC3"/>
    <w:rsid w:val="00D02470"/>
    <w:rsid w:val="00D0249C"/>
    <w:rsid w:val="00D024E0"/>
    <w:rsid w:val="00D0252E"/>
    <w:rsid w:val="00D026AB"/>
    <w:rsid w:val="00D027E7"/>
    <w:rsid w:val="00D02865"/>
    <w:rsid w:val="00D02E63"/>
    <w:rsid w:val="00D02E8D"/>
    <w:rsid w:val="00D02FBF"/>
    <w:rsid w:val="00D030AB"/>
    <w:rsid w:val="00D03384"/>
    <w:rsid w:val="00D036AA"/>
    <w:rsid w:val="00D03C34"/>
    <w:rsid w:val="00D03E4B"/>
    <w:rsid w:val="00D03F84"/>
    <w:rsid w:val="00D044A7"/>
    <w:rsid w:val="00D048C2"/>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01E"/>
    <w:rsid w:val="00D1217D"/>
    <w:rsid w:val="00D1223A"/>
    <w:rsid w:val="00D1226C"/>
    <w:rsid w:val="00D123EE"/>
    <w:rsid w:val="00D12403"/>
    <w:rsid w:val="00D1250A"/>
    <w:rsid w:val="00D125E1"/>
    <w:rsid w:val="00D1262D"/>
    <w:rsid w:val="00D1276C"/>
    <w:rsid w:val="00D127D3"/>
    <w:rsid w:val="00D12999"/>
    <w:rsid w:val="00D12C17"/>
    <w:rsid w:val="00D12D74"/>
    <w:rsid w:val="00D12F2B"/>
    <w:rsid w:val="00D12FB8"/>
    <w:rsid w:val="00D12FFF"/>
    <w:rsid w:val="00D1331E"/>
    <w:rsid w:val="00D1340B"/>
    <w:rsid w:val="00D1349E"/>
    <w:rsid w:val="00D134A3"/>
    <w:rsid w:val="00D13852"/>
    <w:rsid w:val="00D13863"/>
    <w:rsid w:val="00D13BD5"/>
    <w:rsid w:val="00D13CEE"/>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16"/>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D78"/>
    <w:rsid w:val="00D24DE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0E7"/>
    <w:rsid w:val="00D3130C"/>
    <w:rsid w:val="00D3136C"/>
    <w:rsid w:val="00D3153D"/>
    <w:rsid w:val="00D316E5"/>
    <w:rsid w:val="00D31834"/>
    <w:rsid w:val="00D31A9A"/>
    <w:rsid w:val="00D31B26"/>
    <w:rsid w:val="00D31BE0"/>
    <w:rsid w:val="00D32202"/>
    <w:rsid w:val="00D323F7"/>
    <w:rsid w:val="00D32609"/>
    <w:rsid w:val="00D326A9"/>
    <w:rsid w:val="00D326E7"/>
    <w:rsid w:val="00D327EB"/>
    <w:rsid w:val="00D328D7"/>
    <w:rsid w:val="00D3316C"/>
    <w:rsid w:val="00D332B5"/>
    <w:rsid w:val="00D33541"/>
    <w:rsid w:val="00D33841"/>
    <w:rsid w:val="00D339C0"/>
    <w:rsid w:val="00D33A04"/>
    <w:rsid w:val="00D33C96"/>
    <w:rsid w:val="00D341CB"/>
    <w:rsid w:val="00D342A1"/>
    <w:rsid w:val="00D3431B"/>
    <w:rsid w:val="00D34E94"/>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67"/>
    <w:rsid w:val="00D413F9"/>
    <w:rsid w:val="00D4168F"/>
    <w:rsid w:val="00D41691"/>
    <w:rsid w:val="00D418E0"/>
    <w:rsid w:val="00D419E2"/>
    <w:rsid w:val="00D419F8"/>
    <w:rsid w:val="00D41B77"/>
    <w:rsid w:val="00D41DC9"/>
    <w:rsid w:val="00D4205D"/>
    <w:rsid w:val="00D42289"/>
    <w:rsid w:val="00D4252D"/>
    <w:rsid w:val="00D42685"/>
    <w:rsid w:val="00D42902"/>
    <w:rsid w:val="00D4299C"/>
    <w:rsid w:val="00D42A22"/>
    <w:rsid w:val="00D42AE4"/>
    <w:rsid w:val="00D42B1F"/>
    <w:rsid w:val="00D42FC8"/>
    <w:rsid w:val="00D4327C"/>
    <w:rsid w:val="00D4342E"/>
    <w:rsid w:val="00D434C1"/>
    <w:rsid w:val="00D4355D"/>
    <w:rsid w:val="00D436D6"/>
    <w:rsid w:val="00D43838"/>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BFA"/>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2CD"/>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02"/>
    <w:rsid w:val="00D55EC2"/>
    <w:rsid w:val="00D56104"/>
    <w:rsid w:val="00D562E4"/>
    <w:rsid w:val="00D5632D"/>
    <w:rsid w:val="00D56668"/>
    <w:rsid w:val="00D56BBC"/>
    <w:rsid w:val="00D56DC8"/>
    <w:rsid w:val="00D571C2"/>
    <w:rsid w:val="00D5731B"/>
    <w:rsid w:val="00D5731F"/>
    <w:rsid w:val="00D57766"/>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288"/>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D0F"/>
    <w:rsid w:val="00D61DC0"/>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0D"/>
    <w:rsid w:val="00D63E54"/>
    <w:rsid w:val="00D6403E"/>
    <w:rsid w:val="00D64142"/>
    <w:rsid w:val="00D645EC"/>
    <w:rsid w:val="00D646A9"/>
    <w:rsid w:val="00D646F4"/>
    <w:rsid w:val="00D647B8"/>
    <w:rsid w:val="00D648B8"/>
    <w:rsid w:val="00D651FC"/>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10"/>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30"/>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31"/>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86"/>
    <w:rsid w:val="00D841A8"/>
    <w:rsid w:val="00D8469F"/>
    <w:rsid w:val="00D846E7"/>
    <w:rsid w:val="00D8485A"/>
    <w:rsid w:val="00D84AB7"/>
    <w:rsid w:val="00D84CF0"/>
    <w:rsid w:val="00D84D6A"/>
    <w:rsid w:val="00D84DD6"/>
    <w:rsid w:val="00D852EC"/>
    <w:rsid w:val="00D8533B"/>
    <w:rsid w:val="00D855CF"/>
    <w:rsid w:val="00D85942"/>
    <w:rsid w:val="00D85CB6"/>
    <w:rsid w:val="00D8615E"/>
    <w:rsid w:val="00D86240"/>
    <w:rsid w:val="00D8627B"/>
    <w:rsid w:val="00D8653D"/>
    <w:rsid w:val="00D86588"/>
    <w:rsid w:val="00D86907"/>
    <w:rsid w:val="00D86A8A"/>
    <w:rsid w:val="00D86D62"/>
    <w:rsid w:val="00D86EC6"/>
    <w:rsid w:val="00D86FFA"/>
    <w:rsid w:val="00D8707E"/>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0B3"/>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791"/>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AF3"/>
    <w:rsid w:val="00D97C0A"/>
    <w:rsid w:val="00D97DAA"/>
    <w:rsid w:val="00D97EB4"/>
    <w:rsid w:val="00DA0078"/>
    <w:rsid w:val="00DA018D"/>
    <w:rsid w:val="00DA0259"/>
    <w:rsid w:val="00DA02D1"/>
    <w:rsid w:val="00DA10E1"/>
    <w:rsid w:val="00DA12B1"/>
    <w:rsid w:val="00DA1766"/>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29D"/>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3D"/>
    <w:rsid w:val="00DB0D8F"/>
    <w:rsid w:val="00DB1192"/>
    <w:rsid w:val="00DB12C2"/>
    <w:rsid w:val="00DB13ED"/>
    <w:rsid w:val="00DB13F3"/>
    <w:rsid w:val="00DB1666"/>
    <w:rsid w:val="00DB1B8E"/>
    <w:rsid w:val="00DB1C7C"/>
    <w:rsid w:val="00DB1CF7"/>
    <w:rsid w:val="00DB1CF8"/>
    <w:rsid w:val="00DB1D67"/>
    <w:rsid w:val="00DB1F48"/>
    <w:rsid w:val="00DB21EB"/>
    <w:rsid w:val="00DB2247"/>
    <w:rsid w:val="00DB243C"/>
    <w:rsid w:val="00DB25EC"/>
    <w:rsid w:val="00DB2686"/>
    <w:rsid w:val="00DB341E"/>
    <w:rsid w:val="00DB34E0"/>
    <w:rsid w:val="00DB3623"/>
    <w:rsid w:val="00DB399C"/>
    <w:rsid w:val="00DB3A37"/>
    <w:rsid w:val="00DB3C3F"/>
    <w:rsid w:val="00DB41C2"/>
    <w:rsid w:val="00DB4261"/>
    <w:rsid w:val="00DB472B"/>
    <w:rsid w:val="00DB492D"/>
    <w:rsid w:val="00DB4A09"/>
    <w:rsid w:val="00DB4A66"/>
    <w:rsid w:val="00DB4B98"/>
    <w:rsid w:val="00DB4C24"/>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160"/>
    <w:rsid w:val="00DC3261"/>
    <w:rsid w:val="00DC3536"/>
    <w:rsid w:val="00DC38A7"/>
    <w:rsid w:val="00DC3A71"/>
    <w:rsid w:val="00DC3AE7"/>
    <w:rsid w:val="00DC3D51"/>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0D"/>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D28"/>
    <w:rsid w:val="00DD2E3D"/>
    <w:rsid w:val="00DD2F9A"/>
    <w:rsid w:val="00DD3334"/>
    <w:rsid w:val="00DD3605"/>
    <w:rsid w:val="00DD36AA"/>
    <w:rsid w:val="00DD37A4"/>
    <w:rsid w:val="00DD37C0"/>
    <w:rsid w:val="00DD39AA"/>
    <w:rsid w:val="00DD3BB9"/>
    <w:rsid w:val="00DD40A6"/>
    <w:rsid w:val="00DD40C0"/>
    <w:rsid w:val="00DD4321"/>
    <w:rsid w:val="00DD4406"/>
    <w:rsid w:val="00DD449F"/>
    <w:rsid w:val="00DD44EF"/>
    <w:rsid w:val="00DD4532"/>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12B"/>
    <w:rsid w:val="00DE1692"/>
    <w:rsid w:val="00DE18AE"/>
    <w:rsid w:val="00DE1C22"/>
    <w:rsid w:val="00DE1CDC"/>
    <w:rsid w:val="00DE23FF"/>
    <w:rsid w:val="00DE249D"/>
    <w:rsid w:val="00DE2804"/>
    <w:rsid w:val="00DE2AC1"/>
    <w:rsid w:val="00DE2CEF"/>
    <w:rsid w:val="00DE2D73"/>
    <w:rsid w:val="00DE2F65"/>
    <w:rsid w:val="00DE31EA"/>
    <w:rsid w:val="00DE3265"/>
    <w:rsid w:val="00DE36D4"/>
    <w:rsid w:val="00DE38E4"/>
    <w:rsid w:val="00DE3A0B"/>
    <w:rsid w:val="00DE3F06"/>
    <w:rsid w:val="00DE418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3F4"/>
    <w:rsid w:val="00DF05C8"/>
    <w:rsid w:val="00DF0768"/>
    <w:rsid w:val="00DF0B5C"/>
    <w:rsid w:val="00DF0C29"/>
    <w:rsid w:val="00DF0C96"/>
    <w:rsid w:val="00DF0CCA"/>
    <w:rsid w:val="00DF0FD9"/>
    <w:rsid w:val="00DF15B0"/>
    <w:rsid w:val="00DF1795"/>
    <w:rsid w:val="00DF1A59"/>
    <w:rsid w:val="00DF1AED"/>
    <w:rsid w:val="00DF1CEE"/>
    <w:rsid w:val="00DF1DE8"/>
    <w:rsid w:val="00DF1EBE"/>
    <w:rsid w:val="00DF1FA6"/>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58E"/>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03"/>
    <w:rsid w:val="00E0016F"/>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69"/>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57A"/>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10"/>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AD"/>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27"/>
    <w:rsid w:val="00E323B2"/>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60"/>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40D"/>
    <w:rsid w:val="00E44540"/>
    <w:rsid w:val="00E447EA"/>
    <w:rsid w:val="00E44869"/>
    <w:rsid w:val="00E448D9"/>
    <w:rsid w:val="00E44986"/>
    <w:rsid w:val="00E449A7"/>
    <w:rsid w:val="00E44A19"/>
    <w:rsid w:val="00E44BB5"/>
    <w:rsid w:val="00E44E46"/>
    <w:rsid w:val="00E44F01"/>
    <w:rsid w:val="00E45189"/>
    <w:rsid w:val="00E453DF"/>
    <w:rsid w:val="00E45505"/>
    <w:rsid w:val="00E455BA"/>
    <w:rsid w:val="00E45678"/>
    <w:rsid w:val="00E4567D"/>
    <w:rsid w:val="00E4568E"/>
    <w:rsid w:val="00E458D8"/>
    <w:rsid w:val="00E45C9E"/>
    <w:rsid w:val="00E46075"/>
    <w:rsid w:val="00E4608C"/>
    <w:rsid w:val="00E464F0"/>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B67"/>
    <w:rsid w:val="00E47BAC"/>
    <w:rsid w:val="00E47C75"/>
    <w:rsid w:val="00E47C90"/>
    <w:rsid w:val="00E47D82"/>
    <w:rsid w:val="00E47FB4"/>
    <w:rsid w:val="00E500B7"/>
    <w:rsid w:val="00E50193"/>
    <w:rsid w:val="00E50376"/>
    <w:rsid w:val="00E50450"/>
    <w:rsid w:val="00E504B2"/>
    <w:rsid w:val="00E50554"/>
    <w:rsid w:val="00E506A1"/>
    <w:rsid w:val="00E50709"/>
    <w:rsid w:val="00E5076B"/>
    <w:rsid w:val="00E507C5"/>
    <w:rsid w:val="00E507CF"/>
    <w:rsid w:val="00E50BE6"/>
    <w:rsid w:val="00E50D06"/>
    <w:rsid w:val="00E50EBF"/>
    <w:rsid w:val="00E51329"/>
    <w:rsid w:val="00E51351"/>
    <w:rsid w:val="00E513C9"/>
    <w:rsid w:val="00E515B5"/>
    <w:rsid w:val="00E51875"/>
    <w:rsid w:val="00E519CC"/>
    <w:rsid w:val="00E51BA9"/>
    <w:rsid w:val="00E51E56"/>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19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068"/>
    <w:rsid w:val="00E562E2"/>
    <w:rsid w:val="00E5659C"/>
    <w:rsid w:val="00E568D0"/>
    <w:rsid w:val="00E56965"/>
    <w:rsid w:val="00E56C80"/>
    <w:rsid w:val="00E56D16"/>
    <w:rsid w:val="00E57172"/>
    <w:rsid w:val="00E5730B"/>
    <w:rsid w:val="00E5774E"/>
    <w:rsid w:val="00E5777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16"/>
    <w:rsid w:val="00E64A4A"/>
    <w:rsid w:val="00E64D54"/>
    <w:rsid w:val="00E64FEE"/>
    <w:rsid w:val="00E65220"/>
    <w:rsid w:val="00E6537E"/>
    <w:rsid w:val="00E65702"/>
    <w:rsid w:val="00E65ACA"/>
    <w:rsid w:val="00E65E3D"/>
    <w:rsid w:val="00E65EF6"/>
    <w:rsid w:val="00E65EFA"/>
    <w:rsid w:val="00E65EFE"/>
    <w:rsid w:val="00E65FFE"/>
    <w:rsid w:val="00E66293"/>
    <w:rsid w:val="00E66479"/>
    <w:rsid w:val="00E667E3"/>
    <w:rsid w:val="00E669C1"/>
    <w:rsid w:val="00E66E5F"/>
    <w:rsid w:val="00E670A6"/>
    <w:rsid w:val="00E671D5"/>
    <w:rsid w:val="00E673CC"/>
    <w:rsid w:val="00E674AE"/>
    <w:rsid w:val="00E67716"/>
    <w:rsid w:val="00E67749"/>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EAB"/>
    <w:rsid w:val="00E71F09"/>
    <w:rsid w:val="00E72209"/>
    <w:rsid w:val="00E728FE"/>
    <w:rsid w:val="00E72E73"/>
    <w:rsid w:val="00E72F88"/>
    <w:rsid w:val="00E7334E"/>
    <w:rsid w:val="00E73637"/>
    <w:rsid w:val="00E7366C"/>
    <w:rsid w:val="00E738C6"/>
    <w:rsid w:val="00E739D4"/>
    <w:rsid w:val="00E73A47"/>
    <w:rsid w:val="00E73B3D"/>
    <w:rsid w:val="00E73BA1"/>
    <w:rsid w:val="00E73C20"/>
    <w:rsid w:val="00E73EC9"/>
    <w:rsid w:val="00E740BE"/>
    <w:rsid w:val="00E741AD"/>
    <w:rsid w:val="00E74287"/>
    <w:rsid w:val="00E74362"/>
    <w:rsid w:val="00E743DB"/>
    <w:rsid w:val="00E744A0"/>
    <w:rsid w:val="00E74679"/>
    <w:rsid w:val="00E74B7C"/>
    <w:rsid w:val="00E74DB2"/>
    <w:rsid w:val="00E74DCD"/>
    <w:rsid w:val="00E74F94"/>
    <w:rsid w:val="00E7514D"/>
    <w:rsid w:val="00E751CF"/>
    <w:rsid w:val="00E7529B"/>
    <w:rsid w:val="00E75387"/>
    <w:rsid w:val="00E754BC"/>
    <w:rsid w:val="00E75872"/>
    <w:rsid w:val="00E7596F"/>
    <w:rsid w:val="00E75ADC"/>
    <w:rsid w:val="00E75D06"/>
    <w:rsid w:val="00E75D9B"/>
    <w:rsid w:val="00E75EF2"/>
    <w:rsid w:val="00E7608A"/>
    <w:rsid w:val="00E7667C"/>
    <w:rsid w:val="00E769E0"/>
    <w:rsid w:val="00E76A29"/>
    <w:rsid w:val="00E77248"/>
    <w:rsid w:val="00E773FA"/>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1CA"/>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57"/>
    <w:rsid w:val="00E86246"/>
    <w:rsid w:val="00E86506"/>
    <w:rsid w:val="00E867C7"/>
    <w:rsid w:val="00E86B25"/>
    <w:rsid w:val="00E86C3F"/>
    <w:rsid w:val="00E86DF7"/>
    <w:rsid w:val="00E86E81"/>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6C3"/>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188"/>
    <w:rsid w:val="00EA429C"/>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C3"/>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862"/>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00"/>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2BF"/>
    <w:rsid w:val="00EC1494"/>
    <w:rsid w:val="00EC1551"/>
    <w:rsid w:val="00EC1572"/>
    <w:rsid w:val="00EC158A"/>
    <w:rsid w:val="00EC1743"/>
    <w:rsid w:val="00EC17D1"/>
    <w:rsid w:val="00EC1993"/>
    <w:rsid w:val="00EC19AE"/>
    <w:rsid w:val="00EC2123"/>
    <w:rsid w:val="00EC2364"/>
    <w:rsid w:val="00EC25F1"/>
    <w:rsid w:val="00EC266E"/>
    <w:rsid w:val="00EC29CF"/>
    <w:rsid w:val="00EC2AD3"/>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0FC"/>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24"/>
    <w:rsid w:val="00EE124F"/>
    <w:rsid w:val="00EE1498"/>
    <w:rsid w:val="00EE18CA"/>
    <w:rsid w:val="00EE1AB9"/>
    <w:rsid w:val="00EE1D80"/>
    <w:rsid w:val="00EE1E3E"/>
    <w:rsid w:val="00EE2251"/>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099"/>
    <w:rsid w:val="00EE6104"/>
    <w:rsid w:val="00EE625B"/>
    <w:rsid w:val="00EE6500"/>
    <w:rsid w:val="00EE6984"/>
    <w:rsid w:val="00EE69A4"/>
    <w:rsid w:val="00EE6AEC"/>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0F58"/>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81E"/>
    <w:rsid w:val="00EF4A02"/>
    <w:rsid w:val="00EF4CD2"/>
    <w:rsid w:val="00EF4E7D"/>
    <w:rsid w:val="00EF4FE3"/>
    <w:rsid w:val="00EF5016"/>
    <w:rsid w:val="00EF51F9"/>
    <w:rsid w:val="00EF5581"/>
    <w:rsid w:val="00EF565C"/>
    <w:rsid w:val="00EF58B7"/>
    <w:rsid w:val="00EF5AD7"/>
    <w:rsid w:val="00EF5BE3"/>
    <w:rsid w:val="00EF5C38"/>
    <w:rsid w:val="00EF61A4"/>
    <w:rsid w:val="00EF63E3"/>
    <w:rsid w:val="00EF6455"/>
    <w:rsid w:val="00EF67EB"/>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DFE"/>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C43"/>
    <w:rsid w:val="00F06DA4"/>
    <w:rsid w:val="00F07D4F"/>
    <w:rsid w:val="00F07DC2"/>
    <w:rsid w:val="00F07F24"/>
    <w:rsid w:val="00F07F33"/>
    <w:rsid w:val="00F10609"/>
    <w:rsid w:val="00F10634"/>
    <w:rsid w:val="00F1090C"/>
    <w:rsid w:val="00F10AE7"/>
    <w:rsid w:val="00F1100F"/>
    <w:rsid w:val="00F11146"/>
    <w:rsid w:val="00F11220"/>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7E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D64"/>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773"/>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3"/>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2E6"/>
    <w:rsid w:val="00F307F2"/>
    <w:rsid w:val="00F308EE"/>
    <w:rsid w:val="00F30BC5"/>
    <w:rsid w:val="00F30BEF"/>
    <w:rsid w:val="00F30C70"/>
    <w:rsid w:val="00F30FF1"/>
    <w:rsid w:val="00F310B4"/>
    <w:rsid w:val="00F31185"/>
    <w:rsid w:val="00F3124C"/>
    <w:rsid w:val="00F31511"/>
    <w:rsid w:val="00F317F5"/>
    <w:rsid w:val="00F31B00"/>
    <w:rsid w:val="00F31B12"/>
    <w:rsid w:val="00F31BA5"/>
    <w:rsid w:val="00F31CE6"/>
    <w:rsid w:val="00F31EE4"/>
    <w:rsid w:val="00F3215B"/>
    <w:rsid w:val="00F32644"/>
    <w:rsid w:val="00F32981"/>
    <w:rsid w:val="00F32A9F"/>
    <w:rsid w:val="00F32D78"/>
    <w:rsid w:val="00F3322C"/>
    <w:rsid w:val="00F332A7"/>
    <w:rsid w:val="00F33455"/>
    <w:rsid w:val="00F3347C"/>
    <w:rsid w:val="00F334B5"/>
    <w:rsid w:val="00F33659"/>
    <w:rsid w:val="00F33822"/>
    <w:rsid w:val="00F33C9E"/>
    <w:rsid w:val="00F3425B"/>
    <w:rsid w:val="00F346FE"/>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5A"/>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9E4"/>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ABD"/>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F6E"/>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94"/>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0C7"/>
    <w:rsid w:val="00F9410B"/>
    <w:rsid w:val="00F94147"/>
    <w:rsid w:val="00F94214"/>
    <w:rsid w:val="00F943B5"/>
    <w:rsid w:val="00F94563"/>
    <w:rsid w:val="00F9484F"/>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8FF"/>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B1"/>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37"/>
    <w:rsid w:val="00FC196A"/>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76"/>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41"/>
    <w:rsid w:val="00FD0983"/>
    <w:rsid w:val="00FD0C03"/>
    <w:rsid w:val="00FD0E27"/>
    <w:rsid w:val="00FD0E2F"/>
    <w:rsid w:val="00FD0EF6"/>
    <w:rsid w:val="00FD1024"/>
    <w:rsid w:val="00FD1104"/>
    <w:rsid w:val="00FD1300"/>
    <w:rsid w:val="00FD1458"/>
    <w:rsid w:val="00FD157C"/>
    <w:rsid w:val="00FD179D"/>
    <w:rsid w:val="00FD1945"/>
    <w:rsid w:val="00FD1A4A"/>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11"/>
    <w:rsid w:val="00FD56D4"/>
    <w:rsid w:val="00FD5982"/>
    <w:rsid w:val="00FD59F8"/>
    <w:rsid w:val="00FD5B63"/>
    <w:rsid w:val="00FD5B91"/>
    <w:rsid w:val="00FD5BD3"/>
    <w:rsid w:val="00FD5D9B"/>
    <w:rsid w:val="00FD6143"/>
    <w:rsid w:val="00FD649F"/>
    <w:rsid w:val="00FD660F"/>
    <w:rsid w:val="00FD6649"/>
    <w:rsid w:val="00FD699B"/>
    <w:rsid w:val="00FD6A48"/>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3DB"/>
    <w:rsid w:val="00FE26C1"/>
    <w:rsid w:val="00FE2842"/>
    <w:rsid w:val="00FE295B"/>
    <w:rsid w:val="00FE2F7A"/>
    <w:rsid w:val="00FE30B6"/>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31"/>
    <w:rsid w:val="00FE5980"/>
    <w:rsid w:val="00FE5C69"/>
    <w:rsid w:val="00FE609C"/>
    <w:rsid w:val="00FE6230"/>
    <w:rsid w:val="00FE6468"/>
    <w:rsid w:val="00FE6646"/>
    <w:rsid w:val="00FE669B"/>
    <w:rsid w:val="00FE6DD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2C2E"/>
    <w:rsid w:val="00FF313B"/>
    <w:rsid w:val="00FF31A1"/>
    <w:rsid w:val="00FF34C8"/>
    <w:rsid w:val="00FF36BD"/>
    <w:rsid w:val="00FF381C"/>
    <w:rsid w:val="00FF3A8F"/>
    <w:rsid w:val="00FF3B13"/>
    <w:rsid w:val="00FF3B76"/>
    <w:rsid w:val="00FF3CCA"/>
    <w:rsid w:val="00FF3F58"/>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772"/>
    <w:rsid w:val="00FF7989"/>
    <w:rsid w:val="00FF7D03"/>
    <w:rsid w:val="00FF7FB4"/>
    <w:rsid w:val="01A11655"/>
    <w:rsid w:val="04ED2D68"/>
    <w:rsid w:val="05531881"/>
    <w:rsid w:val="056E4DFB"/>
    <w:rsid w:val="05C263D6"/>
    <w:rsid w:val="067E00EF"/>
    <w:rsid w:val="0724605B"/>
    <w:rsid w:val="073808B8"/>
    <w:rsid w:val="0892743D"/>
    <w:rsid w:val="09D34FCD"/>
    <w:rsid w:val="0ABE65BF"/>
    <w:rsid w:val="0AF116D3"/>
    <w:rsid w:val="0B660C1A"/>
    <w:rsid w:val="0BD27616"/>
    <w:rsid w:val="0DC34551"/>
    <w:rsid w:val="0DE15688"/>
    <w:rsid w:val="0DF608D2"/>
    <w:rsid w:val="0E44198B"/>
    <w:rsid w:val="0E813EEC"/>
    <w:rsid w:val="0ED943E6"/>
    <w:rsid w:val="0F2B075C"/>
    <w:rsid w:val="10DE353E"/>
    <w:rsid w:val="10FF65C5"/>
    <w:rsid w:val="134922D7"/>
    <w:rsid w:val="17F93E0B"/>
    <w:rsid w:val="18147845"/>
    <w:rsid w:val="186A19AA"/>
    <w:rsid w:val="1A98332F"/>
    <w:rsid w:val="1B235F72"/>
    <w:rsid w:val="1C14797D"/>
    <w:rsid w:val="1C455CA5"/>
    <w:rsid w:val="1D14403F"/>
    <w:rsid w:val="1D266AB4"/>
    <w:rsid w:val="1D2C69D2"/>
    <w:rsid w:val="1D321542"/>
    <w:rsid w:val="1D4704EB"/>
    <w:rsid w:val="1E356854"/>
    <w:rsid w:val="1E9F17E9"/>
    <w:rsid w:val="20B77406"/>
    <w:rsid w:val="239E00B4"/>
    <w:rsid w:val="251E74A4"/>
    <w:rsid w:val="26236DC3"/>
    <w:rsid w:val="27843CE5"/>
    <w:rsid w:val="286C24B7"/>
    <w:rsid w:val="28BC2D47"/>
    <w:rsid w:val="29A6329B"/>
    <w:rsid w:val="2BF67536"/>
    <w:rsid w:val="2C064565"/>
    <w:rsid w:val="2E45236B"/>
    <w:rsid w:val="2E592A2C"/>
    <w:rsid w:val="31BD5518"/>
    <w:rsid w:val="327C5DB9"/>
    <w:rsid w:val="32EB653A"/>
    <w:rsid w:val="35D56F96"/>
    <w:rsid w:val="3684139C"/>
    <w:rsid w:val="383A0B03"/>
    <w:rsid w:val="3B8A6780"/>
    <w:rsid w:val="3BCB6780"/>
    <w:rsid w:val="412F31D0"/>
    <w:rsid w:val="42523F08"/>
    <w:rsid w:val="42CD0A98"/>
    <w:rsid w:val="431A0C09"/>
    <w:rsid w:val="4403089E"/>
    <w:rsid w:val="454C3CB1"/>
    <w:rsid w:val="45FF2D13"/>
    <w:rsid w:val="46111F20"/>
    <w:rsid w:val="46B06242"/>
    <w:rsid w:val="476D1814"/>
    <w:rsid w:val="4771604B"/>
    <w:rsid w:val="47822EA7"/>
    <w:rsid w:val="480E2158"/>
    <w:rsid w:val="4A2D6AB4"/>
    <w:rsid w:val="4A4906B1"/>
    <w:rsid w:val="4B09762A"/>
    <w:rsid w:val="4B65373A"/>
    <w:rsid w:val="4B6C4979"/>
    <w:rsid w:val="4B797B0F"/>
    <w:rsid w:val="4D00163A"/>
    <w:rsid w:val="4F0F5BE3"/>
    <w:rsid w:val="512F180E"/>
    <w:rsid w:val="52422029"/>
    <w:rsid w:val="544D2950"/>
    <w:rsid w:val="55040901"/>
    <w:rsid w:val="55D42E78"/>
    <w:rsid w:val="56DF05DE"/>
    <w:rsid w:val="57FC6189"/>
    <w:rsid w:val="589F179B"/>
    <w:rsid w:val="58BA6FBD"/>
    <w:rsid w:val="5BEC5B6A"/>
    <w:rsid w:val="5C3B55D9"/>
    <w:rsid w:val="5CA00C74"/>
    <w:rsid w:val="5D37660E"/>
    <w:rsid w:val="5DD341C3"/>
    <w:rsid w:val="5EAD33EC"/>
    <w:rsid w:val="5F073306"/>
    <w:rsid w:val="5F5F73B9"/>
    <w:rsid w:val="61A80B34"/>
    <w:rsid w:val="61ED617C"/>
    <w:rsid w:val="628D52AE"/>
    <w:rsid w:val="63862349"/>
    <w:rsid w:val="64102049"/>
    <w:rsid w:val="6838144E"/>
    <w:rsid w:val="68535CCF"/>
    <w:rsid w:val="68AA7398"/>
    <w:rsid w:val="6A652D9D"/>
    <w:rsid w:val="6AB3504A"/>
    <w:rsid w:val="6CDC7AA6"/>
    <w:rsid w:val="703B4D4B"/>
    <w:rsid w:val="7276464A"/>
    <w:rsid w:val="729C4BB7"/>
    <w:rsid w:val="73533AD5"/>
    <w:rsid w:val="742C597A"/>
    <w:rsid w:val="747B7383"/>
    <w:rsid w:val="75120D0B"/>
    <w:rsid w:val="7606550D"/>
    <w:rsid w:val="773C1FA3"/>
    <w:rsid w:val="7A4108A1"/>
    <w:rsid w:val="7C827930"/>
    <w:rsid w:val="7D307955"/>
    <w:rsid w:val="7D7F7357"/>
    <w:rsid w:val="7DAB401E"/>
    <w:rsid w:val="7EF5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8"/>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autoRedefine/>
    <w:qFormat/>
    <w:uiPriority w:val="0"/>
    <w:pPr>
      <w:keepNext/>
      <w:keepLines/>
      <w:adjustRightInd w:val="0"/>
      <w:spacing w:before="280" w:after="290" w:line="376" w:lineRule="atLeast"/>
      <w:textAlignment w:val="baseline"/>
      <w:outlineLvl w:val="3"/>
    </w:pPr>
    <w:rPr>
      <w:b/>
      <w:kern w:val="0"/>
      <w:sz w:val="24"/>
      <w:szCs w:val="20"/>
    </w:rPr>
  </w:style>
  <w:style w:type="paragraph" w:styleId="7">
    <w:name w:val="heading 5"/>
    <w:basedOn w:val="1"/>
    <w:next w:val="1"/>
    <w:link w:val="230"/>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tabs>
        <w:tab w:val="left" w:pos="360"/>
      </w:tabs>
    </w:pPr>
    <w:rPr>
      <w:sz w:val="24"/>
    </w:rPr>
  </w:style>
  <w:style w:type="paragraph" w:styleId="12">
    <w:name w:val="toc 7"/>
    <w:basedOn w:val="1"/>
    <w:next w:val="1"/>
    <w:qFormat/>
    <w:uiPriority w:val="0"/>
    <w:pPr>
      <w:ind w:left="2520" w:leftChars="1200"/>
    </w:pPr>
  </w:style>
  <w:style w:type="paragraph" w:styleId="13">
    <w:name w:val="Normal Indent"/>
    <w:basedOn w:val="1"/>
    <w:link w:val="62"/>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235"/>
    <w:qFormat/>
    <w:uiPriority w:val="0"/>
    <w:pPr>
      <w:shd w:val="clear" w:color="auto" w:fill="000080"/>
    </w:pPr>
  </w:style>
  <w:style w:type="paragraph" w:styleId="16">
    <w:name w:val="annotation text"/>
    <w:basedOn w:val="1"/>
    <w:link w:val="181"/>
    <w:qFormat/>
    <w:uiPriority w:val="99"/>
    <w:pPr>
      <w:jc w:val="left"/>
    </w:pPr>
  </w:style>
  <w:style w:type="paragraph" w:styleId="17">
    <w:name w:val="Body Text 3"/>
    <w:basedOn w:val="1"/>
    <w:link w:val="236"/>
    <w:autoRedefine/>
    <w:qFormat/>
    <w:uiPriority w:val="0"/>
    <w:pPr>
      <w:spacing w:after="120"/>
    </w:pPr>
    <w:rPr>
      <w:sz w:val="16"/>
      <w:szCs w:val="16"/>
    </w:rPr>
  </w:style>
  <w:style w:type="paragraph" w:styleId="18">
    <w:name w:val="Body Text"/>
    <w:basedOn w:val="1"/>
    <w:link w:val="237"/>
    <w:autoRedefine/>
    <w:qFormat/>
    <w:uiPriority w:val="0"/>
    <w:pPr>
      <w:tabs>
        <w:tab w:val="left" w:pos="567"/>
      </w:tabs>
      <w:spacing w:before="120" w:line="22" w:lineRule="atLeast"/>
    </w:pPr>
    <w:rPr>
      <w:rFonts w:ascii="宋体" w:hAnsi="宋体"/>
      <w:sz w:val="24"/>
    </w:rPr>
  </w:style>
  <w:style w:type="paragraph" w:styleId="19">
    <w:name w:val="Body Text Indent"/>
    <w:basedOn w:val="1"/>
    <w:link w:val="67"/>
    <w:autoRedefine/>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201"/>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238"/>
    <w:qFormat/>
    <w:uiPriority w:val="0"/>
    <w:pPr>
      <w:ind w:left="100" w:leftChars="2500"/>
    </w:pPr>
    <w:rPr>
      <w:rFonts w:ascii="仿宋_GB2312" w:hAnsi="宋体" w:eastAsia="仿宋_GB2312"/>
      <w:color w:val="000000"/>
      <w:sz w:val="24"/>
    </w:rPr>
  </w:style>
  <w:style w:type="paragraph" w:styleId="27">
    <w:name w:val="Body Text Indent 2"/>
    <w:basedOn w:val="1"/>
    <w:link w:val="239"/>
    <w:qFormat/>
    <w:uiPriority w:val="0"/>
    <w:pPr>
      <w:ind w:firstLine="480" w:firstLineChars="200"/>
    </w:pPr>
    <w:rPr>
      <w:rFonts w:ascii="仿宋_GB2312" w:eastAsia="仿宋_GB2312"/>
      <w:sz w:val="24"/>
    </w:rPr>
  </w:style>
  <w:style w:type="paragraph" w:styleId="28">
    <w:name w:val="Balloon Text"/>
    <w:basedOn w:val="1"/>
    <w:link w:val="240"/>
    <w:autoRedefine/>
    <w:qFormat/>
    <w:uiPriority w:val="0"/>
    <w:rPr>
      <w:sz w:val="18"/>
      <w:szCs w:val="18"/>
    </w:rPr>
  </w:style>
  <w:style w:type="paragraph" w:styleId="29">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24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HTML Preformatted"/>
    <w:basedOn w:val="1"/>
    <w:link w:val="2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187"/>
    <w:autoRedefine/>
    <w:qFormat/>
    <w:uiPriority w:val="0"/>
    <w:pPr>
      <w:jc w:val="center"/>
      <w:outlineLvl w:val="0"/>
    </w:pPr>
    <w:rPr>
      <w:b/>
      <w:sz w:val="32"/>
      <w:szCs w:val="20"/>
    </w:rPr>
  </w:style>
  <w:style w:type="paragraph" w:styleId="41">
    <w:name w:val="annotation subject"/>
    <w:basedOn w:val="16"/>
    <w:next w:val="16"/>
    <w:link w:val="243"/>
    <w:autoRedefine/>
    <w:qFormat/>
    <w:uiPriority w:val="0"/>
    <w:rPr>
      <w:b/>
      <w:bCs/>
    </w:rPr>
  </w:style>
  <w:style w:type="paragraph" w:styleId="42">
    <w:name w:val="Body Text First Indent 2"/>
    <w:basedOn w:val="19"/>
    <w:link w:val="244"/>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character" w:customStyle="1" w:styleId="54">
    <w:name w:val="标题 2 字符"/>
    <w:link w:val="4"/>
    <w:autoRedefine/>
    <w:qFormat/>
    <w:uiPriority w:val="0"/>
    <w:rPr>
      <w:rFonts w:ascii="Arial" w:hAnsi="Arial" w:eastAsia="黑体"/>
      <w:b/>
      <w:sz w:val="30"/>
      <w:lang w:val="en-US" w:eastAsia="zh-CN" w:bidi="ar-SA"/>
    </w:rPr>
  </w:style>
  <w:style w:type="character" w:customStyle="1" w:styleId="55">
    <w:name w:val="标题 3 字符"/>
    <w:link w:val="5"/>
    <w:autoRedefine/>
    <w:qFormat/>
    <w:uiPriority w:val="0"/>
    <w:rPr>
      <w:rFonts w:ascii="宋体" w:eastAsia="宋体"/>
      <w:b/>
      <w:sz w:val="24"/>
      <w:u w:val="single"/>
      <w:lang w:val="en-US" w:eastAsia="zh-CN" w:bidi="ar-SA"/>
    </w:rPr>
  </w:style>
  <w:style w:type="character" w:customStyle="1" w:styleId="56">
    <w:name w:val="c21"/>
    <w:autoRedefine/>
    <w:qFormat/>
    <w:uiPriority w:val="0"/>
    <w:rPr>
      <w:rFonts w:hint="default" w:ascii="ˎ̥" w:hAnsi="ˎ̥"/>
      <w:color w:val="000000"/>
      <w:sz w:val="20"/>
      <w:szCs w:val="20"/>
      <w:u w:val="none"/>
    </w:rPr>
  </w:style>
  <w:style w:type="character" w:customStyle="1" w:styleId="57">
    <w:name w:val="title4"/>
    <w:autoRedefine/>
    <w:qFormat/>
    <w:uiPriority w:val="0"/>
    <w:rPr>
      <w:b/>
      <w:bCs/>
      <w:color w:val="1D87B3"/>
      <w:sz w:val="15"/>
      <w:szCs w:val="15"/>
    </w:rPr>
  </w:style>
  <w:style w:type="character" w:customStyle="1" w:styleId="58">
    <w:name w:val="标题 2 Char Char"/>
    <w:autoRedefine/>
    <w:qFormat/>
    <w:uiPriority w:val="0"/>
    <w:rPr>
      <w:rFonts w:ascii="Arial" w:hAnsi="Arial" w:eastAsia="黑体"/>
      <w:b/>
      <w:bCs/>
      <w:kern w:val="2"/>
      <w:sz w:val="32"/>
      <w:szCs w:val="32"/>
      <w:lang w:val="en-US" w:eastAsia="zh-CN" w:bidi="ar-SA"/>
    </w:rPr>
  </w:style>
  <w:style w:type="character" w:customStyle="1" w:styleId="59">
    <w:name w:val="black1"/>
    <w:autoRedefine/>
    <w:qFormat/>
    <w:uiPriority w:val="0"/>
    <w:rPr>
      <w:color w:val="000000"/>
    </w:rPr>
  </w:style>
  <w:style w:type="character" w:customStyle="1" w:styleId="60">
    <w:name w:val="street-address"/>
    <w:basedOn w:val="46"/>
    <w:autoRedefine/>
    <w:qFormat/>
    <w:uiPriority w:val="0"/>
  </w:style>
  <w:style w:type="character" w:customStyle="1" w:styleId="61">
    <w:name w:val="locality"/>
    <w:basedOn w:val="46"/>
    <w:autoRedefine/>
    <w:qFormat/>
    <w:uiPriority w:val="0"/>
  </w:style>
  <w:style w:type="character" w:customStyle="1" w:styleId="62">
    <w:name w:val="正文缩进 字符"/>
    <w:link w:val="13"/>
    <w:autoRedefine/>
    <w:qFormat/>
    <w:uiPriority w:val="0"/>
    <w:rPr>
      <w:rFonts w:ascii="宋体" w:eastAsia="宋体"/>
      <w:kern w:val="2"/>
      <w:sz w:val="24"/>
      <w:szCs w:val="24"/>
      <w:lang w:val="en-US" w:eastAsia="zh-CN" w:bidi="ar-SA"/>
    </w:rPr>
  </w:style>
  <w:style w:type="character" w:customStyle="1" w:styleId="63">
    <w:name w:val="正文文本缩进 Char1"/>
    <w:link w:val="64"/>
    <w:autoRedefine/>
    <w:qFormat/>
    <w:uiPriority w:val="0"/>
    <w:rPr>
      <w:rFonts w:ascii="宋体" w:hAnsi="宋体" w:eastAsia="宋体"/>
      <w:sz w:val="24"/>
      <w:szCs w:val="24"/>
      <w:lang w:bidi="ar-SA"/>
    </w:rPr>
  </w:style>
  <w:style w:type="paragraph" w:customStyle="1" w:styleId="64">
    <w:name w:val="正文文本缩进1"/>
    <w:basedOn w:val="1"/>
    <w:link w:val="63"/>
    <w:autoRedefine/>
    <w:qFormat/>
    <w:uiPriority w:val="0"/>
    <w:pPr>
      <w:spacing w:line="480" w:lineRule="exact"/>
      <w:ind w:firstLine="480" w:firstLineChars="200"/>
    </w:pPr>
    <w:rPr>
      <w:rFonts w:ascii="宋体" w:hAnsi="宋体"/>
      <w:kern w:val="0"/>
      <w:sz w:val="24"/>
    </w:rPr>
  </w:style>
  <w:style w:type="character" w:customStyle="1" w:styleId="65">
    <w:name w:val="Char Char11"/>
    <w:autoRedefine/>
    <w:qFormat/>
    <w:uiPriority w:val="0"/>
    <w:rPr>
      <w:rFonts w:ascii="宋体" w:eastAsia="宋体"/>
      <w:b/>
      <w:sz w:val="24"/>
      <w:u w:val="single"/>
      <w:lang w:val="en-US" w:eastAsia="zh-CN" w:bidi="ar-SA"/>
    </w:rPr>
  </w:style>
  <w:style w:type="character" w:customStyle="1" w:styleId="66">
    <w:name w:val="txt"/>
    <w:basedOn w:val="46"/>
    <w:autoRedefine/>
    <w:qFormat/>
    <w:uiPriority w:val="0"/>
  </w:style>
  <w:style w:type="character" w:customStyle="1" w:styleId="67">
    <w:name w:val="正文文本缩进 字符"/>
    <w:link w:val="19"/>
    <w:autoRedefine/>
    <w:qFormat/>
    <w:uiPriority w:val="0"/>
    <w:rPr>
      <w:rFonts w:eastAsia="宋体"/>
      <w:kern w:val="2"/>
      <w:sz w:val="24"/>
      <w:szCs w:val="24"/>
      <w:lang w:val="en-US" w:eastAsia="zh-CN" w:bidi="ar-SA"/>
    </w:rPr>
  </w:style>
  <w:style w:type="character" w:customStyle="1" w:styleId="68">
    <w:name w:val="正文缩进 Char Char"/>
    <w:link w:val="69"/>
    <w:autoRedefine/>
    <w:qFormat/>
    <w:uiPriority w:val="0"/>
    <w:rPr>
      <w:rFonts w:ascii="宋体" w:eastAsia="宋体"/>
      <w:snapToGrid w:val="0"/>
      <w:color w:val="000000"/>
      <w:kern w:val="28"/>
      <w:sz w:val="28"/>
      <w:lang w:bidi="ar-SA"/>
    </w:rPr>
  </w:style>
  <w:style w:type="paragraph" w:customStyle="1" w:styleId="69">
    <w:name w:val="正文缩进1"/>
    <w:basedOn w:val="1"/>
    <w:link w:val="6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autoRedefine/>
    <w:qFormat/>
    <w:uiPriority w:val="0"/>
    <w:rPr>
      <w:rFonts w:ascii="宋体" w:hAnsi="Courier New" w:eastAsia="宋体"/>
      <w:kern w:val="2"/>
      <w:sz w:val="21"/>
      <w:lang w:val="en-US" w:eastAsia="zh-CN" w:bidi="ar-SA"/>
    </w:rPr>
  </w:style>
  <w:style w:type="character" w:customStyle="1" w:styleId="71">
    <w:name w:val="chanpin1"/>
    <w:autoRedefine/>
    <w:qFormat/>
    <w:uiPriority w:val="0"/>
    <w:rPr>
      <w:rFonts w:hint="default" w:ascii="ˎ̥" w:hAnsi="ˎ̥"/>
      <w:color w:val="000000"/>
      <w:sz w:val="20"/>
      <w:szCs w:val="20"/>
      <w:u w:val="none"/>
    </w:rPr>
  </w:style>
  <w:style w:type="character" w:customStyle="1" w:styleId="72">
    <w:name w:val="列表段落 字符"/>
    <w:link w:val="73"/>
    <w:autoRedefine/>
    <w:qFormat/>
    <w:uiPriority w:val="34"/>
    <w:rPr>
      <w:rFonts w:ascii="Calibri" w:hAnsi="Calibri" w:eastAsia="宋体"/>
      <w:kern w:val="2"/>
      <w:sz w:val="21"/>
      <w:szCs w:val="22"/>
      <w:lang w:val="en-US" w:eastAsia="zh-CN" w:bidi="ar-SA"/>
    </w:rPr>
  </w:style>
  <w:style w:type="paragraph" w:styleId="73">
    <w:name w:val="List Paragraph"/>
    <w:basedOn w:val="1"/>
    <w:link w:val="72"/>
    <w:autoRedefine/>
    <w:qFormat/>
    <w:uiPriority w:val="34"/>
    <w:pPr>
      <w:ind w:firstLine="420" w:firstLineChars="200"/>
    </w:pPr>
    <w:rPr>
      <w:rFonts w:ascii="Calibri" w:hAnsi="Calibri"/>
      <w:szCs w:val="22"/>
    </w:rPr>
  </w:style>
  <w:style w:type="character" w:customStyle="1" w:styleId="74">
    <w:name w:val="标题 3 Char Char"/>
    <w:autoRedefine/>
    <w:qFormat/>
    <w:uiPriority w:val="0"/>
    <w:rPr>
      <w:rFonts w:eastAsia="宋体"/>
      <w:b/>
      <w:bCs/>
      <w:kern w:val="2"/>
      <w:sz w:val="32"/>
      <w:szCs w:val="32"/>
      <w:lang w:val="en-US" w:eastAsia="zh-CN" w:bidi="ar-SA"/>
    </w:rPr>
  </w:style>
  <w:style w:type="character" w:customStyle="1" w:styleId="75">
    <w:name w:val="段1 Char"/>
    <w:autoRedefine/>
    <w:qFormat/>
    <w:uiPriority w:val="0"/>
    <w:rPr>
      <w:rFonts w:ascii="宋体" w:eastAsia="宋体"/>
      <w:sz w:val="24"/>
      <w:lang w:val="en-US" w:eastAsia="zh-CN" w:bidi="ar-SA"/>
    </w:rPr>
  </w:style>
  <w:style w:type="character" w:customStyle="1" w:styleId="76">
    <w:name w:val="页眉 字符"/>
    <w:link w:val="30"/>
    <w:autoRedefine/>
    <w:qFormat/>
    <w:uiPriority w:val="99"/>
    <w:rPr>
      <w:rFonts w:eastAsia="宋体"/>
      <w:kern w:val="2"/>
      <w:sz w:val="18"/>
      <w:szCs w:val="18"/>
      <w:lang w:val="en-US" w:eastAsia="zh-CN" w:bidi="ar-SA"/>
    </w:rPr>
  </w:style>
  <w:style w:type="character" w:customStyle="1" w:styleId="77">
    <w:name w:val="chanpin拷贝"/>
    <w:basedOn w:val="46"/>
    <w:autoRedefine/>
    <w:qFormat/>
    <w:uiPriority w:val="0"/>
  </w:style>
  <w:style w:type="character" w:customStyle="1" w:styleId="78">
    <w:name w:val="纯文本 Char1"/>
    <w:autoRedefine/>
    <w:qFormat/>
    <w:uiPriority w:val="0"/>
    <w:rPr>
      <w:rFonts w:ascii="宋体" w:hAnsi="Courier New" w:eastAsia="宋体"/>
      <w:kern w:val="2"/>
      <w:sz w:val="21"/>
      <w:lang w:val="en-US" w:eastAsia="zh-CN" w:bidi="ar-SA"/>
    </w:rPr>
  </w:style>
  <w:style w:type="character" w:customStyle="1" w:styleId="79">
    <w:name w:val="apple-style-span"/>
    <w:autoRedefine/>
    <w:qFormat/>
    <w:uiPriority w:val="0"/>
    <w:rPr>
      <w:rFonts w:cs="Times New Roman"/>
    </w:rPr>
  </w:style>
  <w:style w:type="paragraph" w:customStyle="1" w:styleId="80">
    <w:name w:val="二级条标题"/>
    <w:basedOn w:val="81"/>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autoRedefine/>
    <w:qFormat/>
    <w:uiPriority w:val="0"/>
    <w:pPr>
      <w:numPr>
        <w:ilvl w:val="1"/>
      </w:numPr>
      <w:tabs>
        <w:tab w:val="left" w:pos="360"/>
        <w:tab w:val="left" w:pos="840"/>
      </w:tabs>
      <w:ind w:left="0" w:hanging="840"/>
      <w:outlineLvl w:val="1"/>
    </w:pPr>
  </w:style>
  <w:style w:type="paragraph" w:customStyle="1" w:styleId="8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autoRedefine/>
    <w:qFormat/>
    <w:uiPriority w:val="0"/>
    <w:rPr>
      <w:rFonts w:ascii="Tahoma" w:hAnsi="Tahoma"/>
      <w:sz w:val="24"/>
      <w:szCs w:val="20"/>
    </w:rPr>
  </w:style>
  <w:style w:type="paragraph" w:customStyle="1" w:styleId="85">
    <w:name w:val="Char3 Char Char Char"/>
    <w:basedOn w:val="1"/>
    <w:autoRedefine/>
    <w:qFormat/>
    <w:uiPriority w:val="0"/>
    <w:rPr>
      <w:rFonts w:ascii="Tahoma" w:hAnsi="Tahoma"/>
      <w:sz w:val="24"/>
      <w:szCs w:val="20"/>
    </w:rPr>
  </w:style>
  <w:style w:type="paragraph" w:customStyle="1" w:styleId="8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autoRedefine/>
    <w:qFormat/>
    <w:uiPriority w:val="0"/>
    <w:pPr>
      <w:numPr>
        <w:numId w:val="2"/>
      </w:numPr>
    </w:pPr>
  </w:style>
  <w:style w:type="paragraph" w:customStyle="1" w:styleId="8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autoRedefine/>
    <w:qFormat/>
    <w:uiPriority w:val="0"/>
    <w:pPr>
      <w:adjustRightInd w:val="0"/>
      <w:snapToGrid w:val="0"/>
      <w:spacing w:line="0" w:lineRule="atLeast"/>
      <w:jc w:val="center"/>
    </w:pPr>
    <w:rPr>
      <w:sz w:val="24"/>
      <w:szCs w:val="20"/>
    </w:rPr>
  </w:style>
  <w:style w:type="paragraph" w:customStyle="1" w:styleId="9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autoRedefine/>
    <w:qFormat/>
    <w:uiPriority w:val="0"/>
    <w:rPr>
      <w:rFonts w:ascii="Tahoma" w:hAnsi="Tahoma"/>
      <w:sz w:val="24"/>
      <w:szCs w:val="20"/>
    </w:rPr>
  </w:style>
  <w:style w:type="paragraph" w:customStyle="1" w:styleId="9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autoRedefine/>
    <w:qFormat/>
    <w:uiPriority w:val="0"/>
    <w:pPr>
      <w:widowControl/>
      <w:spacing w:before="100" w:beforeAutospacing="1" w:after="100" w:afterAutospacing="1"/>
      <w:jc w:val="left"/>
    </w:pPr>
    <w:rPr>
      <w:kern w:val="0"/>
      <w:sz w:val="36"/>
      <w:szCs w:val="36"/>
    </w:rPr>
  </w:style>
  <w:style w:type="paragraph" w:customStyle="1" w:styleId="10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5"/>
    <w:autoRedefine/>
    <w:qFormat/>
    <w:uiPriority w:val="0"/>
    <w:rPr>
      <w:rFonts w:ascii="Tahoma" w:hAnsi="Tahoma"/>
      <w:sz w:val="24"/>
    </w:rPr>
  </w:style>
  <w:style w:type="paragraph" w:customStyle="1" w:styleId="11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5">
    <w:name w:val="Char1 Char Char Char1"/>
    <w:basedOn w:val="1"/>
    <w:autoRedefine/>
    <w:qFormat/>
    <w:uiPriority w:val="0"/>
    <w:rPr>
      <w:rFonts w:ascii="Tahoma" w:hAnsi="Tahoma" w:cs="仿宋_GB2312"/>
      <w:sz w:val="24"/>
      <w:szCs w:val="28"/>
    </w:rPr>
  </w:style>
  <w:style w:type="paragraph" w:customStyle="1" w:styleId="116">
    <w:name w:val="四级条标题"/>
    <w:basedOn w:val="117"/>
    <w:next w:val="1"/>
    <w:autoRedefine/>
    <w:qFormat/>
    <w:uiPriority w:val="0"/>
    <w:pPr>
      <w:numPr>
        <w:ilvl w:val="4"/>
      </w:numPr>
      <w:tabs>
        <w:tab w:val="left" w:pos="360"/>
        <w:tab w:val="left" w:pos="840"/>
      </w:tabs>
      <w:ind w:left="0" w:hanging="840"/>
      <w:outlineLvl w:val="4"/>
    </w:pPr>
  </w:style>
  <w:style w:type="paragraph" w:customStyle="1" w:styleId="117">
    <w:name w:val="三级条标题"/>
    <w:basedOn w:val="80"/>
    <w:next w:val="1"/>
    <w:autoRedefine/>
    <w:qFormat/>
    <w:uiPriority w:val="0"/>
    <w:pPr>
      <w:numPr>
        <w:ilvl w:val="3"/>
        <w:numId w:val="1"/>
      </w:numPr>
      <w:ind w:left="0" w:hanging="840"/>
      <w:outlineLvl w:val="3"/>
    </w:pPr>
  </w:style>
  <w:style w:type="paragraph" w:customStyle="1" w:styleId="11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autoRedefine/>
    <w:qFormat/>
    <w:uiPriority w:val="0"/>
    <w:pPr>
      <w:ind w:firstLine="420" w:firstLineChars="200"/>
    </w:pPr>
    <w:rPr>
      <w:rFonts w:ascii="Calibri" w:hAnsi="Calibri"/>
      <w:szCs w:val="22"/>
    </w:rPr>
  </w:style>
  <w:style w:type="paragraph" w:customStyle="1" w:styleId="121">
    <w:name w:val="项目符号1"/>
    <w:basedOn w:val="122"/>
    <w:autoRedefine/>
    <w:qFormat/>
    <w:uiPriority w:val="0"/>
    <w:pPr>
      <w:ind w:left="-25" w:firstLine="0"/>
    </w:pPr>
  </w:style>
  <w:style w:type="paragraph" w:customStyle="1" w:styleId="122">
    <w:name w:val="正文文本样式"/>
    <w:basedOn w:val="1"/>
    <w:autoRedefine/>
    <w:qFormat/>
    <w:uiPriority w:val="0"/>
    <w:pPr>
      <w:spacing w:line="360" w:lineRule="auto"/>
      <w:ind w:firstLine="482"/>
    </w:pPr>
    <w:rPr>
      <w:rFonts w:cs="宋体"/>
      <w:sz w:val="24"/>
      <w:szCs w:val="20"/>
    </w:rPr>
  </w:style>
  <w:style w:type="paragraph" w:customStyle="1" w:styleId="12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autoRedefine/>
    <w:qFormat/>
    <w:uiPriority w:val="0"/>
    <w:pPr>
      <w:numPr>
        <w:ilvl w:val="5"/>
      </w:numPr>
      <w:ind w:left="0" w:hanging="840"/>
      <w:outlineLvl w:val="5"/>
    </w:pPr>
  </w:style>
  <w:style w:type="paragraph" w:customStyle="1" w:styleId="12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autoRedefine/>
    <w:qFormat/>
    <w:uiPriority w:val="0"/>
    <w:pPr>
      <w:snapToGrid w:val="0"/>
      <w:spacing w:before="120" w:after="120" w:line="180" w:lineRule="auto"/>
    </w:pPr>
    <w:rPr>
      <w:rFonts w:ascii="Arial" w:hAnsi="Arial"/>
      <w:szCs w:val="20"/>
    </w:rPr>
  </w:style>
  <w:style w:type="paragraph" w:customStyle="1" w:styleId="12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autoRedefine/>
    <w:qFormat/>
    <w:uiPriority w:val="0"/>
    <w:rPr>
      <w:rFonts w:ascii="Tahoma" w:hAnsi="Tahoma"/>
      <w:sz w:val="24"/>
      <w:szCs w:val="20"/>
    </w:rPr>
  </w:style>
  <w:style w:type="paragraph" w:customStyle="1" w:styleId="13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autoRedefine/>
    <w:qFormat/>
    <w:uiPriority w:val="0"/>
    <w:pPr>
      <w:numPr>
        <w:ilvl w:val="0"/>
        <w:numId w:val="5"/>
      </w:numPr>
      <w:spacing w:before="120"/>
    </w:pPr>
    <w:rPr>
      <w:rFonts w:ascii="宋体"/>
      <w:sz w:val="28"/>
      <w:szCs w:val="20"/>
    </w:rPr>
  </w:style>
  <w:style w:type="paragraph" w:customStyle="1" w:styleId="13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autoRedefine/>
    <w:qFormat/>
    <w:uiPriority w:val="0"/>
    <w:rPr>
      <w:rFonts w:ascii="Tahoma" w:hAnsi="Tahoma"/>
      <w:sz w:val="24"/>
      <w:szCs w:val="20"/>
    </w:rPr>
  </w:style>
  <w:style w:type="paragraph" w:customStyle="1" w:styleId="135">
    <w:name w:val="Char Char Char Char Char Char Char Char Char Char"/>
    <w:basedOn w:val="1"/>
    <w:autoRedefine/>
    <w:qFormat/>
    <w:uiPriority w:val="0"/>
  </w:style>
  <w:style w:type="paragraph" w:customStyle="1" w:styleId="13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autoRedefine/>
    <w:qFormat/>
    <w:uiPriority w:val="0"/>
    <w:pPr>
      <w:tabs>
        <w:tab w:val="left" w:pos="360"/>
      </w:tabs>
    </w:pPr>
    <w:rPr>
      <w:sz w:val="24"/>
    </w:rPr>
  </w:style>
  <w:style w:type="paragraph" w:customStyle="1" w:styleId="138">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autoRedefine/>
    <w:qFormat/>
    <w:uiPriority w:val="0"/>
    <w:rPr>
      <w:rFonts w:ascii="Arial" w:hAnsi="Arial" w:cs="Arial"/>
      <w:szCs w:val="21"/>
    </w:rPr>
  </w:style>
  <w:style w:type="paragraph" w:customStyle="1" w:styleId="14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autoRedefine/>
    <w:qFormat/>
    <w:uiPriority w:val="0"/>
    <w:rPr>
      <w:rFonts w:ascii="Tahoma" w:hAnsi="Tahoma"/>
      <w:sz w:val="24"/>
      <w:szCs w:val="20"/>
    </w:rPr>
  </w:style>
  <w:style w:type="paragraph" w:customStyle="1" w:styleId="14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autoRedefine/>
    <w:qFormat/>
    <w:uiPriority w:val="0"/>
    <w:pPr>
      <w:autoSpaceDE w:val="0"/>
      <w:autoSpaceDN w:val="0"/>
      <w:adjustRightInd w:val="0"/>
      <w:jc w:val="left"/>
    </w:pPr>
    <w:rPr>
      <w:kern w:val="0"/>
      <w:sz w:val="24"/>
    </w:rPr>
  </w:style>
  <w:style w:type="paragraph" w:customStyle="1" w:styleId="148">
    <w:name w:val="Char Char Char1"/>
    <w:basedOn w:val="1"/>
    <w:autoRedefine/>
    <w:qFormat/>
    <w:uiPriority w:val="0"/>
    <w:rPr>
      <w:rFonts w:ascii="Tahoma" w:hAnsi="Tahoma"/>
      <w:sz w:val="24"/>
      <w:szCs w:val="20"/>
    </w:rPr>
  </w:style>
  <w:style w:type="paragraph" w:customStyle="1" w:styleId="14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9"/>
    <w:autoRedefine/>
    <w:qFormat/>
    <w:uiPriority w:val="0"/>
    <w:pPr>
      <w:spacing w:line="360" w:lineRule="auto"/>
      <w:jc w:val="center"/>
    </w:pPr>
    <w:rPr>
      <w:sz w:val="24"/>
    </w:rPr>
  </w:style>
  <w:style w:type="paragraph" w:customStyle="1" w:styleId="15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autoRedefine/>
    <w:qFormat/>
    <w:uiPriority w:val="0"/>
    <w:pPr>
      <w:widowControl/>
      <w:jc w:val="left"/>
    </w:pPr>
    <w:rPr>
      <w:rFonts w:ascii="楷体_GB2312" w:eastAsia="楷体_GB2312" w:cs="Arial"/>
      <w:kern w:val="0"/>
      <w:sz w:val="24"/>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autoRedefine/>
    <w:qFormat/>
    <w:uiPriority w:val="0"/>
    <w:rPr>
      <w:rFonts w:ascii="Tahoma" w:hAnsi="Tahoma"/>
      <w:sz w:val="24"/>
      <w:szCs w:val="20"/>
    </w:rPr>
  </w:style>
  <w:style w:type="paragraph" w:customStyle="1" w:styleId="157">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autoRedefine/>
    <w:qFormat/>
    <w:uiPriority w:val="0"/>
    <w:pPr>
      <w:ind w:firstLine="420" w:firstLineChars="200"/>
    </w:pPr>
    <w:rPr>
      <w:rFonts w:ascii="Calibri" w:hAnsi="Calibri"/>
      <w:szCs w:val="22"/>
    </w:rPr>
  </w:style>
  <w:style w:type="paragraph" w:customStyle="1" w:styleId="15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autoRedefine/>
    <w:qFormat/>
    <w:uiPriority w:val="0"/>
    <w:rPr>
      <w:rFonts w:ascii="Tahoma" w:hAnsi="Tahoma"/>
      <w:sz w:val="24"/>
      <w:szCs w:val="20"/>
    </w:rPr>
  </w:style>
  <w:style w:type="paragraph" w:customStyle="1" w:styleId="16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autoRedefine/>
    <w:qFormat/>
    <w:uiPriority w:val="0"/>
    <w:pPr>
      <w:numPr>
        <w:ilvl w:val="0"/>
        <w:numId w:val="6"/>
      </w:numPr>
    </w:pPr>
  </w:style>
  <w:style w:type="paragraph" w:customStyle="1" w:styleId="163">
    <w:name w:val="Char21"/>
    <w:basedOn w:val="1"/>
    <w:autoRedefine/>
    <w:qFormat/>
    <w:uiPriority w:val="0"/>
    <w:rPr>
      <w:rFonts w:ascii="Tahoma" w:hAnsi="Tahoma"/>
      <w:sz w:val="24"/>
      <w:szCs w:val="20"/>
    </w:rPr>
  </w:style>
  <w:style w:type="paragraph" w:customStyle="1" w:styleId="164">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autoRedefine/>
    <w:qFormat/>
    <w:uiPriority w:val="0"/>
    <w:rPr>
      <w:rFonts w:ascii="宋体" w:hAnsi="宋体" w:cs="Courier New"/>
      <w:sz w:val="32"/>
      <w:szCs w:val="32"/>
    </w:rPr>
  </w:style>
  <w:style w:type="paragraph" w:customStyle="1" w:styleId="166">
    <w:name w:val="正文文本样式 加粗"/>
    <w:basedOn w:val="122"/>
    <w:autoRedefine/>
    <w:qFormat/>
    <w:uiPriority w:val="0"/>
    <w:rPr>
      <w:b/>
    </w:rPr>
  </w:style>
  <w:style w:type="paragraph" w:customStyle="1" w:styleId="167">
    <w:name w:val="Char2 Char Char Char Char Char Char"/>
    <w:basedOn w:val="1"/>
    <w:autoRedefine/>
    <w:qFormat/>
    <w:uiPriority w:val="0"/>
    <w:pPr>
      <w:widowControl/>
      <w:spacing w:line="400" w:lineRule="exact"/>
      <w:jc w:val="center"/>
    </w:pPr>
  </w:style>
  <w:style w:type="character" w:customStyle="1" w:styleId="168">
    <w:name w:val="页脚 字符"/>
    <w:link w:val="29"/>
    <w:autoRedefine/>
    <w:qFormat/>
    <w:uiPriority w:val="99"/>
    <w:rPr>
      <w:rFonts w:ascii="宋体" w:eastAsia="宋体"/>
      <w:sz w:val="18"/>
      <w:lang w:val="en-US" w:eastAsia="zh-CN" w:bidi="ar-SA"/>
    </w:rPr>
  </w:style>
  <w:style w:type="paragraph" w:customStyle="1" w:styleId="169">
    <w:name w:val="Char Char4"/>
    <w:basedOn w:val="1"/>
    <w:autoRedefine/>
    <w:qFormat/>
    <w:uiPriority w:val="0"/>
    <w:pPr>
      <w:widowControl/>
      <w:spacing w:line="400" w:lineRule="exact"/>
      <w:jc w:val="center"/>
    </w:pPr>
  </w:style>
  <w:style w:type="paragraph" w:customStyle="1" w:styleId="170">
    <w:name w:val="Char3 Char Char Char1"/>
    <w:basedOn w:val="1"/>
    <w:autoRedefine/>
    <w:qFormat/>
    <w:uiPriority w:val="0"/>
    <w:rPr>
      <w:rFonts w:ascii="Tahoma" w:hAnsi="Tahoma"/>
      <w:sz w:val="24"/>
      <w:szCs w:val="20"/>
    </w:rPr>
  </w:style>
  <w:style w:type="paragraph" w:styleId="17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autoRedefine/>
    <w:qFormat/>
    <w:uiPriority w:val="0"/>
    <w:rPr>
      <w:kern w:val="2"/>
      <w:sz w:val="21"/>
      <w:szCs w:val="24"/>
      <w:lang w:val="zh-CN" w:eastAsia="zh-CN"/>
    </w:rPr>
  </w:style>
  <w:style w:type="paragraph" w:customStyle="1" w:styleId="174">
    <w:name w:val="1"/>
    <w:link w:val="173"/>
    <w:autoRedefine/>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autoRedefine/>
    <w:qFormat/>
    <w:uiPriority w:val="0"/>
    <w:pPr>
      <w:adjustRightInd w:val="0"/>
      <w:snapToGrid w:val="0"/>
      <w:spacing w:after="50" w:line="360" w:lineRule="auto"/>
    </w:pPr>
    <w:rPr>
      <w:sz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autoRedefine/>
    <w:qFormat/>
    <w:uiPriority w:val="0"/>
    <w:pPr>
      <w:adjustRightInd w:val="0"/>
      <w:snapToGrid w:val="0"/>
      <w:jc w:val="left"/>
    </w:pPr>
    <w:rPr>
      <w:rFonts w:ascii="宋体" w:hAnsi="宋体"/>
      <w:color w:val="000000"/>
      <w:szCs w:val="21"/>
    </w:rPr>
  </w:style>
  <w:style w:type="character" w:customStyle="1" w:styleId="178">
    <w:name w:val="正文表格 Char"/>
    <w:link w:val="177"/>
    <w:autoRedefine/>
    <w:qFormat/>
    <w:uiPriority w:val="0"/>
    <w:rPr>
      <w:rFonts w:ascii="宋体" w:hAnsi="宋体"/>
      <w:color w:val="000000"/>
      <w:kern w:val="2"/>
      <w:sz w:val="21"/>
      <w:szCs w:val="21"/>
    </w:rPr>
  </w:style>
  <w:style w:type="paragraph" w:customStyle="1" w:styleId="179">
    <w:name w:val="正文重点"/>
    <w:basedOn w:val="1"/>
    <w:link w:val="180"/>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autoRedefine/>
    <w:qFormat/>
    <w:uiPriority w:val="0"/>
    <w:rPr>
      <w:b/>
      <w:sz w:val="24"/>
    </w:rPr>
  </w:style>
  <w:style w:type="character" w:customStyle="1" w:styleId="181">
    <w:name w:val="批注文字 字符1"/>
    <w:link w:val="16"/>
    <w:autoRedefine/>
    <w:qFormat/>
    <w:uiPriority w:val="99"/>
    <w:rPr>
      <w:kern w:val="2"/>
      <w:sz w:val="21"/>
      <w:szCs w:val="24"/>
    </w:rPr>
  </w:style>
  <w:style w:type="paragraph" w:customStyle="1" w:styleId="182">
    <w:name w:val="标题1-附件"/>
    <w:basedOn w:val="3"/>
    <w:autoRedefine/>
    <w:qFormat/>
    <w:uiPriority w:val="0"/>
    <w:pPr>
      <w:jc w:val="left"/>
    </w:pPr>
    <w:rPr>
      <w:sz w:val="24"/>
      <w:szCs w:val="24"/>
    </w:rPr>
  </w:style>
  <w:style w:type="paragraph" w:customStyle="1" w:styleId="183">
    <w:name w:val="正文小标题"/>
    <w:basedOn w:val="1"/>
    <w:next w:val="13"/>
    <w:link w:val="184"/>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autoRedefine/>
    <w:qFormat/>
    <w:uiPriority w:val="0"/>
    <w:rPr>
      <w:rFonts w:ascii="宋体" w:hAnsi="宋体"/>
      <w:b/>
      <w:i/>
      <w:color w:val="FF0000"/>
      <w:kern w:val="2"/>
      <w:sz w:val="24"/>
    </w:rPr>
  </w:style>
  <w:style w:type="paragraph" w:customStyle="1" w:styleId="185">
    <w:name w:val="正文大标题"/>
    <w:basedOn w:val="183"/>
    <w:next w:val="13"/>
    <w:link w:val="186"/>
    <w:autoRedefine/>
    <w:qFormat/>
    <w:uiPriority w:val="0"/>
    <w:pPr>
      <w:jc w:val="center"/>
    </w:pPr>
    <w:rPr>
      <w:i w:val="0"/>
      <w:color w:val="000000"/>
      <w:sz w:val="28"/>
      <w:szCs w:val="21"/>
    </w:rPr>
  </w:style>
  <w:style w:type="character" w:customStyle="1" w:styleId="186">
    <w:name w:val="正文大标题 Char"/>
    <w:link w:val="185"/>
    <w:autoRedefine/>
    <w:qFormat/>
    <w:uiPriority w:val="0"/>
    <w:rPr>
      <w:rFonts w:ascii="宋体" w:hAnsi="宋体"/>
      <w:b/>
      <w:color w:val="000000"/>
      <w:kern w:val="2"/>
      <w:sz w:val="28"/>
      <w:szCs w:val="21"/>
    </w:rPr>
  </w:style>
  <w:style w:type="character" w:customStyle="1" w:styleId="187">
    <w:name w:val="标题 字符"/>
    <w:link w:val="40"/>
    <w:autoRedefine/>
    <w:qFormat/>
    <w:uiPriority w:val="0"/>
    <w:rPr>
      <w:b/>
      <w:kern w:val="2"/>
      <w:sz w:val="32"/>
    </w:rPr>
  </w:style>
  <w:style w:type="paragraph" w:customStyle="1" w:styleId="188">
    <w:name w:val="注释"/>
    <w:basedOn w:val="1"/>
    <w:link w:val="189"/>
    <w:autoRedefine/>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autoRedefine/>
    <w:qFormat/>
    <w:uiPriority w:val="0"/>
    <w:rPr>
      <w:rFonts w:ascii="宋体" w:hAnsi="宋体"/>
      <w:kern w:val="2"/>
      <w:sz w:val="21"/>
      <w:szCs w:val="21"/>
    </w:rPr>
  </w:style>
  <w:style w:type="paragraph" w:customStyle="1" w:styleId="190">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autoRedefine/>
    <w:qFormat/>
    <w:uiPriority w:val="99"/>
    <w:rPr>
      <w:rFonts w:ascii="Times New Roman" w:hAnsi="Times New Roman" w:eastAsia="宋体" w:cs="Times New Roman"/>
      <w:sz w:val="24"/>
      <w:lang w:val="en-US" w:eastAsia="zh-CN" w:bidi="ar-SA"/>
    </w:rPr>
  </w:style>
  <w:style w:type="character" w:customStyle="1" w:styleId="194">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5">
    <w:name w:val="表格1"/>
    <w:basedOn w:val="1"/>
    <w:autoRedefine/>
    <w:qFormat/>
    <w:uiPriority w:val="0"/>
    <w:pPr>
      <w:ind w:firstLine="480" w:firstLineChars="200"/>
      <w:jc w:val="center"/>
    </w:pPr>
    <w:rPr>
      <w:sz w:val="24"/>
      <w:szCs w:val="20"/>
    </w:rPr>
  </w:style>
  <w:style w:type="character" w:customStyle="1" w:styleId="196">
    <w:name w:val="纯文本 字符1"/>
    <w:autoRedefine/>
    <w:qFormat/>
    <w:uiPriority w:val="0"/>
    <w:rPr>
      <w:rFonts w:ascii="宋体" w:hAnsi="Courier New"/>
    </w:rPr>
  </w:style>
  <w:style w:type="character" w:customStyle="1" w:styleId="197">
    <w:name w:val="bjh-p"/>
    <w:autoRedefine/>
    <w:qFormat/>
    <w:uiPriority w:val="0"/>
  </w:style>
  <w:style w:type="paragraph" w:customStyle="1" w:styleId="198">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autoRedefine/>
    <w:qFormat/>
    <w:locked/>
    <w:uiPriority w:val="0"/>
    <w:rPr>
      <w:rFonts w:ascii="宋体" w:hAnsi="宋体"/>
      <w:sz w:val="24"/>
      <w:szCs w:val="24"/>
      <w:lang w:val="en-GB"/>
    </w:rPr>
  </w:style>
  <w:style w:type="paragraph" w:customStyle="1" w:styleId="200">
    <w:name w:val="正文格式"/>
    <w:basedOn w:val="1"/>
    <w:link w:val="199"/>
    <w:autoRedefine/>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6"/>
    <w:link w:val="24"/>
    <w:autoRedefine/>
    <w:qFormat/>
    <w:uiPriority w:val="0"/>
    <w:rPr>
      <w:rFonts w:hint="eastAsia" w:ascii="宋体" w:hAnsi="Courier New" w:eastAsia="宋体" w:cs="宋体"/>
      <w:kern w:val="2"/>
      <w:sz w:val="21"/>
    </w:rPr>
  </w:style>
  <w:style w:type="character" w:customStyle="1" w:styleId="202">
    <w:name w:val="标题 3 Char"/>
    <w:autoRedefine/>
    <w:qFormat/>
    <w:uiPriority w:val="0"/>
    <w:rPr>
      <w:rFonts w:ascii="宋体" w:eastAsia="宋体"/>
      <w:b/>
      <w:sz w:val="24"/>
      <w:u w:val="single"/>
      <w:lang w:val="en-US" w:eastAsia="zh-CN" w:bidi="ar-SA"/>
    </w:rPr>
  </w:style>
  <w:style w:type="character" w:customStyle="1" w:styleId="203">
    <w:name w:val="正文缩进 Char"/>
    <w:autoRedefine/>
    <w:qFormat/>
    <w:uiPriority w:val="0"/>
    <w:rPr>
      <w:rFonts w:ascii="宋体" w:eastAsia="宋体"/>
      <w:kern w:val="2"/>
      <w:sz w:val="24"/>
      <w:szCs w:val="24"/>
      <w:lang w:val="en-US" w:eastAsia="zh-CN" w:bidi="ar-SA"/>
    </w:rPr>
  </w:style>
  <w:style w:type="character" w:customStyle="1" w:styleId="204">
    <w:name w:val="Char Char111"/>
    <w:autoRedefine/>
    <w:qFormat/>
    <w:uiPriority w:val="0"/>
    <w:rPr>
      <w:rFonts w:ascii="宋体" w:eastAsia="宋体"/>
      <w:b/>
      <w:sz w:val="24"/>
      <w:u w:val="single"/>
      <w:lang w:val="en-US" w:eastAsia="zh-CN" w:bidi="ar-SA"/>
    </w:rPr>
  </w:style>
  <w:style w:type="character" w:customStyle="1" w:styleId="205">
    <w:name w:val="正文文本缩进 Char"/>
    <w:autoRedefine/>
    <w:qFormat/>
    <w:uiPriority w:val="0"/>
    <w:rPr>
      <w:rFonts w:eastAsia="宋体"/>
      <w:kern w:val="2"/>
      <w:sz w:val="24"/>
      <w:szCs w:val="24"/>
      <w:lang w:val="en-US" w:eastAsia="zh-CN" w:bidi="ar-SA"/>
    </w:rPr>
  </w:style>
  <w:style w:type="character" w:customStyle="1" w:styleId="206">
    <w:name w:val="列出段落 Char"/>
    <w:autoRedefine/>
    <w:qFormat/>
    <w:uiPriority w:val="0"/>
    <w:rPr>
      <w:rFonts w:ascii="Calibri" w:hAnsi="Calibri" w:eastAsia="宋体"/>
      <w:kern w:val="2"/>
      <w:sz w:val="21"/>
      <w:szCs w:val="22"/>
      <w:lang w:val="en-US" w:eastAsia="zh-CN" w:bidi="ar-SA"/>
    </w:rPr>
  </w:style>
  <w:style w:type="character" w:customStyle="1" w:styleId="207">
    <w:name w:val="页眉 Char"/>
    <w:autoRedefine/>
    <w:qFormat/>
    <w:uiPriority w:val="0"/>
    <w:rPr>
      <w:rFonts w:eastAsia="宋体"/>
      <w:kern w:val="2"/>
      <w:sz w:val="18"/>
      <w:szCs w:val="18"/>
      <w:lang w:val="en-US" w:eastAsia="zh-CN" w:bidi="ar-SA"/>
    </w:rPr>
  </w:style>
  <w:style w:type="character" w:customStyle="1" w:styleId="208">
    <w:name w:val="标题 2 Char"/>
    <w:autoRedefine/>
    <w:qFormat/>
    <w:uiPriority w:val="0"/>
    <w:rPr>
      <w:rFonts w:ascii="Arial" w:hAnsi="Arial" w:eastAsia="黑体"/>
      <w:b/>
      <w:sz w:val="30"/>
      <w:lang w:val="en-US" w:eastAsia="zh-CN" w:bidi="ar-SA"/>
    </w:rPr>
  </w:style>
  <w:style w:type="paragraph" w:customStyle="1" w:styleId="209">
    <w:name w:val="字元 字元2"/>
    <w:basedOn w:val="1"/>
    <w:autoRedefine/>
    <w:qFormat/>
    <w:uiPriority w:val="0"/>
    <w:rPr>
      <w:rFonts w:ascii="Tahoma" w:hAnsi="Tahoma"/>
      <w:sz w:val="24"/>
      <w:szCs w:val="20"/>
    </w:rPr>
  </w:style>
  <w:style w:type="paragraph" w:customStyle="1" w:styleId="210">
    <w:name w:val="Char3 Char Char Char2"/>
    <w:basedOn w:val="1"/>
    <w:autoRedefine/>
    <w:qFormat/>
    <w:uiPriority w:val="0"/>
    <w:rPr>
      <w:rFonts w:ascii="Tahoma" w:hAnsi="Tahoma"/>
      <w:sz w:val="24"/>
      <w:szCs w:val="20"/>
    </w:rPr>
  </w:style>
  <w:style w:type="paragraph" w:customStyle="1" w:styleId="211">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2">
    <w:name w:val="Char3"/>
    <w:basedOn w:val="1"/>
    <w:autoRedefine/>
    <w:qFormat/>
    <w:uiPriority w:val="0"/>
    <w:pPr>
      <w:tabs>
        <w:tab w:val="left" w:pos="360"/>
      </w:tabs>
    </w:pPr>
    <w:rPr>
      <w:sz w:val="24"/>
    </w:rPr>
  </w:style>
  <w:style w:type="paragraph" w:customStyle="1" w:styleId="213">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autoRedefine/>
    <w:qFormat/>
    <w:uiPriority w:val="0"/>
    <w:pPr>
      <w:ind w:firstLine="420" w:firstLineChars="200"/>
    </w:pPr>
    <w:rPr>
      <w:rFonts w:ascii="Calibri" w:hAnsi="Calibri"/>
      <w:szCs w:val="22"/>
    </w:rPr>
  </w:style>
  <w:style w:type="paragraph" w:customStyle="1" w:styleId="216">
    <w:name w:val="Char Char Char1 Char2"/>
    <w:basedOn w:val="1"/>
    <w:autoRedefine/>
    <w:qFormat/>
    <w:uiPriority w:val="0"/>
    <w:rPr>
      <w:rFonts w:ascii="Tahoma" w:hAnsi="Tahoma"/>
      <w:sz w:val="24"/>
      <w:szCs w:val="20"/>
    </w:rPr>
  </w:style>
  <w:style w:type="paragraph" w:customStyle="1" w:styleId="217">
    <w:name w:val="Char Char Char2"/>
    <w:basedOn w:val="1"/>
    <w:autoRedefine/>
    <w:qFormat/>
    <w:uiPriority w:val="0"/>
    <w:rPr>
      <w:rFonts w:ascii="Tahoma" w:hAnsi="Tahoma"/>
      <w:sz w:val="24"/>
      <w:szCs w:val="20"/>
    </w:rPr>
  </w:style>
  <w:style w:type="paragraph" w:customStyle="1" w:styleId="218">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19">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autoRedefine/>
    <w:qFormat/>
    <w:uiPriority w:val="0"/>
    <w:rPr>
      <w:rFonts w:ascii="Tahoma" w:hAnsi="Tahoma"/>
      <w:sz w:val="24"/>
      <w:szCs w:val="20"/>
    </w:rPr>
  </w:style>
  <w:style w:type="paragraph" w:customStyle="1" w:styleId="222">
    <w:name w:val="Char Char Char Char Char Char Char Char Char Char2"/>
    <w:basedOn w:val="1"/>
    <w:autoRedefine/>
    <w:qFormat/>
    <w:uiPriority w:val="0"/>
    <w:rPr>
      <w:rFonts w:ascii="宋体" w:hAnsi="宋体" w:cs="Courier New"/>
      <w:sz w:val="32"/>
      <w:szCs w:val="32"/>
    </w:rPr>
  </w:style>
  <w:style w:type="paragraph" w:customStyle="1" w:styleId="223">
    <w:name w:val="Char2 Char Char Char Char Char Char1"/>
    <w:basedOn w:val="1"/>
    <w:autoRedefine/>
    <w:qFormat/>
    <w:uiPriority w:val="0"/>
    <w:pPr>
      <w:widowControl/>
      <w:spacing w:line="400" w:lineRule="exact"/>
      <w:jc w:val="center"/>
    </w:pPr>
  </w:style>
  <w:style w:type="character" w:customStyle="1" w:styleId="224">
    <w:name w:val="页脚 Char"/>
    <w:autoRedefine/>
    <w:qFormat/>
    <w:uiPriority w:val="0"/>
    <w:rPr>
      <w:rFonts w:ascii="宋体" w:eastAsia="宋体"/>
      <w:sz w:val="18"/>
      <w:lang w:val="en-US" w:eastAsia="zh-CN" w:bidi="ar-SA"/>
    </w:rPr>
  </w:style>
  <w:style w:type="paragraph" w:customStyle="1" w:styleId="225">
    <w:name w:val="Char Char41"/>
    <w:basedOn w:val="1"/>
    <w:autoRedefine/>
    <w:qFormat/>
    <w:uiPriority w:val="0"/>
    <w:pPr>
      <w:widowControl/>
      <w:spacing w:line="400" w:lineRule="exact"/>
      <w:jc w:val="center"/>
    </w:pPr>
  </w:style>
  <w:style w:type="character" w:customStyle="1" w:styleId="226">
    <w:name w:val="批注文字 Char"/>
    <w:autoRedefine/>
    <w:qFormat/>
    <w:uiPriority w:val="99"/>
    <w:rPr>
      <w:kern w:val="2"/>
      <w:sz w:val="21"/>
      <w:szCs w:val="24"/>
    </w:rPr>
  </w:style>
  <w:style w:type="character" w:customStyle="1" w:styleId="227">
    <w:name w:val="标题 Char"/>
    <w:autoRedefine/>
    <w:qFormat/>
    <w:uiPriority w:val="0"/>
    <w:rPr>
      <w:b/>
      <w:kern w:val="2"/>
      <w:sz w:val="32"/>
    </w:rPr>
  </w:style>
  <w:style w:type="character" w:customStyle="1" w:styleId="228">
    <w:name w:val="标题 1 字符"/>
    <w:basedOn w:val="46"/>
    <w:link w:val="3"/>
    <w:autoRedefine/>
    <w:qFormat/>
    <w:uiPriority w:val="0"/>
    <w:rPr>
      <w:rFonts w:ascii="宋体"/>
      <w:b/>
      <w:kern w:val="44"/>
      <w:sz w:val="32"/>
    </w:rPr>
  </w:style>
  <w:style w:type="character" w:customStyle="1" w:styleId="229">
    <w:name w:val="标题 4 字符"/>
    <w:basedOn w:val="46"/>
    <w:link w:val="6"/>
    <w:autoRedefine/>
    <w:qFormat/>
    <w:uiPriority w:val="0"/>
    <w:rPr>
      <w:b/>
      <w:sz w:val="24"/>
    </w:rPr>
  </w:style>
  <w:style w:type="character" w:customStyle="1" w:styleId="230">
    <w:name w:val="标题 5 字符"/>
    <w:basedOn w:val="46"/>
    <w:link w:val="7"/>
    <w:autoRedefine/>
    <w:qFormat/>
    <w:uiPriority w:val="0"/>
    <w:rPr>
      <w:b/>
      <w:sz w:val="28"/>
    </w:rPr>
  </w:style>
  <w:style w:type="character" w:customStyle="1" w:styleId="231">
    <w:name w:val="标题 6 字符"/>
    <w:basedOn w:val="46"/>
    <w:link w:val="8"/>
    <w:autoRedefine/>
    <w:qFormat/>
    <w:uiPriority w:val="0"/>
    <w:rPr>
      <w:rFonts w:ascii="Arial" w:hAnsi="Arial" w:eastAsia="黑体"/>
      <w:b/>
      <w:sz w:val="24"/>
    </w:rPr>
  </w:style>
  <w:style w:type="character" w:customStyle="1" w:styleId="232">
    <w:name w:val="标题 7 字符"/>
    <w:basedOn w:val="46"/>
    <w:link w:val="9"/>
    <w:autoRedefine/>
    <w:qFormat/>
    <w:uiPriority w:val="0"/>
    <w:rPr>
      <w:b/>
      <w:sz w:val="24"/>
    </w:rPr>
  </w:style>
  <w:style w:type="character" w:customStyle="1" w:styleId="233">
    <w:name w:val="标题 8 字符"/>
    <w:basedOn w:val="46"/>
    <w:link w:val="10"/>
    <w:autoRedefine/>
    <w:qFormat/>
    <w:uiPriority w:val="0"/>
    <w:rPr>
      <w:rFonts w:ascii="Arial" w:hAnsi="Arial" w:eastAsia="黑体"/>
      <w:sz w:val="24"/>
    </w:rPr>
  </w:style>
  <w:style w:type="character" w:customStyle="1" w:styleId="234">
    <w:name w:val="标题 9 字符"/>
    <w:basedOn w:val="46"/>
    <w:link w:val="11"/>
    <w:autoRedefine/>
    <w:qFormat/>
    <w:uiPriority w:val="0"/>
    <w:rPr>
      <w:rFonts w:ascii="Arial" w:hAnsi="Arial" w:eastAsia="黑体"/>
      <w:sz w:val="21"/>
    </w:rPr>
  </w:style>
  <w:style w:type="character" w:customStyle="1" w:styleId="235">
    <w:name w:val="文档结构图 字符"/>
    <w:basedOn w:val="46"/>
    <w:link w:val="15"/>
    <w:autoRedefine/>
    <w:qFormat/>
    <w:uiPriority w:val="0"/>
    <w:rPr>
      <w:kern w:val="2"/>
      <w:sz w:val="21"/>
      <w:szCs w:val="24"/>
      <w:shd w:val="clear" w:color="auto" w:fill="000080"/>
    </w:rPr>
  </w:style>
  <w:style w:type="character" w:customStyle="1" w:styleId="236">
    <w:name w:val="正文文本 3 字符"/>
    <w:basedOn w:val="46"/>
    <w:link w:val="17"/>
    <w:autoRedefine/>
    <w:qFormat/>
    <w:uiPriority w:val="0"/>
    <w:rPr>
      <w:kern w:val="2"/>
      <w:sz w:val="16"/>
      <w:szCs w:val="16"/>
    </w:rPr>
  </w:style>
  <w:style w:type="character" w:customStyle="1" w:styleId="237">
    <w:name w:val="正文文本 字符"/>
    <w:basedOn w:val="46"/>
    <w:link w:val="18"/>
    <w:autoRedefine/>
    <w:qFormat/>
    <w:uiPriority w:val="0"/>
    <w:rPr>
      <w:rFonts w:ascii="宋体" w:hAnsi="宋体"/>
      <w:kern w:val="2"/>
      <w:sz w:val="24"/>
      <w:szCs w:val="24"/>
    </w:rPr>
  </w:style>
  <w:style w:type="character" w:customStyle="1" w:styleId="238">
    <w:name w:val="日期 字符"/>
    <w:basedOn w:val="46"/>
    <w:link w:val="26"/>
    <w:autoRedefine/>
    <w:qFormat/>
    <w:uiPriority w:val="0"/>
    <w:rPr>
      <w:rFonts w:ascii="仿宋_GB2312" w:hAnsi="宋体" w:eastAsia="仿宋_GB2312"/>
      <w:color w:val="000000"/>
      <w:kern w:val="2"/>
      <w:sz w:val="24"/>
      <w:szCs w:val="24"/>
    </w:rPr>
  </w:style>
  <w:style w:type="character" w:customStyle="1" w:styleId="239">
    <w:name w:val="正文文本缩进 2 字符"/>
    <w:basedOn w:val="46"/>
    <w:link w:val="27"/>
    <w:autoRedefine/>
    <w:qFormat/>
    <w:uiPriority w:val="0"/>
    <w:rPr>
      <w:rFonts w:ascii="仿宋_GB2312" w:eastAsia="仿宋_GB2312"/>
      <w:kern w:val="2"/>
      <w:sz w:val="24"/>
      <w:szCs w:val="24"/>
    </w:rPr>
  </w:style>
  <w:style w:type="character" w:customStyle="1" w:styleId="240">
    <w:name w:val="批注框文本 字符"/>
    <w:basedOn w:val="46"/>
    <w:link w:val="28"/>
    <w:autoRedefine/>
    <w:qFormat/>
    <w:uiPriority w:val="0"/>
    <w:rPr>
      <w:kern w:val="2"/>
      <w:sz w:val="18"/>
      <w:szCs w:val="18"/>
    </w:rPr>
  </w:style>
  <w:style w:type="character" w:customStyle="1" w:styleId="241">
    <w:name w:val="正文文本缩进 3 字符"/>
    <w:basedOn w:val="46"/>
    <w:link w:val="34"/>
    <w:autoRedefine/>
    <w:qFormat/>
    <w:uiPriority w:val="0"/>
    <w:rPr>
      <w:rFonts w:ascii="宋体"/>
      <w:sz w:val="24"/>
    </w:rPr>
  </w:style>
  <w:style w:type="character" w:customStyle="1" w:styleId="242">
    <w:name w:val="HTML 预设格式 字符"/>
    <w:basedOn w:val="46"/>
    <w:link w:val="37"/>
    <w:autoRedefine/>
    <w:qFormat/>
    <w:uiPriority w:val="0"/>
    <w:rPr>
      <w:rFonts w:ascii="宋体" w:hAnsi="宋体" w:cs="宋体"/>
      <w:sz w:val="24"/>
      <w:szCs w:val="24"/>
    </w:rPr>
  </w:style>
  <w:style w:type="character" w:customStyle="1" w:styleId="243">
    <w:name w:val="批注主题 字符"/>
    <w:basedOn w:val="193"/>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7"/>
    <w:link w:val="42"/>
    <w:autoRedefine/>
    <w:qFormat/>
    <w:uiPriority w:val="0"/>
    <w:rPr>
      <w:rFonts w:eastAsia="宋体"/>
      <w:kern w:val="2"/>
      <w:sz w:val="24"/>
      <w:szCs w:val="24"/>
      <w:lang w:val="en-US" w:eastAsia="zh-CN" w:bidi="ar-SA"/>
    </w:rPr>
  </w:style>
  <w:style w:type="paragraph" w:customStyle="1" w:styleId="245">
    <w:name w:val="图例"/>
    <w:basedOn w:val="1"/>
    <w:autoRedefine/>
    <w:qFormat/>
    <w:uiPriority w:val="0"/>
    <w:pPr>
      <w:spacing w:before="120" w:after="120" w:line="360" w:lineRule="auto"/>
      <w:jc w:val="center"/>
    </w:pPr>
    <w:rPr>
      <w:rFonts w:eastAsia="仿宋_GB2312"/>
      <w:b/>
      <w:sz w:val="24"/>
      <w:szCs w:val="20"/>
    </w:rPr>
  </w:style>
  <w:style w:type="paragraph" w:customStyle="1" w:styleId="246">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7">
    <w:name w:val="Table Normal"/>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48">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0B7C9-F7A2-4B69-9044-5C937A9B22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5176</Words>
  <Characters>29504</Characters>
  <Lines>245</Lines>
  <Paragraphs>69</Paragraphs>
  <TotalTime>125</TotalTime>
  <ScaleCrop>false</ScaleCrop>
  <LinksUpToDate>false</LinksUpToDate>
  <CharactersWithSpaces>34611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2024-01-10T06:16:00Z</dcterms:created>
  <dc:creator>Yin Hao</dc:creator>
  <cp:lastModifiedBy>建经</cp:lastModifiedBy>
  <cp:lastPrinted>2020-04-01T03:13:00Z</cp:lastPrinted>
  <dcterms:modified xsi:type="dcterms:W3CDTF">2024-01-12T06:16:42Z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B196972313054D4789BB25DBD05B5736</vt:lpwstr>
  </property>
</Properties>
</file>