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5"/>
        <w:tblW w:w="5000" w:type="pct"/>
        <w:tblInd w:w="0" w:type="dxa"/>
        <w:tblLayout w:type="autofit"/>
        <w:tblCellMar>
          <w:top w:w="0" w:type="dxa"/>
          <w:left w:w="108" w:type="dxa"/>
          <w:bottom w:w="0" w:type="dxa"/>
          <w:right w:w="108" w:type="dxa"/>
        </w:tblCellMar>
      </w:tblPr>
      <w:tblGrid>
        <w:gridCol w:w="978"/>
        <w:gridCol w:w="216"/>
        <w:gridCol w:w="7328"/>
      </w:tblGrid>
      <w:tr w14:paraId="63DC08F5">
        <w:tblPrEx>
          <w:tblCellMar>
            <w:top w:w="0" w:type="dxa"/>
            <w:left w:w="108" w:type="dxa"/>
            <w:bottom w:w="0" w:type="dxa"/>
            <w:right w:w="108" w:type="dxa"/>
          </w:tblCellMar>
        </w:tblPrEx>
        <w:tc>
          <w:tcPr>
            <w:tcW w:w="5000" w:type="pct"/>
            <w:gridSpan w:val="3"/>
          </w:tcPr>
          <w:p w14:paraId="54C3A087">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szCs w:val="21"/>
              </w:rPr>
              <w:t xml:space="preserve">  </w:t>
            </w:r>
            <w:bookmarkStart w:id="0" w:name="_Toc453744822"/>
            <w:bookmarkStart w:id="1" w:name="_Toc429569600"/>
            <w:r>
              <w:rPr>
                <w:rFonts w:hint="default" w:ascii="Times New Roman" w:hAnsi="Times New Roman" w:cs="Times New Roman"/>
                <w:b/>
                <w:bCs/>
                <w:kern w:val="0"/>
                <w:szCs w:val="21"/>
                <w:lang w:eastAsia="en-US"/>
              </w:rPr>
              <w:t>1. 工程说明</w:t>
            </w:r>
            <w:bookmarkEnd w:id="0"/>
            <w:bookmarkEnd w:id="1"/>
          </w:p>
        </w:tc>
      </w:tr>
      <w:tr w14:paraId="223B63D2">
        <w:tblPrEx>
          <w:tblCellMar>
            <w:top w:w="0" w:type="dxa"/>
            <w:left w:w="108" w:type="dxa"/>
            <w:bottom w:w="0" w:type="dxa"/>
            <w:right w:w="108" w:type="dxa"/>
          </w:tblCellMar>
        </w:tblPrEx>
        <w:tc>
          <w:tcPr>
            <w:tcW w:w="701" w:type="pct"/>
            <w:gridSpan w:val="2"/>
          </w:tcPr>
          <w:p w14:paraId="26045780">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bCs/>
                <w:kern w:val="0"/>
                <w:szCs w:val="21"/>
                <w:lang w:eastAsia="en-US"/>
              </w:rPr>
              <w:t>1.1</w:t>
            </w:r>
          </w:p>
        </w:tc>
        <w:tc>
          <w:tcPr>
            <w:tcW w:w="4298" w:type="pct"/>
          </w:tcPr>
          <w:p w14:paraId="49F26F10">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bCs/>
                <w:kern w:val="0"/>
                <w:szCs w:val="21"/>
                <w:lang w:eastAsia="en-US"/>
              </w:rPr>
              <w:t>工程概况</w:t>
            </w:r>
          </w:p>
        </w:tc>
      </w:tr>
      <w:tr w14:paraId="78CBEEEE">
        <w:tblPrEx>
          <w:tblCellMar>
            <w:top w:w="0" w:type="dxa"/>
            <w:left w:w="108" w:type="dxa"/>
            <w:bottom w:w="0" w:type="dxa"/>
            <w:right w:w="108" w:type="dxa"/>
          </w:tblCellMar>
        </w:tblPrEx>
        <w:tc>
          <w:tcPr>
            <w:tcW w:w="701" w:type="pct"/>
            <w:gridSpan w:val="2"/>
          </w:tcPr>
          <w:p w14:paraId="5E5AB91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1.1.1</w:t>
            </w:r>
          </w:p>
        </w:tc>
        <w:tc>
          <w:tcPr>
            <w:tcW w:w="4298" w:type="pct"/>
          </w:tcPr>
          <w:p w14:paraId="3ADF4BF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本工程基本情况如下：</w:t>
            </w:r>
          </w:p>
          <w:p w14:paraId="65CFE3D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u w:val="none"/>
              </w:rPr>
              <w:t>（1）预期用途</w:t>
            </w:r>
            <w:r>
              <w:rPr>
                <w:rFonts w:hint="default" w:ascii="Times New Roman" w:hAnsi="Times New Roman" w:cs="Times New Roman"/>
                <w:kern w:val="0"/>
                <w:szCs w:val="21"/>
                <w:u w:val="none"/>
                <w:lang w:eastAsia="zh-CN"/>
              </w:rPr>
              <w:t>：</w:t>
            </w:r>
            <w:r>
              <w:rPr>
                <w:rFonts w:hint="default" w:ascii="Times New Roman" w:hAnsi="Times New Roman" w:cs="Times New Roman"/>
                <w:kern w:val="0"/>
                <w:szCs w:val="21"/>
                <w:u w:val="single"/>
                <w:lang w:val="zh-CN" w:eastAsia="zh-CN"/>
              </w:rPr>
              <w:t xml:space="preserve">中国劳动关系学院两校区消防设备设施更新改造项目，改造范围：包含消火栓改造工程、应急疏散照明系统、火灾自动报警工程等改造修缮工程，具体详见工程量清单其他未尽事宜参考现场情况、图纸等 </w:t>
            </w:r>
          </w:p>
        </w:tc>
      </w:tr>
      <w:tr w14:paraId="70408EA1">
        <w:tc>
          <w:tcPr>
            <w:tcW w:w="701" w:type="pct"/>
            <w:gridSpan w:val="2"/>
          </w:tcPr>
          <w:p w14:paraId="3C9C445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1.1.2</w:t>
            </w:r>
          </w:p>
        </w:tc>
        <w:tc>
          <w:tcPr>
            <w:tcW w:w="4298" w:type="pct"/>
          </w:tcPr>
          <w:p w14:paraId="503FB013">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Cs/>
                <w:kern w:val="0"/>
                <w:szCs w:val="21"/>
              </w:rPr>
              <w:t>本工程施工场地（现场）具体地理位置如下：</w:t>
            </w:r>
            <w:r>
              <w:rPr>
                <w:rFonts w:hint="default" w:ascii="Times New Roman" w:hAnsi="Times New Roman" w:cs="Times New Roman"/>
                <w:color w:val="000000"/>
                <w:kern w:val="0"/>
                <w:szCs w:val="21"/>
                <w:u w:val="single"/>
                <w:shd w:val="clear" w:color="auto" w:fill="auto"/>
                <w:lang w:eastAsia="zh-CN"/>
              </w:rPr>
              <w:t>中国劳动关系学院北京校区：北京市海淀区增光路45号；</w:t>
            </w:r>
          </w:p>
        </w:tc>
      </w:tr>
      <w:tr w14:paraId="2A506C9F">
        <w:tblPrEx>
          <w:tblCellMar>
            <w:top w:w="0" w:type="dxa"/>
            <w:left w:w="108" w:type="dxa"/>
            <w:bottom w:w="0" w:type="dxa"/>
            <w:right w:w="108" w:type="dxa"/>
          </w:tblCellMar>
        </w:tblPrEx>
        <w:tc>
          <w:tcPr>
            <w:tcW w:w="701" w:type="pct"/>
            <w:gridSpan w:val="2"/>
          </w:tcPr>
          <w:p w14:paraId="23D54910">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bCs/>
                <w:kern w:val="0"/>
                <w:szCs w:val="21"/>
                <w:lang w:eastAsia="en-US"/>
              </w:rPr>
              <w:t>1.2</w:t>
            </w:r>
          </w:p>
        </w:tc>
        <w:tc>
          <w:tcPr>
            <w:tcW w:w="4298" w:type="pct"/>
          </w:tcPr>
          <w:p w14:paraId="38A5C33D">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Cs/>
                <w:kern w:val="0"/>
                <w:szCs w:val="21"/>
                <w:lang w:eastAsia="en-US"/>
              </w:rPr>
            </w:pPr>
            <w:r>
              <w:rPr>
                <w:rFonts w:hint="default" w:ascii="Times New Roman" w:hAnsi="Times New Roman" w:cs="Times New Roman"/>
                <w:b/>
                <w:bCs/>
                <w:kern w:val="0"/>
                <w:szCs w:val="21"/>
                <w:lang w:eastAsia="en-US"/>
              </w:rPr>
              <w:t>现场条件和周围环境</w:t>
            </w:r>
          </w:p>
        </w:tc>
      </w:tr>
      <w:tr w14:paraId="112BF173">
        <w:tblPrEx>
          <w:tblCellMar>
            <w:top w:w="0" w:type="dxa"/>
            <w:left w:w="108" w:type="dxa"/>
            <w:bottom w:w="0" w:type="dxa"/>
            <w:right w:w="108" w:type="dxa"/>
          </w:tblCellMar>
        </w:tblPrEx>
        <w:tc>
          <w:tcPr>
            <w:tcW w:w="701" w:type="pct"/>
            <w:gridSpan w:val="2"/>
          </w:tcPr>
          <w:p w14:paraId="540B1B50">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1.2.1</w:t>
            </w:r>
          </w:p>
        </w:tc>
        <w:tc>
          <w:tcPr>
            <w:tcW w:w="4298" w:type="pct"/>
          </w:tcPr>
          <w:p w14:paraId="0CCFC7A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bCs/>
                <w:kern w:val="0"/>
                <w:szCs w:val="21"/>
              </w:rPr>
            </w:pPr>
            <w:r>
              <w:rPr>
                <w:rFonts w:hint="default" w:ascii="Times New Roman" w:hAnsi="Times New Roman" w:cs="Times New Roman"/>
                <w:bCs/>
                <w:kern w:val="0"/>
                <w:szCs w:val="21"/>
              </w:rPr>
              <w:t>本工程施工场地（现场）已经具备施工条件。施工场地（现场）临时水源接口位置、临时电源接口位置、临时排污口位置、建筑红线位置、道路交通和出入口、以及施工场地（现场）和周围环境等情况见本章附件A：施工场地（现场）现状平面图。</w:t>
            </w:r>
          </w:p>
          <w:p w14:paraId="1E183956">
            <w:pPr>
              <w:keepNext w:val="0"/>
              <w:keepLines w:val="0"/>
              <w:widowControl/>
              <w:suppressLineNumbers w:val="0"/>
              <w:spacing w:before="0" w:beforeAutospacing="0" w:after="156" w:afterLines="50" w:afterAutospacing="0" w:line="360" w:lineRule="auto"/>
              <w:ind w:left="0" w:right="0"/>
              <w:jc w:val="left"/>
              <w:rPr>
                <w:rFonts w:hint="eastAsia" w:ascii="Times New Roman" w:hAnsi="Times New Roman" w:cs="Times New Roman" w:eastAsiaTheme="minorEastAsia"/>
                <w:bCs/>
                <w:kern w:val="0"/>
                <w:szCs w:val="21"/>
                <w:u w:val="none"/>
                <w:lang w:eastAsia="zh-CN"/>
              </w:rPr>
            </w:pPr>
            <w:r>
              <w:rPr>
                <w:rFonts w:hint="default" w:ascii="Times New Roman" w:hAnsi="Times New Roman" w:cs="Times New Roman"/>
                <w:bCs/>
                <w:kern w:val="0"/>
                <w:szCs w:val="21"/>
              </w:rPr>
              <w:t>周边环境情况：</w:t>
            </w:r>
            <w:r>
              <w:rPr>
                <w:rFonts w:hint="default" w:ascii="Times New Roman" w:hAnsi="Times New Roman" w:cs="Times New Roman"/>
                <w:bCs/>
                <w:kern w:val="0"/>
                <w:szCs w:val="21"/>
                <w:u w:val="single"/>
              </w:rPr>
              <w:t>以现场为准</w:t>
            </w:r>
            <w:r>
              <w:rPr>
                <w:rFonts w:hint="eastAsia" w:ascii="Times New Roman" w:hAnsi="Times New Roman" w:cs="Times New Roman"/>
                <w:bCs/>
                <w:kern w:val="0"/>
                <w:szCs w:val="21"/>
                <w:u w:val="single"/>
                <w:lang w:eastAsia="zh-CN"/>
              </w:rPr>
              <w:t>。</w:t>
            </w:r>
          </w:p>
          <w:p w14:paraId="4982A9F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bCs/>
                <w:kern w:val="0"/>
                <w:szCs w:val="21"/>
                <w:lang w:val="en-US"/>
              </w:rPr>
            </w:pPr>
            <w:r>
              <w:rPr>
                <w:rFonts w:hint="default" w:ascii="Times New Roman" w:hAnsi="Times New Roman" w:cs="Times New Roman"/>
                <w:bCs/>
                <w:kern w:val="0"/>
                <w:szCs w:val="21"/>
                <w:highlight w:val="none"/>
              </w:rPr>
              <w:t>人员密集情况</w:t>
            </w:r>
            <w:r>
              <w:rPr>
                <w:rFonts w:hint="eastAsia" w:ascii="Times New Roman" w:hAnsi="Times New Roman" w:cs="Times New Roman"/>
                <w:bCs/>
                <w:kern w:val="0"/>
                <w:szCs w:val="21"/>
                <w:highlight w:val="none"/>
                <w:lang w:eastAsia="zh-CN"/>
              </w:rPr>
              <w:t>：</w:t>
            </w:r>
            <w:r>
              <w:rPr>
                <w:rFonts w:hint="default" w:ascii="Times New Roman" w:hAnsi="Times New Roman" w:cs="Times New Roman"/>
                <w:bCs/>
                <w:kern w:val="0"/>
                <w:szCs w:val="21"/>
                <w:u w:val="single"/>
                <w:lang w:eastAsia="zh-CN"/>
              </w:rPr>
              <w:t>以现场为准</w:t>
            </w:r>
            <w:r>
              <w:rPr>
                <w:rFonts w:hint="eastAsia" w:ascii="Times New Roman" w:hAnsi="Times New Roman" w:cs="Times New Roman"/>
                <w:bCs/>
                <w:kern w:val="0"/>
                <w:szCs w:val="21"/>
                <w:u w:val="single"/>
                <w:lang w:eastAsia="zh-CN"/>
              </w:rPr>
              <w:t>。</w:t>
            </w:r>
          </w:p>
        </w:tc>
      </w:tr>
      <w:tr w14:paraId="2B89A0D2">
        <w:tblPrEx>
          <w:tblCellMar>
            <w:top w:w="0" w:type="dxa"/>
            <w:left w:w="108" w:type="dxa"/>
            <w:bottom w:w="0" w:type="dxa"/>
            <w:right w:w="108" w:type="dxa"/>
          </w:tblCellMar>
        </w:tblPrEx>
        <w:tc>
          <w:tcPr>
            <w:tcW w:w="701" w:type="pct"/>
            <w:gridSpan w:val="2"/>
          </w:tcPr>
          <w:p w14:paraId="49C3C94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1.2.2</w:t>
            </w:r>
          </w:p>
        </w:tc>
        <w:tc>
          <w:tcPr>
            <w:tcW w:w="4298" w:type="pct"/>
          </w:tcPr>
          <w:p w14:paraId="15558980">
            <w:pPr>
              <w:keepNext w:val="0"/>
              <w:keepLines w:val="0"/>
              <w:widowControl/>
              <w:suppressLineNumbers w:val="0"/>
              <w:spacing w:before="0" w:beforeAutospacing="0" w:after="156" w:afterLines="50" w:afterAutospacing="0" w:line="360" w:lineRule="auto"/>
              <w:ind w:left="0" w:right="0"/>
              <w:jc w:val="left"/>
              <w:rPr>
                <w:rFonts w:hint="eastAsia" w:ascii="Times New Roman" w:hAnsi="Times New Roman" w:cs="Times New Roman" w:eastAsiaTheme="minorEastAsia"/>
                <w:bCs/>
                <w:kern w:val="0"/>
                <w:szCs w:val="21"/>
                <w:lang w:eastAsia="zh-CN"/>
              </w:rPr>
            </w:pPr>
            <w:r>
              <w:rPr>
                <w:rFonts w:hint="default" w:ascii="Times New Roman" w:hAnsi="Times New Roman" w:cs="Times New Roman"/>
                <w:bCs/>
                <w:kern w:val="0"/>
                <w:szCs w:val="21"/>
              </w:rPr>
              <w:t>施工场地（现场）临时供水管径</w:t>
            </w:r>
            <w:r>
              <w:rPr>
                <w:rFonts w:hint="default" w:ascii="Times New Roman" w:hAnsi="Times New Roman" w:cs="Times New Roman"/>
                <w:bCs/>
                <w:kern w:val="0"/>
                <w:szCs w:val="21"/>
                <w:lang w:eastAsia="zh-CN"/>
              </w:rPr>
              <w:t>：</w:t>
            </w:r>
            <w:r>
              <w:rPr>
                <w:rFonts w:hint="default" w:ascii="Times New Roman" w:hAnsi="Times New Roman" w:cs="Times New Roman"/>
                <w:bCs/>
                <w:kern w:val="0"/>
                <w:szCs w:val="21"/>
                <w:u w:val="single"/>
              </w:rPr>
              <w:t>满足施工要求</w:t>
            </w:r>
            <w:r>
              <w:rPr>
                <w:rFonts w:hint="eastAsia" w:ascii="Times New Roman" w:hAnsi="Times New Roman" w:cs="Times New Roman"/>
                <w:bCs/>
                <w:kern w:val="0"/>
                <w:szCs w:val="21"/>
                <w:u w:val="single"/>
                <w:lang w:eastAsia="zh-CN"/>
              </w:rPr>
              <w:t>。</w:t>
            </w:r>
          </w:p>
          <w:p w14:paraId="0DE74BE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eastAsiaTheme="minorEastAsia"/>
                <w:bCs/>
                <w:kern w:val="0"/>
                <w:szCs w:val="21"/>
                <w:lang w:eastAsia="zh-CN"/>
              </w:rPr>
            </w:pPr>
            <w:r>
              <w:rPr>
                <w:rFonts w:hint="default" w:ascii="Times New Roman" w:hAnsi="Times New Roman" w:cs="Times New Roman"/>
                <w:bCs/>
                <w:kern w:val="0"/>
                <w:szCs w:val="21"/>
              </w:rPr>
              <w:t>施工场地（现场）临时排污管径</w:t>
            </w:r>
            <w:r>
              <w:rPr>
                <w:rFonts w:hint="default" w:ascii="Times New Roman" w:hAnsi="Times New Roman" w:cs="Times New Roman"/>
                <w:bCs/>
                <w:kern w:val="0"/>
                <w:szCs w:val="21"/>
                <w:lang w:eastAsia="zh-CN"/>
              </w:rPr>
              <w:t>：</w:t>
            </w:r>
            <w:r>
              <w:rPr>
                <w:rFonts w:hint="default" w:ascii="Times New Roman" w:hAnsi="Times New Roman" w:cs="Times New Roman"/>
                <w:bCs/>
                <w:kern w:val="0"/>
                <w:szCs w:val="21"/>
                <w:u w:val="single"/>
              </w:rPr>
              <w:t>满足施工要求。</w:t>
            </w:r>
          </w:p>
          <w:p w14:paraId="07F65E0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bCs/>
                <w:kern w:val="0"/>
                <w:szCs w:val="21"/>
              </w:rPr>
            </w:pPr>
            <w:r>
              <w:rPr>
                <w:rFonts w:hint="default" w:ascii="Times New Roman" w:hAnsi="Times New Roman" w:cs="Times New Roman"/>
                <w:bCs/>
                <w:kern w:val="0"/>
                <w:szCs w:val="21"/>
              </w:rPr>
              <w:t>施工场地（现场）临时雨水管径</w:t>
            </w:r>
            <w:r>
              <w:rPr>
                <w:rFonts w:hint="default" w:ascii="Times New Roman" w:hAnsi="Times New Roman" w:cs="Times New Roman"/>
                <w:bCs/>
                <w:kern w:val="0"/>
                <w:szCs w:val="21"/>
                <w:lang w:eastAsia="zh-CN"/>
              </w:rPr>
              <w:t>：</w:t>
            </w:r>
            <w:r>
              <w:rPr>
                <w:rFonts w:hint="default" w:ascii="Times New Roman" w:hAnsi="Times New Roman" w:cs="Times New Roman"/>
                <w:bCs/>
                <w:kern w:val="0"/>
                <w:szCs w:val="21"/>
                <w:u w:val="single"/>
              </w:rPr>
              <w:t>满足施工要求。</w:t>
            </w:r>
          </w:p>
          <w:p w14:paraId="6AFD593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eastAsiaTheme="minorEastAsia"/>
                <w:bCs/>
                <w:kern w:val="0"/>
                <w:szCs w:val="21"/>
                <w:lang w:eastAsia="zh-CN"/>
              </w:rPr>
            </w:pPr>
            <w:r>
              <w:rPr>
                <w:rFonts w:hint="default" w:ascii="Times New Roman" w:hAnsi="Times New Roman" w:cs="Times New Roman"/>
                <w:bCs/>
                <w:kern w:val="0"/>
                <w:szCs w:val="21"/>
              </w:rPr>
              <w:t>施工现场临时供电容量（变压器输出功率）</w:t>
            </w:r>
            <w:r>
              <w:rPr>
                <w:rFonts w:hint="default" w:ascii="Times New Roman" w:hAnsi="Times New Roman" w:cs="Times New Roman"/>
                <w:bCs/>
                <w:kern w:val="0"/>
                <w:szCs w:val="21"/>
                <w:lang w:eastAsia="zh-CN"/>
              </w:rPr>
              <w:t>：</w:t>
            </w:r>
            <w:r>
              <w:rPr>
                <w:rFonts w:hint="default" w:ascii="Times New Roman" w:hAnsi="Times New Roman" w:cs="Times New Roman"/>
                <w:bCs/>
                <w:kern w:val="0"/>
                <w:szCs w:val="21"/>
                <w:u w:val="single"/>
              </w:rPr>
              <w:t xml:space="preserve">       /    </w:t>
            </w:r>
          </w:p>
        </w:tc>
      </w:tr>
      <w:tr w14:paraId="3BD62101">
        <w:tc>
          <w:tcPr>
            <w:tcW w:w="701" w:type="pct"/>
            <w:gridSpan w:val="2"/>
          </w:tcPr>
          <w:p w14:paraId="047F6B74">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1.2.3</w:t>
            </w:r>
          </w:p>
        </w:tc>
        <w:tc>
          <w:tcPr>
            <w:tcW w:w="4298" w:type="pct"/>
          </w:tcPr>
          <w:p w14:paraId="41D85880">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eastAsiaTheme="minorEastAsia"/>
                <w:kern w:val="0"/>
                <w:szCs w:val="21"/>
                <w:lang w:val="en-US" w:eastAsia="zh-CN"/>
              </w:rPr>
            </w:pPr>
            <w:r>
              <w:rPr>
                <w:rFonts w:hint="default" w:ascii="Times New Roman" w:hAnsi="Times New Roman" w:cs="Times New Roman"/>
                <w:kern w:val="0"/>
                <w:szCs w:val="21"/>
              </w:rPr>
              <w:t>现场条件和周围环境的其他资料和信息数据如下：</w:t>
            </w:r>
            <w:r>
              <w:rPr>
                <w:rFonts w:hint="default" w:ascii="Times New Roman" w:hAnsi="Times New Roman" w:cs="Times New Roman"/>
                <w:bCs/>
                <w:kern w:val="0"/>
                <w:szCs w:val="21"/>
                <w:u w:val="single"/>
              </w:rPr>
              <w:t xml:space="preserve">  </w:t>
            </w:r>
            <w:r>
              <w:rPr>
                <w:rFonts w:hint="default" w:ascii="Times New Roman" w:hAnsi="Times New Roman" w:cs="Times New Roman"/>
                <w:bCs/>
                <w:kern w:val="0"/>
                <w:szCs w:val="21"/>
                <w:u w:val="single"/>
                <w:lang w:val="en-US" w:eastAsia="zh-CN"/>
              </w:rPr>
              <w:t xml:space="preserve">       </w:t>
            </w:r>
            <w:r>
              <w:rPr>
                <w:rFonts w:hint="default" w:ascii="Times New Roman" w:hAnsi="Times New Roman" w:cs="Times New Roman"/>
                <w:bCs/>
                <w:kern w:val="0"/>
                <w:szCs w:val="21"/>
                <w:u w:val="single"/>
              </w:rPr>
              <w:t xml:space="preserve"> /   </w:t>
            </w:r>
            <w:r>
              <w:rPr>
                <w:rFonts w:hint="default" w:ascii="Times New Roman" w:hAnsi="Times New Roman" w:cs="Times New Roman"/>
                <w:bCs/>
                <w:kern w:val="0"/>
                <w:szCs w:val="21"/>
                <w:u w:val="single"/>
                <w:lang w:val="en-US" w:eastAsia="zh-CN"/>
              </w:rPr>
              <w:t xml:space="preserve">       </w:t>
            </w:r>
          </w:p>
        </w:tc>
      </w:tr>
      <w:tr w14:paraId="78A36553">
        <w:tblPrEx>
          <w:tblCellMar>
            <w:top w:w="0" w:type="dxa"/>
            <w:left w:w="108" w:type="dxa"/>
            <w:bottom w:w="0" w:type="dxa"/>
            <w:right w:w="108" w:type="dxa"/>
          </w:tblCellMar>
        </w:tblPrEx>
        <w:tc>
          <w:tcPr>
            <w:tcW w:w="701" w:type="pct"/>
            <w:gridSpan w:val="2"/>
          </w:tcPr>
          <w:p w14:paraId="396546C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1.2.4</w:t>
            </w:r>
          </w:p>
        </w:tc>
        <w:tc>
          <w:tcPr>
            <w:tcW w:w="4298" w:type="pct"/>
          </w:tcPr>
          <w:p w14:paraId="54ECA99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bCs/>
                <w:kern w:val="0"/>
                <w:szCs w:val="21"/>
              </w:rPr>
              <w:t>承包人被认为已在本工程投标阶段踏勘现场时充分了解本工程现场条件和周围环境，并已在其投标时就此给予了充分的考虑。</w:t>
            </w:r>
          </w:p>
        </w:tc>
      </w:tr>
      <w:tr w14:paraId="5F227B2B">
        <w:tblPrEx>
          <w:tblCellMar>
            <w:top w:w="0" w:type="dxa"/>
            <w:left w:w="108" w:type="dxa"/>
            <w:bottom w:w="0" w:type="dxa"/>
            <w:right w:w="108" w:type="dxa"/>
          </w:tblCellMar>
        </w:tblPrEx>
        <w:tc>
          <w:tcPr>
            <w:tcW w:w="701" w:type="pct"/>
            <w:gridSpan w:val="2"/>
          </w:tcPr>
          <w:p w14:paraId="2F6F798D">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bCs/>
                <w:kern w:val="0"/>
                <w:szCs w:val="21"/>
                <w:lang w:eastAsia="en-US"/>
              </w:rPr>
              <w:t>1.3</w:t>
            </w:r>
          </w:p>
        </w:tc>
        <w:tc>
          <w:tcPr>
            <w:tcW w:w="4298" w:type="pct"/>
          </w:tcPr>
          <w:p w14:paraId="11510DCF">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Cs/>
                <w:kern w:val="0"/>
                <w:szCs w:val="21"/>
                <w:lang w:eastAsia="en-US"/>
              </w:rPr>
            </w:pPr>
            <w:r>
              <w:rPr>
                <w:rFonts w:hint="default" w:ascii="Times New Roman" w:hAnsi="Times New Roman" w:cs="Times New Roman"/>
                <w:b/>
                <w:bCs/>
                <w:kern w:val="0"/>
                <w:szCs w:val="21"/>
                <w:lang w:eastAsia="en-US"/>
              </w:rPr>
              <w:t>地质及水文资料</w:t>
            </w:r>
          </w:p>
        </w:tc>
      </w:tr>
      <w:tr w14:paraId="13B3447C">
        <w:tblPrEx>
          <w:tblCellMar>
            <w:top w:w="0" w:type="dxa"/>
            <w:left w:w="108" w:type="dxa"/>
            <w:bottom w:w="0" w:type="dxa"/>
            <w:right w:w="108" w:type="dxa"/>
          </w:tblCellMar>
        </w:tblPrEx>
        <w:tc>
          <w:tcPr>
            <w:tcW w:w="701" w:type="pct"/>
            <w:gridSpan w:val="2"/>
          </w:tcPr>
          <w:p w14:paraId="4C547373">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1.3.1</w:t>
            </w:r>
          </w:p>
        </w:tc>
        <w:tc>
          <w:tcPr>
            <w:tcW w:w="4298" w:type="pct"/>
          </w:tcPr>
          <w:p w14:paraId="33556AEF">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eastAsiaTheme="minorEastAsia"/>
                <w:bCs/>
                <w:kern w:val="0"/>
                <w:szCs w:val="21"/>
                <w:lang w:eastAsia="zh-CN"/>
              </w:rPr>
            </w:pPr>
            <w:r>
              <w:rPr>
                <w:rFonts w:hint="default" w:ascii="Times New Roman" w:hAnsi="Times New Roman" w:cs="Times New Roman"/>
                <w:kern w:val="0"/>
                <w:szCs w:val="21"/>
              </w:rPr>
              <w:t>现场地质及水文资料和信息数据如下：</w:t>
            </w:r>
            <w:r>
              <w:rPr>
                <w:rFonts w:hint="default" w:ascii="Times New Roman" w:hAnsi="Times New Roman" w:cs="Times New Roman"/>
                <w:kern w:val="0"/>
                <w:szCs w:val="21"/>
                <w:u w:val="single"/>
              </w:rPr>
              <w:t xml:space="preserve">          /          </w:t>
            </w:r>
          </w:p>
        </w:tc>
      </w:tr>
      <w:tr w14:paraId="1CF13719">
        <w:tc>
          <w:tcPr>
            <w:tcW w:w="701" w:type="pct"/>
            <w:gridSpan w:val="2"/>
          </w:tcPr>
          <w:p w14:paraId="643348A3">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bCs/>
                <w:kern w:val="0"/>
                <w:szCs w:val="21"/>
                <w:lang w:eastAsia="en-US"/>
              </w:rPr>
              <w:t>1.4</w:t>
            </w:r>
          </w:p>
        </w:tc>
        <w:tc>
          <w:tcPr>
            <w:tcW w:w="4298" w:type="pct"/>
          </w:tcPr>
          <w:p w14:paraId="11739076">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bCs/>
                <w:kern w:val="0"/>
                <w:szCs w:val="21"/>
                <w:lang w:eastAsia="en-US"/>
              </w:rPr>
              <w:t>资料和信息的使用</w:t>
            </w:r>
          </w:p>
        </w:tc>
      </w:tr>
      <w:tr w14:paraId="46AFB06C">
        <w:tblPrEx>
          <w:tblCellMar>
            <w:top w:w="0" w:type="dxa"/>
            <w:left w:w="108" w:type="dxa"/>
            <w:bottom w:w="0" w:type="dxa"/>
            <w:right w:w="108" w:type="dxa"/>
          </w:tblCellMar>
        </w:tblPrEx>
        <w:tc>
          <w:tcPr>
            <w:tcW w:w="701" w:type="pct"/>
            <w:gridSpan w:val="2"/>
          </w:tcPr>
          <w:p w14:paraId="6F1C29F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1.4.1</w:t>
            </w:r>
          </w:p>
        </w:tc>
        <w:tc>
          <w:tcPr>
            <w:tcW w:w="4298" w:type="pct"/>
          </w:tcPr>
          <w:p w14:paraId="1BE17856">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bCs/>
                <w:kern w:val="0"/>
                <w:szCs w:val="21"/>
              </w:rPr>
            </w:pPr>
            <w:r>
              <w:rPr>
                <w:rFonts w:hint="default" w:ascii="Times New Roman" w:hAnsi="Times New Roman" w:cs="Times New Roman"/>
                <w:kern w:val="0"/>
                <w:szCs w:val="21"/>
              </w:rPr>
              <w:t>合同文件中载明的涉及本工程现场条件、周围环境、地质及水文等情况的资料和信息数据，是发包人现有的和客观的，发包人保证有关资料和信息数据的真实、准确。但承包人据此作出的推论、判断和决策，由承包人自行负责。</w:t>
            </w:r>
          </w:p>
        </w:tc>
      </w:tr>
      <w:tr w14:paraId="50963E04">
        <w:tblPrEx>
          <w:tblCellMar>
            <w:top w:w="0" w:type="dxa"/>
            <w:left w:w="108" w:type="dxa"/>
            <w:bottom w:w="0" w:type="dxa"/>
            <w:right w:w="108" w:type="dxa"/>
          </w:tblCellMar>
        </w:tblPrEx>
        <w:tc>
          <w:tcPr>
            <w:tcW w:w="5000" w:type="pct"/>
            <w:gridSpan w:val="3"/>
          </w:tcPr>
          <w:p w14:paraId="74040A5C">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bookmarkStart w:id="2" w:name="_Toc429569601"/>
            <w:bookmarkStart w:id="3" w:name="_Toc453744823"/>
            <w:r>
              <w:rPr>
                <w:rFonts w:hint="default" w:ascii="Times New Roman" w:hAnsi="Times New Roman" w:cs="Times New Roman"/>
                <w:b/>
                <w:bCs/>
                <w:kern w:val="0"/>
                <w:szCs w:val="21"/>
                <w:lang w:eastAsia="en-US"/>
              </w:rPr>
              <w:t>2. 承包范围</w:t>
            </w:r>
            <w:bookmarkEnd w:id="2"/>
            <w:bookmarkEnd w:id="3"/>
          </w:p>
        </w:tc>
      </w:tr>
      <w:tr w14:paraId="7413D270">
        <w:tblPrEx>
          <w:tblCellMar>
            <w:top w:w="0" w:type="dxa"/>
            <w:left w:w="108" w:type="dxa"/>
            <w:bottom w:w="0" w:type="dxa"/>
            <w:right w:w="108" w:type="dxa"/>
          </w:tblCellMar>
        </w:tblPrEx>
        <w:tc>
          <w:tcPr>
            <w:tcW w:w="701" w:type="pct"/>
            <w:gridSpan w:val="2"/>
          </w:tcPr>
          <w:p w14:paraId="07453568">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2.1</w:t>
            </w:r>
          </w:p>
        </w:tc>
        <w:tc>
          <w:tcPr>
            <w:tcW w:w="4298" w:type="pct"/>
          </w:tcPr>
          <w:p w14:paraId="24AB0174">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承包范围</w:t>
            </w:r>
          </w:p>
        </w:tc>
      </w:tr>
      <w:tr w14:paraId="5287A171">
        <w:tc>
          <w:tcPr>
            <w:tcW w:w="701" w:type="pct"/>
            <w:gridSpan w:val="2"/>
          </w:tcPr>
          <w:p w14:paraId="4D6565E6">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kern w:val="0"/>
                <w:szCs w:val="21"/>
                <w:lang w:eastAsia="en-US"/>
              </w:rPr>
              <w:t>2.1.1</w:t>
            </w:r>
          </w:p>
        </w:tc>
        <w:tc>
          <w:tcPr>
            <w:tcW w:w="4298" w:type="pct"/>
          </w:tcPr>
          <w:p w14:paraId="56A2FAD5">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承包人自行施工范围</w:t>
            </w:r>
          </w:p>
        </w:tc>
      </w:tr>
      <w:tr w14:paraId="0EA3BB38">
        <w:tblPrEx>
          <w:tblCellMar>
            <w:top w:w="0" w:type="dxa"/>
            <w:left w:w="108" w:type="dxa"/>
            <w:bottom w:w="0" w:type="dxa"/>
            <w:right w:w="108" w:type="dxa"/>
          </w:tblCellMar>
        </w:tblPrEx>
        <w:tc>
          <w:tcPr>
            <w:tcW w:w="701" w:type="pct"/>
            <w:gridSpan w:val="2"/>
          </w:tcPr>
          <w:p w14:paraId="6B1C14EA">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p>
        </w:tc>
        <w:tc>
          <w:tcPr>
            <w:tcW w:w="4298" w:type="pct"/>
          </w:tcPr>
          <w:p w14:paraId="213ABBE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u w:val="single"/>
                <w:lang w:eastAsia="zh-CN"/>
              </w:rPr>
            </w:pPr>
            <w:r>
              <w:rPr>
                <w:rFonts w:hint="default" w:ascii="Times New Roman" w:hAnsi="Times New Roman" w:cs="Times New Roman"/>
                <w:kern w:val="0"/>
                <w:szCs w:val="21"/>
              </w:rPr>
              <w:t>本工程承包人自行施工的工程范围如下：</w:t>
            </w:r>
            <w:r>
              <w:rPr>
                <w:rFonts w:hint="default" w:ascii="Times New Roman" w:hAnsi="Times New Roman" w:cs="Times New Roman"/>
                <w:kern w:val="0"/>
                <w:szCs w:val="21"/>
                <w:u w:val="single"/>
                <w:lang w:eastAsia="zh-CN"/>
              </w:rPr>
              <w:t>中国劳动关系学院两校区消防设备设施更新改造项目施工图及工程量清单内的全部内容，包括但不限于工程施工、消防检测、消防验收、竣工验收、交付使用、技术培训、系统升级、质量保修所需要的所有工作</w:t>
            </w:r>
            <w:r>
              <w:rPr>
                <w:rFonts w:hint="eastAsia" w:ascii="Times New Roman" w:hAnsi="Times New Roman" w:cs="Times New Roman"/>
                <w:kern w:val="0"/>
                <w:szCs w:val="21"/>
                <w:u w:val="single"/>
                <w:lang w:val="en-US" w:eastAsia="zh-CN"/>
              </w:rPr>
              <w:t xml:space="preserve"> </w:t>
            </w:r>
            <w:r>
              <w:rPr>
                <w:rFonts w:hint="default" w:ascii="Times New Roman" w:hAnsi="Times New Roman" w:cs="Times New Roman"/>
                <w:kern w:val="0"/>
                <w:szCs w:val="21"/>
                <w:u w:val="single"/>
                <w:lang w:eastAsia="zh-CN"/>
              </w:rPr>
              <w:t>具体工作包括但不限以下内容：</w:t>
            </w:r>
          </w:p>
          <w:p w14:paraId="62001BA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u w:val="single"/>
                <w:lang w:eastAsia="zh-CN"/>
              </w:rPr>
            </w:pPr>
            <w:r>
              <w:rPr>
                <w:rFonts w:hint="default" w:ascii="Times New Roman" w:hAnsi="Times New Roman" w:cs="Times New Roman"/>
                <w:kern w:val="0"/>
                <w:szCs w:val="21"/>
                <w:u w:val="single"/>
                <w:lang w:eastAsia="zh-CN"/>
              </w:rPr>
              <w:t>（1）承包人应针对投标方案中欠合理部分进行优化和深化设计；中标后须将深化设计文件提交相关单位审核确认（包括：发包人、设计人、监理人等）；</w:t>
            </w:r>
          </w:p>
          <w:p w14:paraId="790C651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u w:val="single"/>
                <w:lang w:eastAsia="zh-CN"/>
              </w:rPr>
            </w:pPr>
            <w:r>
              <w:rPr>
                <w:rFonts w:hint="default" w:ascii="Times New Roman" w:hAnsi="Times New Roman" w:cs="Times New Roman"/>
                <w:kern w:val="0"/>
                <w:szCs w:val="21"/>
                <w:u w:val="single"/>
                <w:lang w:eastAsia="zh-CN"/>
              </w:rPr>
              <w:t>（2）其它所有消防系统材料设备设施及部件的采购、供应、拆除、安装及运输；</w:t>
            </w:r>
          </w:p>
          <w:p w14:paraId="2C20646E">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u w:val="single"/>
                <w:lang w:eastAsia="zh-CN"/>
              </w:rPr>
            </w:pPr>
            <w:r>
              <w:rPr>
                <w:rFonts w:hint="default" w:ascii="Times New Roman" w:hAnsi="Times New Roman" w:cs="Times New Roman"/>
                <w:kern w:val="0"/>
                <w:szCs w:val="21"/>
                <w:u w:val="single"/>
                <w:lang w:eastAsia="zh-CN"/>
              </w:rPr>
              <w:t>（3）负责完成所有设备单机调试、联动设备的联动控制接线和联动调试工作；</w:t>
            </w:r>
          </w:p>
          <w:p w14:paraId="040E11C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u w:val="single"/>
                <w:lang w:eastAsia="zh-CN"/>
              </w:rPr>
            </w:pPr>
            <w:r>
              <w:rPr>
                <w:rFonts w:hint="default" w:ascii="Times New Roman" w:hAnsi="Times New Roman" w:cs="Times New Roman"/>
                <w:kern w:val="0"/>
                <w:szCs w:val="21"/>
                <w:u w:val="single"/>
                <w:lang w:eastAsia="zh-CN"/>
              </w:rPr>
              <w:t>（4)为确保系统的完整性，承包人须将图纸深化而增加的所有费用综合考虑在报价中，包括但不限于实施中必要的设备、管线及辅材等。中标后，除非发包人的设计需求改变，否则将不因承包人漏项而办理任何变更和洽商；</w:t>
            </w:r>
          </w:p>
          <w:p w14:paraId="2B8F56C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u w:val="single"/>
                <w:lang w:eastAsia="zh-CN"/>
              </w:rPr>
            </w:pPr>
            <w:r>
              <w:rPr>
                <w:rFonts w:hint="default" w:ascii="Times New Roman" w:hAnsi="Times New Roman" w:cs="Times New Roman"/>
                <w:kern w:val="0"/>
                <w:szCs w:val="21"/>
                <w:u w:val="single"/>
                <w:lang w:eastAsia="zh-CN"/>
              </w:rPr>
              <w:t>（5)承包人需承担本项目的消防检测费用；</w:t>
            </w:r>
          </w:p>
          <w:p w14:paraId="59FEBF0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u w:val="single"/>
                <w:lang w:eastAsia="zh-CN"/>
              </w:rPr>
            </w:pPr>
            <w:r>
              <w:rPr>
                <w:rFonts w:hint="default" w:ascii="Times New Roman" w:hAnsi="Times New Roman" w:cs="Times New Roman"/>
                <w:kern w:val="0"/>
                <w:szCs w:val="21"/>
                <w:u w:val="single"/>
                <w:lang w:eastAsia="zh-CN"/>
              </w:rPr>
              <w:t>（6)安排、组织1-3次技术培训，以便使学员对整套系统的各个方面都能熟练掌握；</w:t>
            </w:r>
          </w:p>
          <w:p w14:paraId="28235D0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u w:val="single"/>
                <w:lang w:eastAsia="zh-CN"/>
              </w:rPr>
            </w:pPr>
            <w:r>
              <w:rPr>
                <w:rFonts w:hint="default" w:ascii="Times New Roman" w:hAnsi="Times New Roman" w:cs="Times New Roman"/>
                <w:kern w:val="0"/>
                <w:szCs w:val="21"/>
                <w:u w:val="single"/>
                <w:lang w:eastAsia="zh-CN"/>
              </w:rPr>
              <w:t>（7)承担相应系统的维护、检验、调试、技术支持、维修措施及急修接报后的响应措施等售后服务以及其他类似义务；</w:t>
            </w:r>
          </w:p>
          <w:p w14:paraId="093BD44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u w:val="single"/>
                <w:lang w:eastAsia="zh-CN"/>
              </w:rPr>
            </w:pPr>
            <w:r>
              <w:rPr>
                <w:rFonts w:hint="default" w:ascii="Times New Roman" w:hAnsi="Times New Roman" w:cs="Times New Roman"/>
                <w:kern w:val="0"/>
                <w:szCs w:val="21"/>
                <w:u w:val="single"/>
                <w:lang w:eastAsia="zh-CN"/>
              </w:rPr>
              <w:t>（8）负责安装后的成品保护工作，直至竣工交验；</w:t>
            </w:r>
          </w:p>
          <w:p w14:paraId="5FD83FA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u w:val="single"/>
                <w:lang w:eastAsia="zh-CN"/>
              </w:rPr>
            </w:pPr>
            <w:r>
              <w:rPr>
                <w:rFonts w:hint="default" w:ascii="Times New Roman" w:hAnsi="Times New Roman" w:cs="Times New Roman"/>
                <w:kern w:val="0"/>
                <w:szCs w:val="21"/>
                <w:u w:val="single"/>
                <w:lang w:eastAsia="zh-CN"/>
              </w:rPr>
              <w:t>（9）负责自整体工程竣工验收合格之日起24个月的保修工作；</w:t>
            </w:r>
          </w:p>
          <w:p w14:paraId="40A437E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eastAsiaTheme="minorEastAsia"/>
                <w:kern w:val="0"/>
                <w:szCs w:val="21"/>
                <w:lang w:val="en-US" w:eastAsia="zh-CN"/>
              </w:rPr>
            </w:pPr>
            <w:r>
              <w:rPr>
                <w:rFonts w:hint="default" w:ascii="Times New Roman" w:hAnsi="Times New Roman" w:cs="Times New Roman"/>
                <w:kern w:val="0"/>
                <w:szCs w:val="21"/>
                <w:u w:val="single"/>
                <w:lang w:eastAsia="zh-CN"/>
              </w:rPr>
              <w:t>（10）负责以上虽未载明但为完成消防工程竣工交验所必须的一切设备、材料供应及相关工作。</w:t>
            </w:r>
          </w:p>
        </w:tc>
      </w:tr>
      <w:tr w14:paraId="04985777">
        <w:tblPrEx>
          <w:tblCellMar>
            <w:top w:w="0" w:type="dxa"/>
            <w:left w:w="108" w:type="dxa"/>
            <w:bottom w:w="0" w:type="dxa"/>
            <w:right w:w="108" w:type="dxa"/>
          </w:tblCellMar>
        </w:tblPrEx>
        <w:tc>
          <w:tcPr>
            <w:tcW w:w="701" w:type="pct"/>
            <w:gridSpan w:val="2"/>
          </w:tcPr>
          <w:p w14:paraId="48E4C020">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kern w:val="0"/>
                <w:szCs w:val="21"/>
                <w:lang w:eastAsia="en-US"/>
              </w:rPr>
              <w:t>2.1.2</w:t>
            </w:r>
          </w:p>
        </w:tc>
        <w:tc>
          <w:tcPr>
            <w:tcW w:w="4298" w:type="pct"/>
          </w:tcPr>
          <w:p w14:paraId="69CB01FB">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b/>
                <w:kern w:val="0"/>
                <w:szCs w:val="21"/>
              </w:rPr>
              <w:t>承包范围内的暂估价项目</w:t>
            </w:r>
          </w:p>
        </w:tc>
      </w:tr>
      <w:tr w14:paraId="25C3BA2C">
        <w:tblPrEx>
          <w:tblCellMar>
            <w:top w:w="0" w:type="dxa"/>
            <w:left w:w="108" w:type="dxa"/>
            <w:bottom w:w="0" w:type="dxa"/>
            <w:right w:w="108" w:type="dxa"/>
          </w:tblCellMar>
        </w:tblPrEx>
        <w:tc>
          <w:tcPr>
            <w:tcW w:w="701" w:type="pct"/>
            <w:gridSpan w:val="2"/>
          </w:tcPr>
          <w:p w14:paraId="23EE527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2.1.2.1</w:t>
            </w:r>
          </w:p>
        </w:tc>
        <w:tc>
          <w:tcPr>
            <w:tcW w:w="4298" w:type="pct"/>
          </w:tcPr>
          <w:p w14:paraId="5CF996D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承包范围内以暂估价形式实施的专业工程见第五章“工程量清单”表4.10-2“专业工程暂估价表”。</w:t>
            </w:r>
          </w:p>
        </w:tc>
      </w:tr>
      <w:tr w14:paraId="1D5A2B80">
        <w:tc>
          <w:tcPr>
            <w:tcW w:w="701" w:type="pct"/>
            <w:gridSpan w:val="2"/>
          </w:tcPr>
          <w:p w14:paraId="1344640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2.1.2.2</w:t>
            </w:r>
          </w:p>
        </w:tc>
        <w:tc>
          <w:tcPr>
            <w:tcW w:w="4298" w:type="pct"/>
          </w:tcPr>
          <w:p w14:paraId="4776DCF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承包范围内以暂估价形式实施的材料和工程设备见第五章“工程量清单”表4.8“材料暂估单价表”。</w:t>
            </w:r>
          </w:p>
        </w:tc>
      </w:tr>
      <w:tr w14:paraId="68DE2ACB">
        <w:tblPrEx>
          <w:tblCellMar>
            <w:top w:w="0" w:type="dxa"/>
            <w:left w:w="108" w:type="dxa"/>
            <w:bottom w:w="0" w:type="dxa"/>
            <w:right w:w="108" w:type="dxa"/>
          </w:tblCellMar>
        </w:tblPrEx>
        <w:tc>
          <w:tcPr>
            <w:tcW w:w="701" w:type="pct"/>
            <w:gridSpan w:val="2"/>
          </w:tcPr>
          <w:p w14:paraId="095DE30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2.1.2.3</w:t>
            </w:r>
          </w:p>
        </w:tc>
        <w:tc>
          <w:tcPr>
            <w:tcW w:w="4298" w:type="pct"/>
          </w:tcPr>
          <w:p w14:paraId="0E82146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上述暂估价项目与本节第2.1.1项承包人自行施工范围的工作界面划分如下：</w:t>
            </w:r>
          </w:p>
          <w:p w14:paraId="7678446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eastAsiaTheme="minorEastAsia"/>
                <w:kern w:val="0"/>
                <w:szCs w:val="21"/>
                <w:lang w:eastAsia="zh-CN"/>
              </w:rPr>
            </w:pPr>
            <w:r>
              <w:rPr>
                <w:rFonts w:hint="default" w:ascii="Times New Roman" w:hAnsi="Times New Roman" w:cs="Times New Roman"/>
                <w:bCs/>
                <w:kern w:val="0"/>
                <w:szCs w:val="21"/>
                <w:u w:val="single"/>
              </w:rPr>
              <w:t xml:space="preserve">  </w:t>
            </w:r>
            <w:r>
              <w:rPr>
                <w:rFonts w:hint="default" w:ascii="Times New Roman" w:hAnsi="Times New Roman" w:cs="Times New Roman"/>
                <w:bCs/>
                <w:kern w:val="0"/>
                <w:szCs w:val="21"/>
                <w:u w:val="single"/>
                <w:lang w:val="en-US" w:eastAsia="zh-CN"/>
              </w:rPr>
              <w:t xml:space="preserve">          </w:t>
            </w:r>
            <w:r>
              <w:rPr>
                <w:rFonts w:hint="default" w:ascii="Times New Roman" w:hAnsi="Times New Roman" w:cs="Times New Roman"/>
                <w:bCs/>
                <w:kern w:val="0"/>
                <w:szCs w:val="21"/>
                <w:u w:val="single"/>
              </w:rPr>
              <w:t xml:space="preserve"> </w:t>
            </w:r>
            <w:r>
              <w:rPr>
                <w:rFonts w:hint="default" w:ascii="Times New Roman" w:hAnsi="Times New Roman" w:cs="Times New Roman"/>
                <w:bCs/>
                <w:kern w:val="0"/>
                <w:szCs w:val="21"/>
                <w:u w:val="single"/>
                <w:lang w:val="en-US" w:eastAsia="zh-CN"/>
              </w:rPr>
              <w:t xml:space="preserve">/             </w:t>
            </w:r>
            <w:r>
              <w:rPr>
                <w:rFonts w:hint="default" w:ascii="Times New Roman" w:hAnsi="Times New Roman" w:cs="Times New Roman"/>
                <w:bCs/>
                <w:kern w:val="0"/>
                <w:szCs w:val="21"/>
                <w:u w:val="single"/>
              </w:rPr>
              <w:t xml:space="preserve">   </w:t>
            </w:r>
          </w:p>
        </w:tc>
      </w:tr>
      <w:tr w14:paraId="6E9DD856">
        <w:tblPrEx>
          <w:tblCellMar>
            <w:top w:w="0" w:type="dxa"/>
            <w:left w:w="108" w:type="dxa"/>
            <w:bottom w:w="0" w:type="dxa"/>
            <w:right w:w="108" w:type="dxa"/>
          </w:tblCellMar>
        </w:tblPrEx>
        <w:tc>
          <w:tcPr>
            <w:tcW w:w="701" w:type="pct"/>
            <w:gridSpan w:val="2"/>
          </w:tcPr>
          <w:p w14:paraId="42B075AD">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kern w:val="0"/>
                <w:szCs w:val="21"/>
                <w:lang w:eastAsia="en-US"/>
              </w:rPr>
              <w:t>2.1.3</w:t>
            </w:r>
          </w:p>
        </w:tc>
        <w:tc>
          <w:tcPr>
            <w:tcW w:w="4298" w:type="pct"/>
          </w:tcPr>
          <w:p w14:paraId="5E80C60F">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b/>
                <w:kern w:val="0"/>
                <w:szCs w:val="21"/>
              </w:rPr>
              <w:t>承包范围内的暂列金额项目</w:t>
            </w:r>
          </w:p>
        </w:tc>
      </w:tr>
      <w:tr w14:paraId="6996625E">
        <w:tblPrEx>
          <w:tblCellMar>
            <w:top w:w="0" w:type="dxa"/>
            <w:left w:w="108" w:type="dxa"/>
            <w:bottom w:w="0" w:type="dxa"/>
            <w:right w:w="108" w:type="dxa"/>
          </w:tblCellMar>
        </w:tblPrEx>
        <w:tc>
          <w:tcPr>
            <w:tcW w:w="701" w:type="pct"/>
            <w:gridSpan w:val="2"/>
          </w:tcPr>
          <w:p w14:paraId="7C00CAD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2.1.3.1</w:t>
            </w:r>
          </w:p>
        </w:tc>
        <w:tc>
          <w:tcPr>
            <w:tcW w:w="4298" w:type="pct"/>
          </w:tcPr>
          <w:p w14:paraId="2B53F00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以暂列金额（包括计日工）</w:t>
            </w:r>
            <w:bookmarkStart w:id="4" w:name="OLE_LINK111"/>
            <w:r>
              <w:rPr>
                <w:rFonts w:hint="default" w:ascii="Times New Roman" w:hAnsi="Times New Roman" w:cs="Times New Roman"/>
                <w:kern w:val="0"/>
                <w:szCs w:val="21"/>
              </w:rPr>
              <w:t>方式实施的项目一般包括两部分，</w:t>
            </w:r>
            <w:bookmarkEnd w:id="4"/>
            <w:r>
              <w:rPr>
                <w:rFonts w:hint="default" w:ascii="Times New Roman" w:hAnsi="Times New Roman" w:cs="Times New Roman"/>
                <w:kern w:val="0"/>
                <w:szCs w:val="21"/>
              </w:rPr>
              <w:t>见第五章“工程量清单”表4.10-1“暂列金额明细表”（不包括计日工）和表4.10-3“计日工表”；其中，计日工金额为承包人在其投标报价中按表4.10-3“计日工表”所列计日工项目、暂估数量等相应规定填报的金额，构成暂列金额的一部分。</w:t>
            </w:r>
          </w:p>
        </w:tc>
      </w:tr>
      <w:tr w14:paraId="393AC805">
        <w:tc>
          <w:tcPr>
            <w:tcW w:w="701" w:type="pct"/>
            <w:gridSpan w:val="2"/>
          </w:tcPr>
          <w:p w14:paraId="57661254">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2.1.3.2</w:t>
            </w:r>
          </w:p>
        </w:tc>
        <w:tc>
          <w:tcPr>
            <w:tcW w:w="4298" w:type="pct"/>
          </w:tcPr>
          <w:p w14:paraId="194CD2B0">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暂列金额明细表中每笔暂列金额所对应的项目，或计日工表中所列计日工项目，均只是可能发生的项目。。承包人应当充分认识到，合同履行过程中所列暂列金额可能不发生，也可能部分发生。即便发生，监理人按照合同约定发出的使用暂列金额的指示也不限于只能用于表中所列子目。</w:t>
            </w:r>
          </w:p>
        </w:tc>
      </w:tr>
      <w:tr w14:paraId="5B93BD3D">
        <w:tblPrEx>
          <w:tblCellMar>
            <w:top w:w="0" w:type="dxa"/>
            <w:left w:w="108" w:type="dxa"/>
            <w:bottom w:w="0" w:type="dxa"/>
            <w:right w:w="108" w:type="dxa"/>
          </w:tblCellMar>
        </w:tblPrEx>
        <w:tc>
          <w:tcPr>
            <w:tcW w:w="701" w:type="pct"/>
            <w:gridSpan w:val="2"/>
          </w:tcPr>
          <w:p w14:paraId="07CB770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2.1.3.3</w:t>
            </w:r>
          </w:p>
        </w:tc>
        <w:tc>
          <w:tcPr>
            <w:tcW w:w="4298" w:type="pct"/>
          </w:tcPr>
          <w:p w14:paraId="19AFB95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暂列金额是否实际发生、其再分和（或）合并等均不应成为承包人要求任何追加费用和(或)延长工期的理由。</w:t>
            </w:r>
          </w:p>
        </w:tc>
      </w:tr>
      <w:tr w14:paraId="12CB5280">
        <w:tblPrEx>
          <w:tblCellMar>
            <w:top w:w="0" w:type="dxa"/>
            <w:left w:w="108" w:type="dxa"/>
            <w:bottom w:w="0" w:type="dxa"/>
            <w:right w:w="108" w:type="dxa"/>
          </w:tblCellMar>
        </w:tblPrEx>
        <w:tc>
          <w:tcPr>
            <w:tcW w:w="701" w:type="pct"/>
            <w:gridSpan w:val="2"/>
          </w:tcPr>
          <w:p w14:paraId="48FD95F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2.1.3.4</w:t>
            </w:r>
          </w:p>
        </w:tc>
        <w:tc>
          <w:tcPr>
            <w:tcW w:w="4298" w:type="pct"/>
          </w:tcPr>
          <w:p w14:paraId="7C8A360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rPr>
              <w:t>关于暂列金额的其他说明：</w:t>
            </w:r>
            <w:r>
              <w:rPr>
                <w:rFonts w:hint="default" w:ascii="Times New Roman" w:hAnsi="Times New Roman" w:cs="Times New Roman"/>
                <w:kern w:val="0"/>
                <w:szCs w:val="21"/>
                <w:u w:val="single"/>
              </w:rPr>
              <w:t xml:space="preserve">      </w:t>
            </w:r>
            <w:r>
              <w:rPr>
                <w:rFonts w:hint="default" w:ascii="Times New Roman" w:hAnsi="Times New Roman" w:cs="Times New Roman"/>
                <w:kern w:val="0"/>
                <w:szCs w:val="21"/>
                <w:u w:val="single"/>
                <w:lang w:val="en-US" w:eastAsia="zh-CN"/>
              </w:rPr>
              <w:t>/</w:t>
            </w:r>
            <w:r>
              <w:rPr>
                <w:rFonts w:hint="default" w:ascii="Times New Roman" w:hAnsi="Times New Roman" w:cs="Times New Roman"/>
                <w:kern w:val="0"/>
                <w:szCs w:val="21"/>
                <w:u w:val="single"/>
              </w:rPr>
              <w:t xml:space="preserve">      </w:t>
            </w:r>
          </w:p>
        </w:tc>
      </w:tr>
      <w:tr w14:paraId="77BFCC8F">
        <w:tblPrEx>
          <w:tblCellMar>
            <w:top w:w="0" w:type="dxa"/>
            <w:left w:w="108" w:type="dxa"/>
            <w:bottom w:w="0" w:type="dxa"/>
            <w:right w:w="108" w:type="dxa"/>
          </w:tblCellMar>
        </w:tblPrEx>
        <w:tc>
          <w:tcPr>
            <w:tcW w:w="701" w:type="pct"/>
            <w:gridSpan w:val="2"/>
          </w:tcPr>
          <w:p w14:paraId="6510B07D">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bCs/>
                <w:kern w:val="0"/>
                <w:szCs w:val="21"/>
                <w:lang w:eastAsia="en-US"/>
              </w:rPr>
              <w:t>2.2</w:t>
            </w:r>
          </w:p>
        </w:tc>
        <w:tc>
          <w:tcPr>
            <w:tcW w:w="4298" w:type="pct"/>
          </w:tcPr>
          <w:p w14:paraId="3FC1853A">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b/>
                <w:bCs/>
                <w:kern w:val="0"/>
                <w:szCs w:val="21"/>
              </w:rPr>
              <w:t>发包人发包专业工程和发包人提供的材料</w:t>
            </w:r>
          </w:p>
        </w:tc>
      </w:tr>
      <w:tr w14:paraId="0CC7EDF4">
        <w:tc>
          <w:tcPr>
            <w:tcW w:w="701" w:type="pct"/>
            <w:gridSpan w:val="2"/>
          </w:tcPr>
          <w:p w14:paraId="22D0869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2.2.1</w:t>
            </w:r>
          </w:p>
        </w:tc>
        <w:tc>
          <w:tcPr>
            <w:tcW w:w="4298" w:type="pct"/>
          </w:tcPr>
          <w:p w14:paraId="61C66F7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rPr>
              <w:t>由发包人发包的专业工程属于与本工程有关的其他工程，不属于承包人的承包范围。发包人发包的专业工程如下：</w:t>
            </w:r>
            <w:r>
              <w:rPr>
                <w:rFonts w:hint="default" w:ascii="Times New Roman" w:hAnsi="Times New Roman" w:cs="Times New Roman"/>
                <w:kern w:val="0"/>
                <w:szCs w:val="21"/>
                <w:u w:val="single"/>
              </w:rPr>
              <w:t xml:space="preserve">     </w:t>
            </w:r>
            <w:r>
              <w:rPr>
                <w:rFonts w:hint="default" w:ascii="Times New Roman" w:hAnsi="Times New Roman" w:cs="Times New Roman"/>
                <w:kern w:val="0"/>
                <w:szCs w:val="21"/>
                <w:u w:val="single"/>
                <w:lang w:val="en-US" w:eastAsia="zh-CN"/>
              </w:rPr>
              <w:t>/</w:t>
            </w:r>
            <w:r>
              <w:rPr>
                <w:rFonts w:hint="default" w:ascii="Times New Roman" w:hAnsi="Times New Roman" w:cs="Times New Roman"/>
                <w:kern w:val="0"/>
                <w:szCs w:val="21"/>
                <w:u w:val="single"/>
              </w:rPr>
              <w:t xml:space="preserve">      </w:t>
            </w:r>
          </w:p>
        </w:tc>
      </w:tr>
      <w:tr w14:paraId="79FD6D9F">
        <w:tblPrEx>
          <w:tblCellMar>
            <w:top w:w="0" w:type="dxa"/>
            <w:left w:w="108" w:type="dxa"/>
            <w:bottom w:w="0" w:type="dxa"/>
            <w:right w:w="108" w:type="dxa"/>
          </w:tblCellMar>
        </w:tblPrEx>
        <w:tc>
          <w:tcPr>
            <w:tcW w:w="701" w:type="pct"/>
            <w:gridSpan w:val="2"/>
          </w:tcPr>
          <w:p w14:paraId="298AFD6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2.2.2</w:t>
            </w:r>
          </w:p>
        </w:tc>
        <w:tc>
          <w:tcPr>
            <w:tcW w:w="4298" w:type="pct"/>
          </w:tcPr>
          <w:p w14:paraId="33E9B30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由发包人提供的材料不属于承包人的承包范围。发包人提供的材料见合同附件四“发包人提供的材料一览表”。</w:t>
            </w:r>
          </w:p>
        </w:tc>
      </w:tr>
      <w:tr w14:paraId="7CD3B58B">
        <w:tblPrEx>
          <w:tblCellMar>
            <w:top w:w="0" w:type="dxa"/>
            <w:left w:w="108" w:type="dxa"/>
            <w:bottom w:w="0" w:type="dxa"/>
            <w:right w:w="108" w:type="dxa"/>
          </w:tblCellMar>
        </w:tblPrEx>
        <w:tc>
          <w:tcPr>
            <w:tcW w:w="701" w:type="pct"/>
            <w:gridSpan w:val="2"/>
          </w:tcPr>
          <w:p w14:paraId="2B083EB0">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bCs/>
                <w:kern w:val="0"/>
                <w:szCs w:val="21"/>
                <w:lang w:eastAsia="en-US"/>
              </w:rPr>
              <w:t>2.3</w:t>
            </w:r>
          </w:p>
        </w:tc>
        <w:tc>
          <w:tcPr>
            <w:tcW w:w="4298" w:type="pct"/>
          </w:tcPr>
          <w:p w14:paraId="7468BC6F">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kern w:val="0"/>
                <w:szCs w:val="21"/>
              </w:rPr>
            </w:pPr>
            <w:r>
              <w:rPr>
                <w:rFonts w:hint="default" w:ascii="Times New Roman" w:hAnsi="Times New Roman" w:cs="Times New Roman"/>
                <w:b/>
                <w:bCs/>
                <w:kern w:val="0"/>
                <w:szCs w:val="21"/>
              </w:rPr>
              <w:t>承包人与</w:t>
            </w:r>
            <w:r>
              <w:rPr>
                <w:rFonts w:hint="default" w:ascii="Times New Roman" w:hAnsi="Times New Roman" w:cs="Times New Roman"/>
                <w:b/>
                <w:kern w:val="0"/>
                <w:szCs w:val="21"/>
              </w:rPr>
              <w:t>发包人发包专业工程承包人</w:t>
            </w:r>
            <w:r>
              <w:rPr>
                <w:rFonts w:hint="default" w:ascii="Times New Roman" w:hAnsi="Times New Roman" w:cs="Times New Roman"/>
                <w:b/>
                <w:bCs/>
                <w:kern w:val="0"/>
                <w:szCs w:val="21"/>
              </w:rPr>
              <w:t>的工作界面</w:t>
            </w:r>
          </w:p>
        </w:tc>
      </w:tr>
      <w:tr w14:paraId="4CBFEC19">
        <w:tblPrEx>
          <w:tblCellMar>
            <w:top w:w="0" w:type="dxa"/>
            <w:left w:w="108" w:type="dxa"/>
            <w:bottom w:w="0" w:type="dxa"/>
            <w:right w:w="108" w:type="dxa"/>
          </w:tblCellMar>
        </w:tblPrEx>
        <w:tc>
          <w:tcPr>
            <w:tcW w:w="701" w:type="pct"/>
            <w:gridSpan w:val="2"/>
          </w:tcPr>
          <w:p w14:paraId="3DD01BF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2.3.1</w:t>
            </w:r>
          </w:p>
        </w:tc>
        <w:tc>
          <w:tcPr>
            <w:tcW w:w="4298" w:type="pct"/>
          </w:tcPr>
          <w:p w14:paraId="348B152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rPr>
              <w:t>承包人与发包人发包专业工程承包人以及与发包人提供的材料供应商之间的工作界面划分如下：</w:t>
            </w:r>
            <w:r>
              <w:rPr>
                <w:rFonts w:hint="default" w:ascii="Times New Roman" w:hAnsi="Times New Roman" w:cs="Times New Roman"/>
                <w:kern w:val="0"/>
                <w:szCs w:val="21"/>
                <w:u w:val="single"/>
              </w:rPr>
              <w:t xml:space="preserve">     </w:t>
            </w:r>
            <w:r>
              <w:rPr>
                <w:rFonts w:hint="default" w:ascii="Times New Roman" w:hAnsi="Times New Roman" w:cs="Times New Roman"/>
                <w:kern w:val="0"/>
                <w:szCs w:val="21"/>
                <w:u w:val="single"/>
                <w:lang w:val="en-US" w:eastAsia="zh-CN"/>
              </w:rPr>
              <w:t>/</w:t>
            </w:r>
            <w:r>
              <w:rPr>
                <w:rFonts w:hint="default" w:ascii="Times New Roman" w:hAnsi="Times New Roman" w:cs="Times New Roman"/>
                <w:kern w:val="0"/>
                <w:szCs w:val="21"/>
                <w:u w:val="single"/>
              </w:rPr>
              <w:t xml:space="preserve">       </w:t>
            </w:r>
          </w:p>
        </w:tc>
      </w:tr>
      <w:tr w14:paraId="7CDFDB40">
        <w:tc>
          <w:tcPr>
            <w:tcW w:w="701" w:type="pct"/>
            <w:gridSpan w:val="2"/>
          </w:tcPr>
          <w:p w14:paraId="28AEB538">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bCs/>
                <w:kern w:val="0"/>
                <w:szCs w:val="21"/>
                <w:lang w:eastAsia="en-US"/>
              </w:rPr>
              <w:t>2.4</w:t>
            </w:r>
          </w:p>
        </w:tc>
        <w:tc>
          <w:tcPr>
            <w:tcW w:w="4298" w:type="pct"/>
          </w:tcPr>
          <w:p w14:paraId="1650E0EF">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b/>
                <w:bCs/>
                <w:kern w:val="0"/>
                <w:szCs w:val="21"/>
              </w:rPr>
              <w:t>承包人需要为发包人和监理人提供的现场办公条件和设施</w:t>
            </w:r>
          </w:p>
        </w:tc>
      </w:tr>
      <w:tr w14:paraId="4FF6A575">
        <w:tblPrEx>
          <w:tblCellMar>
            <w:top w:w="0" w:type="dxa"/>
            <w:left w:w="108" w:type="dxa"/>
            <w:bottom w:w="0" w:type="dxa"/>
            <w:right w:w="108" w:type="dxa"/>
          </w:tblCellMar>
        </w:tblPrEx>
        <w:tc>
          <w:tcPr>
            <w:tcW w:w="701" w:type="pct"/>
            <w:gridSpan w:val="2"/>
          </w:tcPr>
          <w:p w14:paraId="5572695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2.4.1</w:t>
            </w:r>
          </w:p>
        </w:tc>
        <w:tc>
          <w:tcPr>
            <w:tcW w:w="4298" w:type="pct"/>
          </w:tcPr>
          <w:p w14:paraId="07BFFE9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eastAsiaTheme="minorEastAsia"/>
                <w:kern w:val="0"/>
                <w:szCs w:val="21"/>
                <w:lang w:eastAsia="zh-CN"/>
              </w:rPr>
            </w:pPr>
            <w:r>
              <w:rPr>
                <w:rFonts w:hint="default" w:ascii="Times New Roman" w:hAnsi="Times New Roman" w:cs="Times New Roman"/>
                <w:kern w:val="0"/>
                <w:szCs w:val="21"/>
              </w:rPr>
              <w:t>承包人需要为发包人和监理人提供的现场办公条件和设施及其详细要求如下：</w:t>
            </w:r>
            <w:r>
              <w:rPr>
                <w:rFonts w:hint="default" w:ascii="Times New Roman" w:hAnsi="Times New Roman" w:cs="Times New Roman"/>
                <w:kern w:val="0"/>
                <w:szCs w:val="21"/>
                <w:u w:val="single"/>
              </w:rPr>
              <w:t xml:space="preserve">     /       </w:t>
            </w:r>
          </w:p>
        </w:tc>
      </w:tr>
      <w:tr w14:paraId="50932183">
        <w:tblPrEx>
          <w:tblCellMar>
            <w:top w:w="0" w:type="dxa"/>
            <w:left w:w="108" w:type="dxa"/>
            <w:bottom w:w="0" w:type="dxa"/>
            <w:right w:w="108" w:type="dxa"/>
          </w:tblCellMar>
        </w:tblPrEx>
        <w:tc>
          <w:tcPr>
            <w:tcW w:w="5000" w:type="pct"/>
            <w:gridSpan w:val="3"/>
          </w:tcPr>
          <w:p w14:paraId="3A8430D2">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bookmarkStart w:id="5" w:name="_Toc429569602"/>
            <w:bookmarkStart w:id="6" w:name="_Toc453744824"/>
            <w:r>
              <w:rPr>
                <w:rFonts w:hint="default" w:ascii="Times New Roman" w:hAnsi="Times New Roman" w:cs="Times New Roman"/>
                <w:b/>
                <w:bCs/>
                <w:kern w:val="0"/>
                <w:szCs w:val="21"/>
                <w:lang w:eastAsia="en-US"/>
              </w:rPr>
              <w:t>3. 工期要求</w:t>
            </w:r>
            <w:bookmarkEnd w:id="5"/>
            <w:bookmarkEnd w:id="6"/>
          </w:p>
        </w:tc>
      </w:tr>
      <w:tr w14:paraId="13C6F0C3">
        <w:tblPrEx>
          <w:tblCellMar>
            <w:top w:w="0" w:type="dxa"/>
            <w:left w:w="108" w:type="dxa"/>
            <w:bottom w:w="0" w:type="dxa"/>
            <w:right w:w="108" w:type="dxa"/>
          </w:tblCellMar>
        </w:tblPrEx>
        <w:tc>
          <w:tcPr>
            <w:tcW w:w="701" w:type="pct"/>
            <w:gridSpan w:val="2"/>
          </w:tcPr>
          <w:p w14:paraId="288B536D">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bCs/>
                <w:kern w:val="0"/>
                <w:szCs w:val="21"/>
                <w:lang w:eastAsia="en-US"/>
              </w:rPr>
              <w:t>3.1</w:t>
            </w:r>
          </w:p>
        </w:tc>
        <w:tc>
          <w:tcPr>
            <w:tcW w:w="4298" w:type="pct"/>
          </w:tcPr>
          <w:p w14:paraId="1A663FF1">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bCs/>
                <w:kern w:val="0"/>
                <w:szCs w:val="21"/>
                <w:lang w:eastAsia="en-US"/>
              </w:rPr>
              <w:t>合同工期</w:t>
            </w:r>
          </w:p>
        </w:tc>
      </w:tr>
      <w:tr w14:paraId="1B9306E3">
        <w:tc>
          <w:tcPr>
            <w:tcW w:w="701" w:type="pct"/>
            <w:gridSpan w:val="2"/>
          </w:tcPr>
          <w:p w14:paraId="69438FD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p>
        </w:tc>
        <w:tc>
          <w:tcPr>
            <w:tcW w:w="4298" w:type="pct"/>
          </w:tcPr>
          <w:p w14:paraId="36B04590">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本工程合同工期和计划开、竣工日期为承包人在投标函或投标函附录中承诺的工期和计划开、竣工日期，并在合同协议书中载明。</w:t>
            </w:r>
          </w:p>
        </w:tc>
      </w:tr>
      <w:tr w14:paraId="34EC3977">
        <w:tblPrEx>
          <w:tblCellMar>
            <w:top w:w="0" w:type="dxa"/>
            <w:left w:w="108" w:type="dxa"/>
            <w:bottom w:w="0" w:type="dxa"/>
            <w:right w:w="108" w:type="dxa"/>
          </w:tblCellMar>
        </w:tblPrEx>
        <w:tc>
          <w:tcPr>
            <w:tcW w:w="701" w:type="pct"/>
            <w:gridSpan w:val="2"/>
          </w:tcPr>
          <w:p w14:paraId="40ADD381">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3.2</w:t>
            </w:r>
          </w:p>
        </w:tc>
        <w:tc>
          <w:tcPr>
            <w:tcW w:w="4298" w:type="pct"/>
          </w:tcPr>
          <w:p w14:paraId="17EF29FC">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关于工期的一般规定</w:t>
            </w:r>
          </w:p>
        </w:tc>
      </w:tr>
      <w:tr w14:paraId="095DFF6B">
        <w:tblPrEx>
          <w:tblCellMar>
            <w:top w:w="0" w:type="dxa"/>
            <w:left w:w="108" w:type="dxa"/>
            <w:bottom w:w="0" w:type="dxa"/>
            <w:right w:w="108" w:type="dxa"/>
          </w:tblCellMar>
        </w:tblPrEx>
        <w:tc>
          <w:tcPr>
            <w:tcW w:w="701" w:type="pct"/>
            <w:gridSpan w:val="2"/>
          </w:tcPr>
          <w:p w14:paraId="08520E13">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3.2.1</w:t>
            </w:r>
          </w:p>
        </w:tc>
        <w:tc>
          <w:tcPr>
            <w:tcW w:w="4298" w:type="pct"/>
          </w:tcPr>
          <w:p w14:paraId="4AE9925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承包人在投标函或投标函附录中，承诺的工期和计划开、竣工日期之间发生矛盾或者不一致时，以承包人承诺的工期为准。实际开工日期以合同条款第11.1款约定的监理人发出的开工通知中载明的开工日期为准。</w:t>
            </w:r>
          </w:p>
        </w:tc>
      </w:tr>
      <w:tr w14:paraId="3FACB07C">
        <w:tblPrEx>
          <w:tblCellMar>
            <w:top w:w="0" w:type="dxa"/>
            <w:left w:w="108" w:type="dxa"/>
            <w:bottom w:w="0" w:type="dxa"/>
            <w:right w:w="108" w:type="dxa"/>
          </w:tblCellMar>
        </w:tblPrEx>
        <w:tc>
          <w:tcPr>
            <w:tcW w:w="701" w:type="pct"/>
            <w:gridSpan w:val="2"/>
          </w:tcPr>
          <w:p w14:paraId="7EEAF94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3.2.2</w:t>
            </w:r>
          </w:p>
        </w:tc>
        <w:tc>
          <w:tcPr>
            <w:tcW w:w="4298" w:type="pct"/>
          </w:tcPr>
          <w:p w14:paraId="1F6D92C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如果承包人在投标函或投标函附录中，承诺的工期提前于发包人在本工程招标文件中所要求的工期，承包人在施工组织设计中应当制定相应的工期保证措施，由此而增加的费用应当被认为已经包括在投标总价中。除合同另有约定外，合同履约过程中发包人不会因此再向承包人支付任何性质的技术措施费用、赶工费用或其他任何性质的提前完工奖励等费用。</w:t>
            </w:r>
          </w:p>
        </w:tc>
      </w:tr>
      <w:tr w14:paraId="7F05DCC4">
        <w:tc>
          <w:tcPr>
            <w:tcW w:w="701" w:type="pct"/>
            <w:gridSpan w:val="2"/>
          </w:tcPr>
          <w:p w14:paraId="0C00653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3.2.3</w:t>
            </w:r>
          </w:p>
        </w:tc>
        <w:tc>
          <w:tcPr>
            <w:tcW w:w="4298" w:type="pct"/>
          </w:tcPr>
          <w:p w14:paraId="3189C6F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承包人在投标函或投标函附录中，所承诺的工期应当包括实施并完成第2.1.2项“</w:t>
            </w:r>
            <w:bookmarkStart w:id="7" w:name="OLE_LINK5"/>
            <w:bookmarkStart w:id="8" w:name="OLE_LINK4"/>
            <w:bookmarkStart w:id="9" w:name="OLE_LINK6"/>
            <w:r>
              <w:rPr>
                <w:rFonts w:hint="default" w:ascii="Times New Roman" w:hAnsi="Times New Roman" w:cs="Times New Roman"/>
                <w:kern w:val="0"/>
                <w:szCs w:val="21"/>
              </w:rPr>
              <w:t>承包范围内的暂估项目</w:t>
            </w:r>
            <w:bookmarkEnd w:id="7"/>
            <w:bookmarkEnd w:id="8"/>
            <w:bookmarkEnd w:id="9"/>
            <w:r>
              <w:rPr>
                <w:rFonts w:hint="default" w:ascii="Times New Roman" w:hAnsi="Times New Roman" w:cs="Times New Roman"/>
                <w:kern w:val="0"/>
                <w:szCs w:val="21"/>
              </w:rPr>
              <w:t>”规定的暂估价项目和第2.1.3项“承包范围内的暂列金额项目”规定的暂列金额在内的所有工作的工期。</w:t>
            </w:r>
          </w:p>
        </w:tc>
      </w:tr>
      <w:tr w14:paraId="580F9360">
        <w:tblPrEx>
          <w:tblCellMar>
            <w:top w:w="0" w:type="dxa"/>
            <w:left w:w="108" w:type="dxa"/>
            <w:bottom w:w="0" w:type="dxa"/>
            <w:right w:w="108" w:type="dxa"/>
          </w:tblCellMar>
        </w:tblPrEx>
        <w:tc>
          <w:tcPr>
            <w:tcW w:w="5000" w:type="pct"/>
            <w:gridSpan w:val="3"/>
          </w:tcPr>
          <w:p w14:paraId="17459F67">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bookmarkStart w:id="10" w:name="_Toc453744825"/>
            <w:bookmarkStart w:id="11" w:name="_Toc429569603"/>
            <w:r>
              <w:rPr>
                <w:rFonts w:hint="default" w:ascii="Times New Roman" w:hAnsi="Times New Roman" w:cs="Times New Roman"/>
                <w:b/>
                <w:bCs/>
                <w:kern w:val="0"/>
                <w:szCs w:val="21"/>
                <w:lang w:eastAsia="en-US"/>
              </w:rPr>
              <w:t>4. 质量要求</w:t>
            </w:r>
            <w:bookmarkEnd w:id="10"/>
            <w:bookmarkEnd w:id="11"/>
          </w:p>
        </w:tc>
      </w:tr>
      <w:tr w14:paraId="6A49C18B">
        <w:tblPrEx>
          <w:tblCellMar>
            <w:top w:w="0" w:type="dxa"/>
            <w:left w:w="108" w:type="dxa"/>
            <w:bottom w:w="0" w:type="dxa"/>
            <w:right w:w="108" w:type="dxa"/>
          </w:tblCellMar>
        </w:tblPrEx>
        <w:tc>
          <w:tcPr>
            <w:tcW w:w="701" w:type="pct"/>
            <w:gridSpan w:val="2"/>
          </w:tcPr>
          <w:p w14:paraId="43E066FD">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bCs/>
                <w:kern w:val="0"/>
                <w:szCs w:val="21"/>
                <w:lang w:eastAsia="en-US"/>
              </w:rPr>
              <w:t>4.1</w:t>
            </w:r>
          </w:p>
        </w:tc>
        <w:tc>
          <w:tcPr>
            <w:tcW w:w="4298" w:type="pct"/>
          </w:tcPr>
          <w:p w14:paraId="5948F9F9">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bCs/>
                <w:kern w:val="0"/>
                <w:szCs w:val="21"/>
                <w:lang w:eastAsia="en-US"/>
              </w:rPr>
              <w:t>质量标准</w:t>
            </w:r>
          </w:p>
        </w:tc>
      </w:tr>
      <w:tr w14:paraId="4475920B">
        <w:tblPrEx>
          <w:tblCellMar>
            <w:top w:w="0" w:type="dxa"/>
            <w:left w:w="108" w:type="dxa"/>
            <w:bottom w:w="0" w:type="dxa"/>
            <w:right w:w="108" w:type="dxa"/>
          </w:tblCellMar>
        </w:tblPrEx>
        <w:tc>
          <w:tcPr>
            <w:tcW w:w="701" w:type="pct"/>
            <w:gridSpan w:val="2"/>
          </w:tcPr>
          <w:p w14:paraId="2091CA04">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4.1.1</w:t>
            </w:r>
          </w:p>
        </w:tc>
        <w:tc>
          <w:tcPr>
            <w:tcW w:w="4298" w:type="pct"/>
          </w:tcPr>
          <w:p w14:paraId="323D794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eastAsiaTheme="minorEastAsia"/>
                <w:kern w:val="0"/>
                <w:szCs w:val="21"/>
                <w:lang w:val="en-US" w:eastAsia="zh-CN"/>
              </w:rPr>
            </w:pPr>
            <w:r>
              <w:rPr>
                <w:rFonts w:hint="default" w:ascii="Times New Roman" w:hAnsi="Times New Roman" w:cs="Times New Roman"/>
                <w:kern w:val="0"/>
                <w:szCs w:val="21"/>
              </w:rPr>
              <w:t>本工程要求的质量标准为</w:t>
            </w:r>
            <w:r>
              <w:rPr>
                <w:rFonts w:hint="default" w:ascii="Times New Roman" w:hAnsi="Times New Roman" w:cs="Times New Roman"/>
                <w:kern w:val="0"/>
                <w:szCs w:val="21"/>
                <w:lang w:eastAsia="zh-CN"/>
              </w:rPr>
              <w:t>：</w:t>
            </w:r>
            <w:r>
              <w:rPr>
                <w:rFonts w:hint="default" w:ascii="Times New Roman" w:hAnsi="Times New Roman" w:cs="Times New Roman"/>
                <w:kern w:val="0"/>
                <w:szCs w:val="21"/>
                <w:u w:val="single"/>
                <w:lang w:val="en-US" w:eastAsia="zh-CN"/>
              </w:rPr>
              <w:t>符合现行国家有关工程施工验收规范和标准的要求（合格）。</w:t>
            </w:r>
          </w:p>
        </w:tc>
      </w:tr>
      <w:tr w14:paraId="364505C1">
        <w:tc>
          <w:tcPr>
            <w:tcW w:w="701" w:type="pct"/>
            <w:gridSpan w:val="2"/>
          </w:tcPr>
          <w:p w14:paraId="30CB0CB2">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bCs/>
                <w:kern w:val="0"/>
                <w:szCs w:val="21"/>
                <w:lang w:eastAsia="en-US"/>
              </w:rPr>
              <w:t>4.2</w:t>
            </w:r>
          </w:p>
        </w:tc>
        <w:tc>
          <w:tcPr>
            <w:tcW w:w="4298" w:type="pct"/>
          </w:tcPr>
          <w:p w14:paraId="1B6234AC">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bCs/>
                <w:kern w:val="0"/>
                <w:szCs w:val="21"/>
                <w:lang w:eastAsia="en-US"/>
              </w:rPr>
              <w:t>特殊质量要求</w:t>
            </w:r>
          </w:p>
        </w:tc>
      </w:tr>
      <w:tr w14:paraId="326F98B0">
        <w:tblPrEx>
          <w:tblCellMar>
            <w:top w:w="0" w:type="dxa"/>
            <w:left w:w="108" w:type="dxa"/>
            <w:bottom w:w="0" w:type="dxa"/>
            <w:right w:w="108" w:type="dxa"/>
          </w:tblCellMar>
        </w:tblPrEx>
        <w:tc>
          <w:tcPr>
            <w:tcW w:w="701" w:type="pct"/>
            <w:gridSpan w:val="2"/>
          </w:tcPr>
          <w:p w14:paraId="1750E68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4.2.1</w:t>
            </w:r>
          </w:p>
        </w:tc>
        <w:tc>
          <w:tcPr>
            <w:tcW w:w="4298" w:type="pct"/>
          </w:tcPr>
          <w:p w14:paraId="0F50ED9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rPr>
              <w:t>有关本工程质量方面的特殊要求如下：</w:t>
            </w:r>
            <w:r>
              <w:rPr>
                <w:rFonts w:hint="default" w:ascii="Times New Roman" w:hAnsi="Times New Roman" w:cs="Times New Roman"/>
                <w:kern w:val="0"/>
                <w:szCs w:val="21"/>
                <w:u w:val="single"/>
              </w:rPr>
              <w:t xml:space="preserve">      </w:t>
            </w:r>
            <w:r>
              <w:rPr>
                <w:rFonts w:hint="default" w:ascii="Times New Roman" w:hAnsi="Times New Roman" w:cs="Times New Roman"/>
                <w:kern w:val="0"/>
                <w:szCs w:val="21"/>
                <w:u w:val="single"/>
                <w:lang w:val="en-US" w:eastAsia="zh-CN"/>
              </w:rPr>
              <w:t>/</w:t>
            </w:r>
            <w:r>
              <w:rPr>
                <w:rFonts w:hint="default" w:ascii="Times New Roman" w:hAnsi="Times New Roman" w:cs="Times New Roman"/>
                <w:kern w:val="0"/>
                <w:szCs w:val="21"/>
                <w:u w:val="single"/>
              </w:rPr>
              <w:t xml:space="preserve">      </w:t>
            </w:r>
          </w:p>
        </w:tc>
      </w:tr>
      <w:tr w14:paraId="4E1A10B6">
        <w:tblPrEx>
          <w:tblCellMar>
            <w:top w:w="0" w:type="dxa"/>
            <w:left w:w="108" w:type="dxa"/>
            <w:bottom w:w="0" w:type="dxa"/>
            <w:right w:w="108" w:type="dxa"/>
          </w:tblCellMar>
        </w:tblPrEx>
        <w:tc>
          <w:tcPr>
            <w:tcW w:w="5000" w:type="pct"/>
            <w:gridSpan w:val="3"/>
          </w:tcPr>
          <w:p w14:paraId="52C55DEF">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bookmarkStart w:id="12" w:name="_Toc429569604"/>
            <w:bookmarkStart w:id="13" w:name="_Toc453744826"/>
            <w:r>
              <w:rPr>
                <w:rFonts w:hint="default" w:ascii="Times New Roman" w:hAnsi="Times New Roman" w:cs="Times New Roman"/>
                <w:b/>
                <w:bCs/>
                <w:kern w:val="0"/>
                <w:szCs w:val="21"/>
                <w:lang w:eastAsia="en-US"/>
              </w:rPr>
              <w:t>5. 适用规范和标准</w:t>
            </w:r>
            <w:bookmarkEnd w:id="12"/>
            <w:bookmarkEnd w:id="13"/>
          </w:p>
        </w:tc>
      </w:tr>
      <w:tr w14:paraId="0C1016B9">
        <w:tblPrEx>
          <w:tblCellMar>
            <w:top w:w="0" w:type="dxa"/>
            <w:left w:w="108" w:type="dxa"/>
            <w:bottom w:w="0" w:type="dxa"/>
            <w:right w:w="108" w:type="dxa"/>
          </w:tblCellMar>
        </w:tblPrEx>
        <w:tc>
          <w:tcPr>
            <w:tcW w:w="701" w:type="pct"/>
            <w:gridSpan w:val="2"/>
          </w:tcPr>
          <w:p w14:paraId="2CB8C664">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b/>
                <w:bCs/>
                <w:kern w:val="0"/>
                <w:szCs w:val="21"/>
                <w:lang w:eastAsia="en-US"/>
              </w:rPr>
              <w:t>5.1</w:t>
            </w:r>
          </w:p>
        </w:tc>
        <w:tc>
          <w:tcPr>
            <w:tcW w:w="4298" w:type="pct"/>
          </w:tcPr>
          <w:p w14:paraId="0AA23AAA">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b/>
                <w:bCs/>
                <w:kern w:val="0"/>
                <w:szCs w:val="21"/>
              </w:rPr>
              <w:t>适用的规范、标准和规程</w:t>
            </w:r>
          </w:p>
        </w:tc>
      </w:tr>
      <w:tr w14:paraId="75A36BE7">
        <w:tc>
          <w:tcPr>
            <w:tcW w:w="701" w:type="pct"/>
            <w:gridSpan w:val="2"/>
          </w:tcPr>
          <w:p w14:paraId="266EE81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p>
        </w:tc>
        <w:tc>
          <w:tcPr>
            <w:tcW w:w="4298" w:type="pct"/>
          </w:tcPr>
          <w:p w14:paraId="526C37E4">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除合同另有约定外，本工程适用现行国家、行业和地方规范、标准和规程。适用于本工程的国家、行业和地方的规范、标准和规程如下。</w:t>
            </w:r>
          </w:p>
          <w:p w14:paraId="610FB750">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u w:val="single"/>
              </w:rPr>
              <w:t>    《建筑设计防火规范》GB50016-2014（2018年版）</w:t>
            </w:r>
          </w:p>
          <w:p w14:paraId="3E37530C">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u w:val="single"/>
              </w:rPr>
              <w:t>《供配电系统设计规范》GB50052-2009</w:t>
            </w:r>
          </w:p>
          <w:p w14:paraId="53435443">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u w:val="single"/>
              </w:rPr>
              <w:t>《低压配电设计规范》GB50054-2011</w:t>
            </w:r>
          </w:p>
          <w:p w14:paraId="5BF14D14">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u w:val="single"/>
              </w:rPr>
              <w:t>《建筑内部装修设计防火规范》GB50222-2017</w:t>
            </w:r>
          </w:p>
          <w:p w14:paraId="07B146DA">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u w:val="single"/>
              </w:rPr>
              <w:t>《建筑电气工程施工质量验收规范》GB50303-2015</w:t>
            </w:r>
          </w:p>
          <w:p w14:paraId="4F1666C3">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u w:val="single"/>
              </w:rPr>
              <w:t>《民用建筑电气设计标准》GB51348-2019</w:t>
            </w:r>
          </w:p>
          <w:p w14:paraId="4B929707">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u w:val="single"/>
              </w:rPr>
              <w:t>《火灾自动报警系统设计规范》GB50116-2013</w:t>
            </w:r>
          </w:p>
          <w:p w14:paraId="0A9E98B0">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u w:val="single"/>
              </w:rPr>
              <w:t>《建筑与市政工程抗震通用规范》GB55002-2021</w:t>
            </w:r>
          </w:p>
          <w:p w14:paraId="6D5BEEBF">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u w:val="single"/>
              </w:rPr>
              <w:t>《建筑工程设计文件编制深度的规定》2023年版</w:t>
            </w:r>
          </w:p>
          <w:p w14:paraId="0D363DAC">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u w:val="single"/>
              </w:rPr>
              <w:t>《消防安全标志第1部分:标志》GB13495.1—2015</w:t>
            </w:r>
          </w:p>
          <w:p w14:paraId="43CF7F80">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u w:val="single"/>
              </w:rPr>
              <w:t>《建筑智能化系统工程设计规范》DB11/T1439-2017</w:t>
            </w:r>
          </w:p>
          <w:p w14:paraId="1DDAD9D2">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u w:val="single"/>
              </w:rPr>
              <w:t>《消防设施通用规范》GB55036-2022</w:t>
            </w:r>
          </w:p>
          <w:p w14:paraId="33DE7BD8">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u w:val="single"/>
              </w:rPr>
              <w:t>《建筑防火通用规范》GB55037-2022</w:t>
            </w:r>
          </w:p>
          <w:p w14:paraId="7587916C">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u w:val="single"/>
              </w:rPr>
              <w:t>《北京市既有建筑改造工程消防设计指南》2023</w:t>
            </w:r>
          </w:p>
          <w:p w14:paraId="777080C2">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u w:val="single"/>
              </w:rPr>
              <w:t>发包人提出使用功能要求</w:t>
            </w:r>
          </w:p>
          <w:p w14:paraId="385993E9">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u w:val="single"/>
              </w:rPr>
              <w:t>发包人提供的招标图纸及相关资料</w:t>
            </w:r>
          </w:p>
          <w:p w14:paraId="48FE57D6">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u w:val="single"/>
                <w:lang w:val="en-US" w:eastAsia="zh-CN"/>
              </w:rPr>
            </w:pPr>
            <w:r>
              <w:rPr>
                <w:rFonts w:hint="default" w:ascii="Times New Roman" w:hAnsi="Times New Roman" w:cs="Times New Roman"/>
                <w:kern w:val="0"/>
                <w:szCs w:val="21"/>
                <w:u w:val="single"/>
                <w:lang w:val="en-US" w:eastAsia="zh-CN"/>
              </w:rPr>
              <w:t>（注：若上述规范、标准、规程有不全或失效的，由承包人自行更正、补充</w:t>
            </w:r>
            <w:r>
              <w:rPr>
                <w:rFonts w:hint="eastAsia" w:ascii="Times New Roman" w:hAnsi="Times New Roman" w:cs="Times New Roman"/>
                <w:kern w:val="0"/>
                <w:szCs w:val="21"/>
                <w:u w:val="single"/>
                <w:lang w:val="en-US" w:eastAsia="zh-CN"/>
              </w:rPr>
              <w:t>）</w:t>
            </w:r>
          </w:p>
        </w:tc>
      </w:tr>
      <w:tr w14:paraId="502A48F5">
        <w:tblPrEx>
          <w:tblCellMar>
            <w:top w:w="0" w:type="dxa"/>
            <w:left w:w="108" w:type="dxa"/>
            <w:bottom w:w="0" w:type="dxa"/>
            <w:right w:w="108" w:type="dxa"/>
          </w:tblCellMar>
        </w:tblPrEx>
        <w:tc>
          <w:tcPr>
            <w:tcW w:w="701" w:type="pct"/>
            <w:gridSpan w:val="2"/>
          </w:tcPr>
          <w:p w14:paraId="6081B37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b/>
                <w:kern w:val="0"/>
                <w:szCs w:val="21"/>
              </w:rPr>
            </w:pPr>
            <w:r>
              <w:rPr>
                <w:rFonts w:hint="default" w:ascii="Times New Roman" w:hAnsi="Times New Roman" w:cs="Times New Roman"/>
                <w:b/>
                <w:kern w:val="0"/>
                <w:szCs w:val="21"/>
              </w:rPr>
              <w:t>5.2</w:t>
            </w:r>
          </w:p>
        </w:tc>
        <w:tc>
          <w:tcPr>
            <w:tcW w:w="4298" w:type="pct"/>
          </w:tcPr>
          <w:p w14:paraId="523F53A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构成合同文件的任何内容与适用的规范、标准和规程之间出现矛盾，承包人应书面要求监理人予以澄清，除监理人有特别指示外，承包人应按照其中要求最严格的标准执行。</w:t>
            </w:r>
          </w:p>
        </w:tc>
      </w:tr>
      <w:tr w14:paraId="0FF2E7A1">
        <w:tblPrEx>
          <w:tblCellMar>
            <w:top w:w="0" w:type="dxa"/>
            <w:left w:w="108" w:type="dxa"/>
            <w:bottom w:w="0" w:type="dxa"/>
            <w:right w:w="108" w:type="dxa"/>
          </w:tblCellMar>
        </w:tblPrEx>
        <w:tc>
          <w:tcPr>
            <w:tcW w:w="701" w:type="pct"/>
            <w:gridSpan w:val="2"/>
          </w:tcPr>
          <w:p w14:paraId="7C64BAE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b/>
                <w:kern w:val="0"/>
                <w:szCs w:val="21"/>
                <w:lang w:eastAsia="en-US"/>
              </w:rPr>
            </w:pPr>
            <w:r>
              <w:rPr>
                <w:rFonts w:hint="default" w:ascii="Times New Roman" w:hAnsi="Times New Roman" w:cs="Times New Roman"/>
                <w:b/>
                <w:kern w:val="0"/>
                <w:szCs w:val="21"/>
                <w:lang w:eastAsia="en-US"/>
              </w:rPr>
              <w:t>5.3</w:t>
            </w:r>
          </w:p>
        </w:tc>
        <w:tc>
          <w:tcPr>
            <w:tcW w:w="4298" w:type="pct"/>
          </w:tcPr>
          <w:p w14:paraId="0BA3F05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则应按合同条款第15条的约定办理。</w:t>
            </w:r>
          </w:p>
        </w:tc>
      </w:tr>
      <w:tr w14:paraId="6684E38F">
        <w:tblPrEx>
          <w:tblCellMar>
            <w:top w:w="0" w:type="dxa"/>
            <w:left w:w="108" w:type="dxa"/>
            <w:bottom w:w="0" w:type="dxa"/>
            <w:right w:w="108" w:type="dxa"/>
          </w:tblCellMar>
        </w:tblPrEx>
        <w:tc>
          <w:tcPr>
            <w:tcW w:w="5000" w:type="pct"/>
            <w:gridSpan w:val="3"/>
          </w:tcPr>
          <w:p w14:paraId="1DE0DA9C">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bookmarkStart w:id="14" w:name="_Toc453744827"/>
            <w:bookmarkStart w:id="15" w:name="_Toc429569605"/>
            <w:r>
              <w:rPr>
                <w:rFonts w:hint="default" w:ascii="Times New Roman" w:hAnsi="Times New Roman" w:cs="Times New Roman"/>
                <w:b/>
                <w:bCs/>
                <w:kern w:val="0"/>
                <w:szCs w:val="21"/>
                <w:lang w:eastAsia="en-US"/>
              </w:rPr>
              <w:t>6. 安全</w:t>
            </w:r>
            <w:bookmarkStart w:id="16" w:name="OLE_LINK160"/>
            <w:r>
              <w:rPr>
                <w:rFonts w:hint="default" w:ascii="Times New Roman" w:hAnsi="Times New Roman" w:cs="Times New Roman"/>
                <w:b/>
                <w:bCs/>
                <w:kern w:val="0"/>
                <w:szCs w:val="21"/>
                <w:lang w:eastAsia="en-US"/>
              </w:rPr>
              <w:t>生产标准化</w:t>
            </w:r>
            <w:bookmarkEnd w:id="16"/>
          </w:p>
          <w:bookmarkEnd w:id="14"/>
          <w:bookmarkEnd w:id="15"/>
          <w:p w14:paraId="1F7C100A">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p>
        </w:tc>
      </w:tr>
      <w:tr w14:paraId="7759CEFB">
        <w:tc>
          <w:tcPr>
            <w:tcW w:w="701" w:type="pct"/>
            <w:gridSpan w:val="2"/>
          </w:tcPr>
          <w:p w14:paraId="1D1B703E">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6.1</w:t>
            </w:r>
          </w:p>
        </w:tc>
        <w:tc>
          <w:tcPr>
            <w:tcW w:w="4298" w:type="pct"/>
          </w:tcPr>
          <w:p w14:paraId="75D2CDEA">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安全防护</w:t>
            </w:r>
          </w:p>
        </w:tc>
      </w:tr>
      <w:tr w14:paraId="35BC4841">
        <w:tblPrEx>
          <w:tblCellMar>
            <w:top w:w="0" w:type="dxa"/>
            <w:left w:w="108" w:type="dxa"/>
            <w:bottom w:w="0" w:type="dxa"/>
            <w:right w:w="108" w:type="dxa"/>
          </w:tblCellMar>
        </w:tblPrEx>
        <w:tc>
          <w:tcPr>
            <w:tcW w:w="701" w:type="pct"/>
            <w:gridSpan w:val="2"/>
          </w:tcPr>
          <w:p w14:paraId="7CD54F6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6.1.1</w:t>
            </w:r>
          </w:p>
        </w:tc>
        <w:tc>
          <w:tcPr>
            <w:tcW w:w="4298" w:type="pct"/>
          </w:tcPr>
          <w:p w14:paraId="712B531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在工程施工、竣工、交付及修补任何缺陷的过程中，承包人应当始终遵守国家和地方有关安全生产的法律、法规、规范、标准和规程等，按照通用合同条款第</w:t>
            </w:r>
            <w:r>
              <w:rPr>
                <w:rFonts w:hint="default" w:ascii="Times New Roman" w:hAnsi="Times New Roman" w:cs="Times New Roman"/>
                <w:bCs/>
                <w:kern w:val="0"/>
                <w:szCs w:val="21"/>
              </w:rPr>
              <w:t>9.2</w:t>
            </w:r>
            <w:r>
              <w:rPr>
                <w:rFonts w:hint="default" w:ascii="Times New Roman" w:hAnsi="Times New Roman" w:cs="Times New Roman"/>
                <w:kern w:val="0"/>
                <w:szCs w:val="21"/>
              </w:rPr>
              <w:t>款的约定履行其安全施工职责。</w:t>
            </w:r>
          </w:p>
        </w:tc>
      </w:tr>
      <w:tr w14:paraId="3DB8CDB8">
        <w:tblPrEx>
          <w:tblCellMar>
            <w:top w:w="0" w:type="dxa"/>
            <w:left w:w="108" w:type="dxa"/>
            <w:bottom w:w="0" w:type="dxa"/>
            <w:right w:w="108" w:type="dxa"/>
          </w:tblCellMar>
        </w:tblPrEx>
        <w:tc>
          <w:tcPr>
            <w:tcW w:w="701" w:type="pct"/>
            <w:gridSpan w:val="2"/>
          </w:tcPr>
          <w:p w14:paraId="333D835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6.1.2</w:t>
            </w:r>
          </w:p>
        </w:tc>
        <w:tc>
          <w:tcPr>
            <w:tcW w:w="4298" w:type="pct"/>
          </w:tcPr>
          <w:p w14:paraId="7B0EF58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承包人应坚持“安全第一，预防为主”的方针，建立、健全安全生产责任制度和安全生产教育培训制度。在整个工程施工期间，承包人应在施工场地（现场）设立、提供和维护并在有关工作完成或竣工后撤除：</w:t>
            </w:r>
          </w:p>
          <w:p w14:paraId="7D93DEFB">
            <w:pPr>
              <w:keepNext w:val="0"/>
              <w:keepLines w:val="0"/>
              <w:widowControl/>
              <w:numPr>
                <w:ilvl w:val="0"/>
                <w:numId w:val="1"/>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设立在现场入口显著位置的现场施工总平面图、总平面管理、安全生产、文明施工、环境保护、质量控制、材料管理等的规章制度和主要参建单位名称和工程概况等说明的图板；</w:t>
            </w:r>
          </w:p>
          <w:p w14:paraId="6E75C46D">
            <w:pPr>
              <w:keepNext w:val="0"/>
              <w:keepLines w:val="0"/>
              <w:widowControl/>
              <w:numPr>
                <w:ilvl w:val="0"/>
                <w:numId w:val="1"/>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为确保工程安全施工须设立的足够的标志、宣传画、标语、指示牌、警告牌、公示牌（如，职工工伤保险公示标牌）、火警、匪警和急救电话提示牌等等；</w:t>
            </w:r>
          </w:p>
          <w:p w14:paraId="23405B3F">
            <w:pPr>
              <w:keepNext w:val="0"/>
              <w:keepLines w:val="0"/>
              <w:widowControl/>
              <w:numPr>
                <w:ilvl w:val="0"/>
                <w:numId w:val="1"/>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洞口和临边位置的安全防护设施，包括护身栏杆、脚手架、洞口盖板和加筋、竖井防护栏杆、防护棚、防护网、坡道等等；</w:t>
            </w:r>
          </w:p>
          <w:p w14:paraId="53BFCC9D">
            <w:pPr>
              <w:keepNext w:val="0"/>
              <w:keepLines w:val="0"/>
              <w:widowControl/>
              <w:numPr>
                <w:ilvl w:val="0"/>
                <w:numId w:val="1"/>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安全带、安全绳、安全帽、安全网、绝缘鞋、绝缘手套、防护口罩和防护衣等安全生产用品；</w:t>
            </w:r>
          </w:p>
          <w:p w14:paraId="1C9C63B3">
            <w:pPr>
              <w:keepNext w:val="0"/>
              <w:keepLines w:val="0"/>
              <w:widowControl/>
              <w:numPr>
                <w:ilvl w:val="0"/>
                <w:numId w:val="1"/>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所有机械设备包括各类电动工具的安全保护和接地装置和操作说明；</w:t>
            </w:r>
          </w:p>
          <w:p w14:paraId="1B705A75">
            <w:pPr>
              <w:keepNext w:val="0"/>
              <w:keepLines w:val="0"/>
              <w:widowControl/>
              <w:numPr>
                <w:ilvl w:val="0"/>
                <w:numId w:val="1"/>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装备良好的临时急救站和配备称职的医护人员；</w:t>
            </w:r>
          </w:p>
          <w:p w14:paraId="38FBF2B9">
            <w:pPr>
              <w:keepNext w:val="0"/>
              <w:keepLines w:val="0"/>
              <w:widowControl/>
              <w:numPr>
                <w:ilvl w:val="0"/>
                <w:numId w:val="1"/>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主要作业场所和临时安全疏散通道24小时36伏安全照明和必要的警示等以防止各种可能的事故；</w:t>
            </w:r>
          </w:p>
          <w:p w14:paraId="47D2CDDE">
            <w:pPr>
              <w:keepNext w:val="0"/>
              <w:keepLines w:val="0"/>
              <w:widowControl/>
              <w:numPr>
                <w:ilvl w:val="0"/>
                <w:numId w:val="1"/>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足够数量的和合格的手提灭火器；</w:t>
            </w:r>
          </w:p>
          <w:p w14:paraId="5C77ABC1">
            <w:pPr>
              <w:keepNext w:val="0"/>
              <w:keepLines w:val="0"/>
              <w:widowControl/>
              <w:numPr>
                <w:ilvl w:val="0"/>
                <w:numId w:val="1"/>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装备良好的易燃易爆物品仓库和相应的使用管理制度；</w:t>
            </w:r>
          </w:p>
          <w:p w14:paraId="3974A050">
            <w:pPr>
              <w:keepNext w:val="0"/>
              <w:keepLines w:val="0"/>
              <w:widowControl/>
              <w:numPr>
                <w:ilvl w:val="0"/>
                <w:numId w:val="1"/>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对涉及明火施工的工作制定诸如用火证等的管理制度；</w:t>
            </w:r>
          </w:p>
          <w:p w14:paraId="5F2CB53E">
            <w:pPr>
              <w:keepNext w:val="0"/>
              <w:keepLines w:val="0"/>
              <w:widowControl/>
              <w:numPr>
                <w:ilvl w:val="0"/>
                <w:numId w:val="1"/>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rPr>
              <w:t>其他：</w:t>
            </w:r>
            <w:r>
              <w:rPr>
                <w:rFonts w:hint="eastAsia" w:ascii="Times New Roman" w:hAnsi="Times New Roman" w:cs="Times New Roman"/>
                <w:kern w:val="0"/>
                <w:szCs w:val="21"/>
                <w:u w:val="single"/>
                <w:lang w:val="en-US" w:eastAsia="zh-CN"/>
              </w:rPr>
              <w:t xml:space="preserve">               /             </w:t>
            </w:r>
          </w:p>
        </w:tc>
      </w:tr>
      <w:tr w14:paraId="49A01F97">
        <w:tblPrEx>
          <w:tblCellMar>
            <w:top w:w="0" w:type="dxa"/>
            <w:left w:w="108" w:type="dxa"/>
            <w:bottom w:w="0" w:type="dxa"/>
            <w:right w:w="108" w:type="dxa"/>
          </w:tblCellMar>
        </w:tblPrEx>
        <w:tc>
          <w:tcPr>
            <w:tcW w:w="701" w:type="pct"/>
            <w:gridSpan w:val="2"/>
          </w:tcPr>
          <w:p w14:paraId="04D1573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6.1.3</w:t>
            </w:r>
          </w:p>
        </w:tc>
        <w:tc>
          <w:tcPr>
            <w:tcW w:w="4298" w:type="pct"/>
          </w:tcPr>
          <w:p w14:paraId="5D22DAD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bookmarkStart w:id="17" w:name="OLE_LINK161"/>
            <w:bookmarkStart w:id="18" w:name="OLE_LINK159"/>
            <w:r>
              <w:rPr>
                <w:rFonts w:hint="default" w:ascii="Times New Roman" w:hAnsi="Times New Roman" w:cs="Times New Roman"/>
                <w:kern w:val="0"/>
                <w:szCs w:val="21"/>
              </w:rPr>
              <w:t>安全生产标准化措施费用必须专款专用，保证</w:t>
            </w:r>
            <w:bookmarkStart w:id="19" w:name="_Hlk199432530"/>
            <w:r>
              <w:rPr>
                <w:rFonts w:hint="default" w:ascii="Times New Roman" w:hAnsi="Times New Roman" w:cs="Times New Roman"/>
                <w:kern w:val="0"/>
                <w:szCs w:val="21"/>
              </w:rPr>
              <w:t>安全生产标准化</w:t>
            </w:r>
            <w:bookmarkEnd w:id="19"/>
            <w:r>
              <w:rPr>
                <w:rFonts w:hint="default" w:ascii="Times New Roman" w:hAnsi="Times New Roman" w:cs="Times New Roman"/>
                <w:kern w:val="0"/>
                <w:szCs w:val="21"/>
              </w:rPr>
              <w:t>措施的投入，并在财务管理中单独列支</w:t>
            </w:r>
            <w:bookmarkStart w:id="20" w:name="_Hlk199432540"/>
            <w:r>
              <w:rPr>
                <w:rFonts w:hint="default" w:ascii="Times New Roman" w:hAnsi="Times New Roman" w:cs="Times New Roman"/>
                <w:kern w:val="0"/>
                <w:szCs w:val="21"/>
              </w:rPr>
              <w:t>安全生产标准化措施费</w:t>
            </w:r>
            <w:bookmarkEnd w:id="20"/>
            <w:r>
              <w:rPr>
                <w:rFonts w:hint="default" w:ascii="Times New Roman" w:hAnsi="Times New Roman" w:cs="Times New Roman"/>
                <w:kern w:val="0"/>
                <w:szCs w:val="21"/>
              </w:rPr>
              <w:t>账目备查。承包人应对其由于</w:t>
            </w:r>
            <w:bookmarkStart w:id="21" w:name="_Hlk199432551"/>
            <w:r>
              <w:rPr>
                <w:rFonts w:hint="default" w:ascii="Times New Roman" w:hAnsi="Times New Roman" w:cs="Times New Roman"/>
                <w:kern w:val="0"/>
                <w:szCs w:val="21"/>
              </w:rPr>
              <w:t>安全生产标准化措施费用</w:t>
            </w:r>
            <w:bookmarkEnd w:id="21"/>
            <w:r>
              <w:rPr>
                <w:rFonts w:hint="default" w:ascii="Times New Roman" w:hAnsi="Times New Roman" w:cs="Times New Roman"/>
                <w:kern w:val="0"/>
                <w:szCs w:val="21"/>
              </w:rPr>
              <w:t>和施工安全措施不到位而发生的安全事故承担全部责任。</w:t>
            </w:r>
            <w:bookmarkEnd w:id="17"/>
            <w:bookmarkEnd w:id="18"/>
          </w:p>
        </w:tc>
      </w:tr>
      <w:tr w14:paraId="5E90F1C0">
        <w:tblPrEx>
          <w:tblCellMar>
            <w:top w:w="0" w:type="dxa"/>
            <w:left w:w="108" w:type="dxa"/>
            <w:bottom w:w="0" w:type="dxa"/>
            <w:right w:w="108" w:type="dxa"/>
          </w:tblCellMar>
        </w:tblPrEx>
        <w:tc>
          <w:tcPr>
            <w:tcW w:w="701" w:type="pct"/>
            <w:gridSpan w:val="2"/>
          </w:tcPr>
          <w:p w14:paraId="0252590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6.1.4</w:t>
            </w:r>
          </w:p>
        </w:tc>
        <w:tc>
          <w:tcPr>
            <w:tcW w:w="4298" w:type="pct"/>
          </w:tcPr>
          <w:p w14:paraId="0E2A0D5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建立专门的施工场地（现场）安全生产管理机构，配备足够数量的和符合有关规定的专职安全生产管理人员，负责日常安全生产巡查和专项检查，召集和主持现场全体人员参加的安全生产例会（每周至少一次），负责安全技术交底和技术方案的安全把关，负责制定或审核安全隐患的整改措施并监督落实，负责安全资料的整理和管理，及时消除安全隐患，做好安全检查记录，确保所有的安全设施都处于良好的运转状态。承包人项目经理和专职安全生产管理人员均应当具备有效的安全生产考核合格证书。</w:t>
            </w:r>
          </w:p>
        </w:tc>
      </w:tr>
      <w:tr w14:paraId="2F13D44B">
        <w:tblPrEx>
          <w:tblCellMar>
            <w:top w:w="0" w:type="dxa"/>
            <w:left w:w="108" w:type="dxa"/>
            <w:bottom w:w="0" w:type="dxa"/>
            <w:right w:w="108" w:type="dxa"/>
          </w:tblCellMar>
        </w:tblPrEx>
        <w:tc>
          <w:tcPr>
            <w:tcW w:w="701" w:type="pct"/>
            <w:gridSpan w:val="2"/>
          </w:tcPr>
          <w:p w14:paraId="5C8499C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6.1.5</w:t>
            </w:r>
          </w:p>
        </w:tc>
        <w:tc>
          <w:tcPr>
            <w:tcW w:w="4298" w:type="pct"/>
          </w:tcPr>
          <w:p w14:paraId="5FFB5FC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遵照有关法规要求，编印安全防护手册发给进场施工人员，做好进场施工人员上岗前的安全教育和培训工作，并建立考核制度，只有考核合格的人员才能进场施工作业。特种作业人员还应经过专门的安全作业培训，并取得特种作业操作资格证书后方可上岗。在任何分部分项工程开始施工前，承包人应当就有关安全施工的技术要求向施工作业班组和作业人员等进行安全交底，并由双方签字确认。</w:t>
            </w:r>
          </w:p>
        </w:tc>
      </w:tr>
      <w:tr w14:paraId="0E4E86A0">
        <w:tblPrEx>
          <w:tblCellMar>
            <w:top w:w="0" w:type="dxa"/>
            <w:left w:w="108" w:type="dxa"/>
            <w:bottom w:w="0" w:type="dxa"/>
            <w:right w:w="108" w:type="dxa"/>
          </w:tblCellMar>
        </w:tblPrEx>
        <w:tc>
          <w:tcPr>
            <w:tcW w:w="701" w:type="pct"/>
            <w:gridSpan w:val="2"/>
          </w:tcPr>
          <w:p w14:paraId="7B6655F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6.1.6</w:t>
            </w:r>
          </w:p>
        </w:tc>
        <w:tc>
          <w:tcPr>
            <w:tcW w:w="4298" w:type="pct"/>
          </w:tcPr>
          <w:p w14:paraId="4D33876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为其进场施工人员配备必需的安全防护设施和设备，承包人还应为施工场地（现场）邻近地区的所有者和占有者、公众和其他人员，提供一切必要的临时道路、人行道、防护棚、围栏及警告等，以确保财产和人身安全以及最大程度地降低施工可能造成的不便。</w:t>
            </w:r>
          </w:p>
        </w:tc>
      </w:tr>
      <w:tr w14:paraId="1FBCCBFC">
        <w:tblPrEx>
          <w:tblCellMar>
            <w:top w:w="0" w:type="dxa"/>
            <w:left w:w="108" w:type="dxa"/>
            <w:bottom w:w="0" w:type="dxa"/>
            <w:right w:w="108" w:type="dxa"/>
          </w:tblCellMar>
        </w:tblPrEx>
        <w:tc>
          <w:tcPr>
            <w:tcW w:w="701" w:type="pct"/>
            <w:gridSpan w:val="2"/>
          </w:tcPr>
          <w:p w14:paraId="485C3B0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6.1.7</w:t>
            </w:r>
          </w:p>
        </w:tc>
        <w:tc>
          <w:tcPr>
            <w:tcW w:w="4298" w:type="pct"/>
          </w:tcPr>
          <w:p w14:paraId="4DA316B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在施工场地（现场）入口处、施工起重机械、临时用电设施、脚手架、出入通道口、楼梯口、电梯井口、孔洞口、隧道口、基坑边沿、危险品存放处等危险部位设置一切必需的安全警示标志，包括但不限于标准道路标志、报警标志、危险标志、控制标志、安全标志、指示标志、警告标志等，并配备必要的照明、防护和看守。承包人应当按监理人的指示，经常补充或更换失效的警示和标志。</w:t>
            </w:r>
          </w:p>
        </w:tc>
      </w:tr>
      <w:tr w14:paraId="5E459D35">
        <w:tblPrEx>
          <w:tblCellMar>
            <w:top w:w="0" w:type="dxa"/>
            <w:left w:w="108" w:type="dxa"/>
            <w:bottom w:w="0" w:type="dxa"/>
            <w:right w:w="108" w:type="dxa"/>
          </w:tblCellMar>
        </w:tblPrEx>
        <w:tc>
          <w:tcPr>
            <w:tcW w:w="701" w:type="pct"/>
            <w:gridSpan w:val="2"/>
          </w:tcPr>
          <w:p w14:paraId="61CAF70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6.1.8</w:t>
            </w:r>
          </w:p>
        </w:tc>
        <w:tc>
          <w:tcPr>
            <w:tcW w:w="4298" w:type="pct"/>
          </w:tcPr>
          <w:p w14:paraId="58F8DE4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对施工场地（现场）内由其提供并安装的所有提升架、外用电梯和塔吊等垂直和水平运输机械进行安全围护，包括卸料平台门的安全开关、警示铃和警示灯，卸料平台的护身栏杆，脚手架和安全网等等；所有的机械设备应设置安全操作防护罩，并在醒目位置张挂详细的安全操作要点等。</w:t>
            </w:r>
          </w:p>
        </w:tc>
      </w:tr>
      <w:tr w14:paraId="69730ADA">
        <w:tblPrEx>
          <w:tblCellMar>
            <w:top w:w="0" w:type="dxa"/>
            <w:left w:w="108" w:type="dxa"/>
            <w:bottom w:w="0" w:type="dxa"/>
            <w:right w:w="108" w:type="dxa"/>
          </w:tblCellMar>
        </w:tblPrEx>
        <w:tc>
          <w:tcPr>
            <w:tcW w:w="701" w:type="pct"/>
            <w:gridSpan w:val="2"/>
          </w:tcPr>
          <w:p w14:paraId="248A9F6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6.1.9</w:t>
            </w:r>
          </w:p>
        </w:tc>
        <w:tc>
          <w:tcPr>
            <w:tcW w:w="4298" w:type="pct"/>
          </w:tcPr>
          <w:p w14:paraId="2A244F3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对所有用于提升的挂钩、挂环、钢丝绳、铁扁担等进行定期检测、检查和标定；如果监理人认为，任何此类设施已经损坏或有使用不当之处，承包人应立即以合格的产品进行更换；所有垂直和水平运输机械的搭设、顶升、使用和拆除必须严格依照现行有关法规、规章、规范、标准和规程等的要求。</w:t>
            </w:r>
          </w:p>
        </w:tc>
      </w:tr>
      <w:tr w14:paraId="3E175683">
        <w:tblPrEx>
          <w:tblCellMar>
            <w:top w:w="0" w:type="dxa"/>
            <w:left w:w="108" w:type="dxa"/>
            <w:bottom w:w="0" w:type="dxa"/>
            <w:right w:w="108" w:type="dxa"/>
          </w:tblCellMar>
        </w:tblPrEx>
        <w:tc>
          <w:tcPr>
            <w:tcW w:w="701" w:type="pct"/>
            <w:gridSpan w:val="2"/>
          </w:tcPr>
          <w:p w14:paraId="52F16C1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6.1.10</w:t>
            </w:r>
          </w:p>
        </w:tc>
        <w:tc>
          <w:tcPr>
            <w:tcW w:w="4298" w:type="pct"/>
          </w:tcPr>
          <w:p w14:paraId="4A00175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所有机械和工器具应定期保养、校核和维护，以保证它们处于良好和安全的工作状态。保养、校核和维护工作应尽可能安排在非工作时间进行，并为上述机械和工器具准备足够的备用配件，以确保工程的施工能不间断地进行。</w:t>
            </w:r>
          </w:p>
        </w:tc>
      </w:tr>
      <w:tr w14:paraId="3716DB8A">
        <w:tblPrEx>
          <w:tblCellMar>
            <w:top w:w="0" w:type="dxa"/>
            <w:left w:w="108" w:type="dxa"/>
            <w:bottom w:w="0" w:type="dxa"/>
            <w:right w:w="108" w:type="dxa"/>
          </w:tblCellMar>
        </w:tblPrEx>
        <w:tc>
          <w:tcPr>
            <w:tcW w:w="701" w:type="pct"/>
            <w:gridSpan w:val="2"/>
          </w:tcPr>
          <w:p w14:paraId="242A5C0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6.1.11</w:t>
            </w:r>
          </w:p>
        </w:tc>
        <w:tc>
          <w:tcPr>
            <w:tcW w:w="4298" w:type="pct"/>
          </w:tcPr>
          <w:p w14:paraId="2605272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在永久工程和施工边坡、建筑物基坑、地下洞室等的开挖过程中，应根据其施工安全的需要和（或）监理人指示，安装必要的施工安全监测仪器，及时进行必要的施工安全监测，并定期将安全监测成果提交监理人，以防止引起任何沉降、变形或其他影响正常施工进度的损害。</w:t>
            </w:r>
          </w:p>
        </w:tc>
      </w:tr>
      <w:tr w14:paraId="6A5D5A93">
        <w:tblPrEx>
          <w:tblCellMar>
            <w:top w:w="0" w:type="dxa"/>
            <w:left w:w="108" w:type="dxa"/>
            <w:bottom w:w="0" w:type="dxa"/>
            <w:right w:w="108" w:type="dxa"/>
          </w:tblCellMar>
        </w:tblPrEx>
        <w:tc>
          <w:tcPr>
            <w:tcW w:w="701" w:type="pct"/>
            <w:gridSpan w:val="2"/>
          </w:tcPr>
          <w:p w14:paraId="491477B3">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6.1.12</w:t>
            </w:r>
          </w:p>
        </w:tc>
        <w:tc>
          <w:tcPr>
            <w:tcW w:w="4298" w:type="pct"/>
          </w:tcPr>
          <w:p w14:paraId="6B36496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对任何施工中的永久工程进行必要的支撑或临时加固。除非承包人已获得监理人书面许可并按要求进行了必要的加固或支撑，不允许承包人在任何已完成的永久性结构上堆放超过设计允许荷载的任何材料、物品或设备。在任何情况下，承包人均应对其任何上述超载行为引起的后果负责，并承担相应的修缮费用。</w:t>
            </w:r>
          </w:p>
        </w:tc>
      </w:tr>
      <w:tr w14:paraId="000DDC0E">
        <w:tblPrEx>
          <w:tblCellMar>
            <w:top w:w="0" w:type="dxa"/>
            <w:left w:w="108" w:type="dxa"/>
            <w:bottom w:w="0" w:type="dxa"/>
            <w:right w:w="108" w:type="dxa"/>
          </w:tblCellMar>
        </w:tblPrEx>
        <w:tc>
          <w:tcPr>
            <w:tcW w:w="701" w:type="pct"/>
            <w:gridSpan w:val="2"/>
          </w:tcPr>
          <w:p w14:paraId="0292B4A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6.1.13</w:t>
            </w:r>
          </w:p>
        </w:tc>
        <w:tc>
          <w:tcPr>
            <w:tcW w:w="4298" w:type="pct"/>
          </w:tcPr>
          <w:p w14:paraId="5EC6CBD3">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承包人应成立应急救援小组，配备必要的应急救援器材和设备，制定灾害和生产安全事故的应急救援预案，并将应急救援预案报送监理人。应急救援预案应能随时组织应救专职人员、并定期组织演练。</w:t>
            </w:r>
          </w:p>
        </w:tc>
      </w:tr>
      <w:tr w14:paraId="366A5EBE">
        <w:tblPrEx>
          <w:tblCellMar>
            <w:top w:w="0" w:type="dxa"/>
            <w:left w:w="108" w:type="dxa"/>
            <w:bottom w:w="0" w:type="dxa"/>
            <w:right w:w="108" w:type="dxa"/>
          </w:tblCellMar>
        </w:tblPrEx>
        <w:tc>
          <w:tcPr>
            <w:tcW w:w="701" w:type="pct"/>
            <w:gridSpan w:val="2"/>
          </w:tcPr>
          <w:p w14:paraId="3510EAD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6.1.14</w:t>
            </w:r>
          </w:p>
        </w:tc>
        <w:tc>
          <w:tcPr>
            <w:tcW w:w="4298" w:type="pct"/>
          </w:tcPr>
          <w:p w14:paraId="756034A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施工过程中需要使用爆破或带炸药的工具等危险性施工方法时，承包人应提前通知监理人。经监理人批准后，承包人应依照有关法律、法规、规章以及政府有关主管机构制定的规范性文件等的规定，向有关机构提出申请并获得相关许可。承包人应严格依照上述规定使用、储藏、管理爆破物品或带炸药的工具等，并负责由于这类物品的使用可能引起的任何损失或损害的赔偿。任何情况下，承包人不得在已完永久性工程中和空心砌体中使用爆破方法。</w:t>
            </w:r>
          </w:p>
        </w:tc>
      </w:tr>
      <w:tr w14:paraId="5F285AD9">
        <w:tblPrEx>
          <w:tblCellMar>
            <w:top w:w="0" w:type="dxa"/>
            <w:left w:w="108" w:type="dxa"/>
            <w:bottom w:w="0" w:type="dxa"/>
            <w:right w:w="108" w:type="dxa"/>
          </w:tblCellMar>
        </w:tblPrEx>
        <w:tc>
          <w:tcPr>
            <w:tcW w:w="701" w:type="pct"/>
            <w:gridSpan w:val="2"/>
          </w:tcPr>
          <w:p w14:paraId="48A7431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6.1.15</w:t>
            </w:r>
          </w:p>
        </w:tc>
        <w:tc>
          <w:tcPr>
            <w:tcW w:w="4298" w:type="pct"/>
          </w:tcPr>
          <w:p w14:paraId="7F33A91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基坑支护与降水工程、土方开挖工程、模板工程、起重吊装工程、脚手架工程、拆除工程和爆破工程等达到一定规模和危险性较大的分部分项工程，承包人应当编制专项施工方案，其中深基坑、地下暗挖和高大模板工程的专项施工方案，还应组织专家进行论证和审查。</w:t>
            </w:r>
          </w:p>
        </w:tc>
      </w:tr>
      <w:tr w14:paraId="03B9C35E">
        <w:tblPrEx>
          <w:tblCellMar>
            <w:top w:w="0" w:type="dxa"/>
            <w:left w:w="108" w:type="dxa"/>
            <w:bottom w:w="0" w:type="dxa"/>
            <w:right w:w="108" w:type="dxa"/>
          </w:tblCellMar>
        </w:tblPrEx>
        <w:tc>
          <w:tcPr>
            <w:tcW w:w="701" w:type="pct"/>
            <w:gridSpan w:val="2"/>
          </w:tcPr>
          <w:p w14:paraId="3F1A0D1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6.1.16</w:t>
            </w:r>
          </w:p>
        </w:tc>
        <w:tc>
          <w:tcPr>
            <w:tcW w:w="4298" w:type="pct"/>
          </w:tcPr>
          <w:p w14:paraId="1BA7F47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按照通用合同条款第9.5款的约定处理本工程施工过程中发生的事故。发生施工安全事故后，承包人必须立即报告监理人和发包人，并在事故发生后一小时内向发包人提交事故情况书面报告，并根据《生产安全事故报告和调查处理条例》的规定，及时向工程所在地县级以上地方人民政府安全生产监督管理部门和建设行政主管部门报告。情况紧急时，事故现场有关人员可以直接向工程所在地县级以上地方人民政府安全生产监督管理部门和建设行政主管部门报告。</w:t>
            </w:r>
          </w:p>
        </w:tc>
      </w:tr>
      <w:tr w14:paraId="04AEE238">
        <w:tblPrEx>
          <w:tblCellMar>
            <w:top w:w="0" w:type="dxa"/>
            <w:left w:w="108" w:type="dxa"/>
            <w:bottom w:w="0" w:type="dxa"/>
            <w:right w:w="108" w:type="dxa"/>
          </w:tblCellMar>
        </w:tblPrEx>
        <w:tc>
          <w:tcPr>
            <w:tcW w:w="701" w:type="pct"/>
            <w:gridSpan w:val="2"/>
          </w:tcPr>
          <w:p w14:paraId="48C4B66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6.1.17</w:t>
            </w:r>
          </w:p>
        </w:tc>
        <w:tc>
          <w:tcPr>
            <w:tcW w:w="4298" w:type="pct"/>
          </w:tcPr>
          <w:p w14:paraId="1CE6738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承包人还应根据有关法律、法规、规定和条例等的要求，制定一套安全生产应急措施和程序，保证一旦出现任何安全事故，能立即保护好现场，抢救伤员和财产，保证施工生产的正常进行，防止损失扩大。</w:t>
            </w:r>
          </w:p>
        </w:tc>
      </w:tr>
      <w:tr w14:paraId="57A8F267">
        <w:tblPrEx>
          <w:tblCellMar>
            <w:top w:w="0" w:type="dxa"/>
            <w:left w:w="108" w:type="dxa"/>
            <w:bottom w:w="0" w:type="dxa"/>
            <w:right w:w="108" w:type="dxa"/>
          </w:tblCellMar>
        </w:tblPrEx>
        <w:tc>
          <w:tcPr>
            <w:tcW w:w="701" w:type="pct"/>
            <w:gridSpan w:val="2"/>
          </w:tcPr>
          <w:p w14:paraId="0B908C9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6.1.18</w:t>
            </w:r>
          </w:p>
        </w:tc>
        <w:tc>
          <w:tcPr>
            <w:tcW w:w="4298" w:type="pct"/>
          </w:tcPr>
          <w:p w14:paraId="600E75B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eastAsiaTheme="minorEastAsia"/>
                <w:kern w:val="0"/>
                <w:szCs w:val="21"/>
                <w:lang w:val="en-US" w:eastAsia="zh-CN"/>
              </w:rPr>
            </w:pPr>
            <w:r>
              <w:rPr>
                <w:rFonts w:hint="default" w:ascii="Times New Roman" w:hAnsi="Times New Roman" w:cs="Times New Roman"/>
                <w:kern w:val="0"/>
                <w:szCs w:val="21"/>
              </w:rPr>
              <w:t>安全防护方面的其他要求如下：</w:t>
            </w:r>
            <w:r>
              <w:rPr>
                <w:rFonts w:hint="eastAsia" w:ascii="Times New Roman" w:hAnsi="Times New Roman" w:cs="Times New Roman"/>
                <w:kern w:val="0"/>
                <w:szCs w:val="21"/>
                <w:u w:val="single"/>
                <w:lang w:val="en-US" w:eastAsia="zh-CN"/>
              </w:rPr>
              <w:t xml:space="preserve">             /                </w:t>
            </w:r>
          </w:p>
        </w:tc>
      </w:tr>
      <w:tr w14:paraId="182CF050">
        <w:tblPrEx>
          <w:tblCellMar>
            <w:top w:w="0" w:type="dxa"/>
            <w:left w:w="108" w:type="dxa"/>
            <w:bottom w:w="0" w:type="dxa"/>
            <w:right w:w="108" w:type="dxa"/>
          </w:tblCellMar>
        </w:tblPrEx>
        <w:tc>
          <w:tcPr>
            <w:tcW w:w="701" w:type="pct"/>
            <w:gridSpan w:val="2"/>
          </w:tcPr>
          <w:p w14:paraId="73135173">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6.2</w:t>
            </w:r>
          </w:p>
        </w:tc>
        <w:tc>
          <w:tcPr>
            <w:tcW w:w="4298" w:type="pct"/>
          </w:tcPr>
          <w:p w14:paraId="5E80707C">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临时消防</w:t>
            </w:r>
          </w:p>
        </w:tc>
      </w:tr>
      <w:tr w14:paraId="34AA480C">
        <w:tblPrEx>
          <w:tblCellMar>
            <w:top w:w="0" w:type="dxa"/>
            <w:left w:w="108" w:type="dxa"/>
            <w:bottom w:w="0" w:type="dxa"/>
            <w:right w:w="108" w:type="dxa"/>
          </w:tblCellMar>
        </w:tblPrEx>
        <w:tc>
          <w:tcPr>
            <w:tcW w:w="701" w:type="pct"/>
            <w:gridSpan w:val="2"/>
          </w:tcPr>
          <w:p w14:paraId="2C97C060">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6.2.1</w:t>
            </w:r>
          </w:p>
        </w:tc>
        <w:tc>
          <w:tcPr>
            <w:tcW w:w="4298" w:type="pct"/>
          </w:tcPr>
          <w:p w14:paraId="61D32B5E">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承包人应建立消防安全责任制度，制定用火、用电和使用易燃易爆等危险品的消防安全管理制度和操作规程。各项制度和规程等应满足相关法律法规和政府消防管理机构的要求。</w:t>
            </w:r>
          </w:p>
        </w:tc>
      </w:tr>
      <w:tr w14:paraId="17ED001F">
        <w:tblPrEx>
          <w:tblCellMar>
            <w:top w:w="0" w:type="dxa"/>
            <w:left w:w="108" w:type="dxa"/>
            <w:bottom w:w="0" w:type="dxa"/>
            <w:right w:w="108" w:type="dxa"/>
          </w:tblCellMar>
        </w:tblPrEx>
        <w:tc>
          <w:tcPr>
            <w:tcW w:w="701" w:type="pct"/>
            <w:gridSpan w:val="2"/>
          </w:tcPr>
          <w:p w14:paraId="000E6B77">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6.2.2</w:t>
            </w:r>
          </w:p>
        </w:tc>
        <w:tc>
          <w:tcPr>
            <w:tcW w:w="4298" w:type="pct"/>
          </w:tcPr>
          <w:p w14:paraId="228D7E2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根据相关法律法规和消防管理部门的要求，为施工中的永久工程和所有临时工程提供必要的临时消防和紧急疏散设施，包括提供并维持畅通的消防通道、临时消火栓、灭火器、水龙带、灭火桶、灭火铲、灭火斧、消防水管、阀门、检查井、临时消防水箱、泵房和紧随工作面的临时疏散楼梯或疏散设施，消防设施的设立和消防设备的型号和功率应满足消防任务的需要，始终保持能够随时投入正常使用的状态，并设立明显标志。承包人的临时消防系统和配置应分别经过监理人和消防管理部门的审批和验收；承包人还应自费获得消防管理部门的临时消防证书。所有的临时消防设施属于承包人所有，至工程实际竣工时且永久性消防系统投入使用后从现场拆除。</w:t>
            </w:r>
          </w:p>
        </w:tc>
      </w:tr>
      <w:tr w14:paraId="1D5EBC68">
        <w:tblPrEx>
          <w:tblCellMar>
            <w:top w:w="0" w:type="dxa"/>
            <w:left w:w="108" w:type="dxa"/>
            <w:bottom w:w="0" w:type="dxa"/>
            <w:right w:w="108" w:type="dxa"/>
          </w:tblCellMar>
        </w:tblPrEx>
        <w:tc>
          <w:tcPr>
            <w:tcW w:w="701" w:type="pct"/>
            <w:gridSpan w:val="2"/>
          </w:tcPr>
          <w:p w14:paraId="3636E7FB">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6.2.3</w:t>
            </w:r>
          </w:p>
        </w:tc>
        <w:tc>
          <w:tcPr>
            <w:tcW w:w="4298" w:type="pct"/>
          </w:tcPr>
          <w:p w14:paraId="5F03E0F0">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承包人应当成立由项目主要负责人担任组长的临时消防组或消防队，宣传消防基本知识和基本操作培训，组织消防演练，保证一旦发生火灾，能够组织有效的自救，保护生命和财产安全。</w:t>
            </w:r>
          </w:p>
        </w:tc>
      </w:tr>
      <w:tr w14:paraId="6432FF4D">
        <w:tblPrEx>
          <w:tblCellMar>
            <w:top w:w="0" w:type="dxa"/>
            <w:left w:w="108" w:type="dxa"/>
            <w:bottom w:w="0" w:type="dxa"/>
            <w:right w:w="108" w:type="dxa"/>
          </w:tblCellMar>
        </w:tblPrEx>
        <w:tc>
          <w:tcPr>
            <w:tcW w:w="701" w:type="pct"/>
            <w:gridSpan w:val="2"/>
          </w:tcPr>
          <w:p w14:paraId="7369934D">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6.2.4</w:t>
            </w:r>
          </w:p>
        </w:tc>
        <w:tc>
          <w:tcPr>
            <w:tcW w:w="4298" w:type="pct"/>
          </w:tcPr>
          <w:p w14:paraId="73B4554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施工场地（现场）内的易燃、易爆物品应单独和安全地存放，设专人进行存放和领用管理。施工场地（现场）储有或正在使用易燃、易爆或可燃材料时或有明火施工的工序，应当实行严格的“用火证”管理制度。</w:t>
            </w:r>
          </w:p>
        </w:tc>
      </w:tr>
      <w:tr w14:paraId="59654F88">
        <w:tblPrEx>
          <w:tblCellMar>
            <w:top w:w="0" w:type="dxa"/>
            <w:left w:w="108" w:type="dxa"/>
            <w:bottom w:w="0" w:type="dxa"/>
            <w:right w:w="108" w:type="dxa"/>
          </w:tblCellMar>
        </w:tblPrEx>
        <w:tc>
          <w:tcPr>
            <w:tcW w:w="701" w:type="pct"/>
            <w:gridSpan w:val="2"/>
          </w:tcPr>
          <w:p w14:paraId="22DBA9EE">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6.2.5</w:t>
            </w:r>
          </w:p>
        </w:tc>
        <w:tc>
          <w:tcPr>
            <w:tcW w:w="4298" w:type="pct"/>
          </w:tcPr>
          <w:p w14:paraId="1862482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eastAsiaTheme="minorEastAsia"/>
                <w:kern w:val="0"/>
                <w:szCs w:val="21"/>
                <w:lang w:val="en-US" w:eastAsia="zh-CN"/>
              </w:rPr>
            </w:pPr>
            <w:r>
              <w:rPr>
                <w:rFonts w:hint="default" w:ascii="Times New Roman" w:hAnsi="Times New Roman" w:cs="Times New Roman"/>
                <w:kern w:val="0"/>
                <w:szCs w:val="21"/>
              </w:rPr>
              <w:t>临时消防方面的其他要求如下：</w:t>
            </w:r>
            <w:r>
              <w:rPr>
                <w:rFonts w:hint="eastAsia" w:ascii="Times New Roman" w:hAnsi="Times New Roman" w:cs="Times New Roman"/>
                <w:kern w:val="0"/>
                <w:szCs w:val="21"/>
                <w:u w:val="single"/>
                <w:lang w:val="en-US" w:eastAsia="zh-CN"/>
              </w:rPr>
              <w:t xml:space="preserve">        /              </w:t>
            </w:r>
          </w:p>
        </w:tc>
      </w:tr>
      <w:tr w14:paraId="6FB99692">
        <w:tblPrEx>
          <w:tblCellMar>
            <w:top w:w="0" w:type="dxa"/>
            <w:left w:w="108" w:type="dxa"/>
            <w:bottom w:w="0" w:type="dxa"/>
            <w:right w:w="108" w:type="dxa"/>
          </w:tblCellMar>
        </w:tblPrEx>
        <w:tc>
          <w:tcPr>
            <w:tcW w:w="701" w:type="pct"/>
            <w:gridSpan w:val="2"/>
          </w:tcPr>
          <w:p w14:paraId="66C2A127">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6.3</w:t>
            </w:r>
          </w:p>
        </w:tc>
        <w:tc>
          <w:tcPr>
            <w:tcW w:w="4298" w:type="pct"/>
          </w:tcPr>
          <w:p w14:paraId="277527E8">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临时供电</w:t>
            </w:r>
          </w:p>
        </w:tc>
      </w:tr>
      <w:tr w14:paraId="667C87BA">
        <w:tblPrEx>
          <w:tblCellMar>
            <w:top w:w="0" w:type="dxa"/>
            <w:left w:w="108" w:type="dxa"/>
            <w:bottom w:w="0" w:type="dxa"/>
            <w:right w:w="108" w:type="dxa"/>
          </w:tblCellMar>
        </w:tblPrEx>
        <w:tc>
          <w:tcPr>
            <w:tcW w:w="701" w:type="pct"/>
            <w:gridSpan w:val="2"/>
          </w:tcPr>
          <w:p w14:paraId="0C0A1581">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6.3.1</w:t>
            </w:r>
          </w:p>
        </w:tc>
        <w:tc>
          <w:tcPr>
            <w:tcW w:w="4298" w:type="pct"/>
          </w:tcPr>
          <w:p w14:paraId="57EC6EE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b/>
                <w:bCs/>
                <w:kern w:val="0"/>
                <w:szCs w:val="21"/>
              </w:rPr>
            </w:pPr>
            <w:r>
              <w:rPr>
                <w:rFonts w:hint="default" w:ascii="Times New Roman" w:hAnsi="Times New Roman" w:cs="Times New Roman"/>
                <w:kern w:val="0"/>
                <w:szCs w:val="21"/>
              </w:rPr>
              <w:t>承包人应当根据《施工现场临时用电安全技术规范》（JGJ46-2005）及其适用的修订版本的规定和施工要求编制施工临时用电方案。临时用电方案及其变更必须履行“编制、审核、批准”程序。施工临时用电方案应当由电气工程技术人员组织编制，经企业技术负责人批准后实施，经编制、审核、批准部门和使用单位共同验收合格后方可投入使用。</w:t>
            </w:r>
          </w:p>
        </w:tc>
      </w:tr>
      <w:tr w14:paraId="6029D367">
        <w:tblPrEx>
          <w:tblCellMar>
            <w:top w:w="0" w:type="dxa"/>
            <w:left w:w="108" w:type="dxa"/>
            <w:bottom w:w="0" w:type="dxa"/>
            <w:right w:w="108" w:type="dxa"/>
          </w:tblCellMar>
        </w:tblPrEx>
        <w:tc>
          <w:tcPr>
            <w:tcW w:w="701" w:type="pct"/>
            <w:gridSpan w:val="2"/>
          </w:tcPr>
          <w:p w14:paraId="56D5D3DE">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6.3.2</w:t>
            </w:r>
          </w:p>
        </w:tc>
        <w:tc>
          <w:tcPr>
            <w:tcW w:w="4298" w:type="pct"/>
          </w:tcPr>
          <w:p w14:paraId="07E70EB7">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为施工场地（现场），包括为工程楼层或者各区域，提供、设立和维护必要的临时电力供应系统，并保证电力供应系统始终处于满足供电管理部门要求和正常施工生产所要求的状态，并在工程实际竣工和相应永久系统投入使用后从现场拆除。</w:t>
            </w:r>
          </w:p>
        </w:tc>
      </w:tr>
      <w:tr w14:paraId="5329D446">
        <w:tblPrEx>
          <w:tblCellMar>
            <w:top w:w="0" w:type="dxa"/>
            <w:left w:w="108" w:type="dxa"/>
            <w:bottom w:w="0" w:type="dxa"/>
            <w:right w:w="108" w:type="dxa"/>
          </w:tblCellMar>
        </w:tblPrEx>
        <w:tc>
          <w:tcPr>
            <w:tcW w:w="701" w:type="pct"/>
            <w:gridSpan w:val="2"/>
          </w:tcPr>
          <w:p w14:paraId="7DC36D73">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6.3.3</w:t>
            </w:r>
          </w:p>
        </w:tc>
        <w:tc>
          <w:tcPr>
            <w:tcW w:w="4298" w:type="pct"/>
          </w:tcPr>
          <w:p w14:paraId="02DB8294">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临时供电系统的电缆、电线、配电箱、控制柜、开关箱、漏电保护器等材料设备均应当具有生产（制造）许可证、产品合格证并经过检验合格的产品。临时用电采用三相五线制、三级配电和两极漏电保护供电，三相四线制配电的电缆线路必须采用五芯电缆，按规定设立零线和接地线。电缆和电线的铺设要符合安全用电标准要求，电缆线路应采用埋地或架空敷设，严禁严地面明设，并应避免机械损伤和介质腐蚀。埋地电缆路径应设方位标志。各种配电设备均设有防止漏电和防雨防水设施。</w:t>
            </w:r>
          </w:p>
        </w:tc>
      </w:tr>
      <w:tr w14:paraId="44AF2CC7">
        <w:tblPrEx>
          <w:tblCellMar>
            <w:top w:w="0" w:type="dxa"/>
            <w:left w:w="108" w:type="dxa"/>
            <w:bottom w:w="0" w:type="dxa"/>
            <w:right w:w="108" w:type="dxa"/>
          </w:tblCellMar>
        </w:tblPrEx>
        <w:tc>
          <w:tcPr>
            <w:tcW w:w="701" w:type="pct"/>
            <w:gridSpan w:val="2"/>
          </w:tcPr>
          <w:p w14:paraId="4A66ADF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6.3.4</w:t>
            </w:r>
          </w:p>
        </w:tc>
        <w:tc>
          <w:tcPr>
            <w:tcW w:w="4298" w:type="pct"/>
          </w:tcPr>
          <w:p w14:paraId="041614C9">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承包人应在施工作业区、施工道路、临时设施、办公区和生活区设置足够的照明，地下工程照明系统的电压不得高于</w:t>
            </w:r>
            <w:r>
              <w:rPr>
                <w:rFonts w:hint="default" w:ascii="Times New Roman" w:hAnsi="Times New Roman" w:cs="Times New Roman"/>
                <w:bCs/>
                <w:kern w:val="0"/>
                <w:szCs w:val="21"/>
              </w:rPr>
              <w:t>36V</w:t>
            </w:r>
            <w:r>
              <w:rPr>
                <w:rFonts w:hint="default" w:ascii="Times New Roman" w:hAnsi="Times New Roman" w:cs="Times New Roman"/>
                <w:kern w:val="0"/>
                <w:szCs w:val="21"/>
              </w:rPr>
              <w:t>，在潮湿和易触及带电体场所的照明供电电压不应大于</w:t>
            </w:r>
            <w:r>
              <w:rPr>
                <w:rFonts w:hint="default" w:ascii="Times New Roman" w:hAnsi="Times New Roman" w:cs="Times New Roman"/>
                <w:bCs/>
                <w:kern w:val="0"/>
                <w:szCs w:val="21"/>
              </w:rPr>
              <w:t>24V</w:t>
            </w:r>
            <w:r>
              <w:rPr>
                <w:rFonts w:hint="default" w:ascii="Times New Roman" w:hAnsi="Times New Roman" w:cs="Times New Roman"/>
                <w:kern w:val="0"/>
                <w:szCs w:val="21"/>
              </w:rPr>
              <w:t>。不便于使用电器照明的工作面应采用特殊照明设施。</w:t>
            </w:r>
          </w:p>
        </w:tc>
      </w:tr>
      <w:tr w14:paraId="0C6D9433">
        <w:tblPrEx>
          <w:tblCellMar>
            <w:top w:w="0" w:type="dxa"/>
            <w:left w:w="108" w:type="dxa"/>
            <w:bottom w:w="0" w:type="dxa"/>
            <w:right w:w="108" w:type="dxa"/>
          </w:tblCellMar>
        </w:tblPrEx>
        <w:tc>
          <w:tcPr>
            <w:tcW w:w="701" w:type="pct"/>
            <w:gridSpan w:val="2"/>
          </w:tcPr>
          <w:p w14:paraId="645AF054">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6.3.5</w:t>
            </w:r>
          </w:p>
        </w:tc>
        <w:tc>
          <w:tcPr>
            <w:tcW w:w="4298" w:type="pct"/>
          </w:tcPr>
          <w:p w14:paraId="55CF9DD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凡可能漏电伤人或易受雷击的电器及建筑物均应设置接地和避雷装置。承包人应负责避雷装置的采购、安装、管理和维修，并建立定期检查制度。</w:t>
            </w:r>
          </w:p>
        </w:tc>
      </w:tr>
      <w:tr w14:paraId="4738C036">
        <w:tblPrEx>
          <w:tblCellMar>
            <w:top w:w="0" w:type="dxa"/>
            <w:left w:w="108" w:type="dxa"/>
            <w:bottom w:w="0" w:type="dxa"/>
            <w:right w:w="108" w:type="dxa"/>
          </w:tblCellMar>
        </w:tblPrEx>
        <w:trPr>
          <w:trHeight w:val="436" w:hRule="atLeast"/>
        </w:trPr>
        <w:tc>
          <w:tcPr>
            <w:tcW w:w="701" w:type="pct"/>
            <w:gridSpan w:val="2"/>
          </w:tcPr>
          <w:p w14:paraId="11464C9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6.3.6</w:t>
            </w:r>
          </w:p>
        </w:tc>
        <w:tc>
          <w:tcPr>
            <w:tcW w:w="4298" w:type="pct"/>
          </w:tcPr>
          <w:p w14:paraId="4D8436F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rPr>
              <w:t>临时用电方面的其他要求如下：</w:t>
            </w:r>
            <w:r>
              <w:rPr>
                <w:rFonts w:hint="default" w:ascii="Times New Roman" w:hAnsi="Times New Roman" w:cs="Times New Roman"/>
                <w:kern w:val="0"/>
                <w:szCs w:val="21"/>
                <w:u w:val="single"/>
              </w:rPr>
              <w:t>（1）承包人应为施工场地（现场），包括为工程范围内各区域，提供、设立和维护必要的临时电力供应系统，并保证电力供应系统始终处于满足供电管理部门要求和正常施工生产所要求的状态，并在工程实际竣工和相应永久系统投入使用后从现场拆除。</w:t>
            </w:r>
          </w:p>
          <w:p w14:paraId="6C570002">
            <w:pPr>
              <w:keepNext w:val="0"/>
              <w:keepLines w:val="0"/>
              <w:widowControl/>
              <w:suppressLineNumbers w:val="0"/>
              <w:spacing w:before="0" w:beforeAutospacing="0" w:after="156" w:afterLines="50" w:afterAutospacing="0" w:line="360" w:lineRule="auto"/>
              <w:ind w:left="0" w:right="0"/>
              <w:jc w:val="left"/>
              <w:rPr>
                <w:rFonts w:hint="eastAsia" w:ascii="Times New Roman" w:hAnsi="Times New Roman" w:cs="Times New Roman" w:eastAsiaTheme="minorEastAsia"/>
                <w:kern w:val="0"/>
                <w:szCs w:val="21"/>
                <w:lang w:val="en-US" w:eastAsia="zh-CN"/>
              </w:rPr>
            </w:pPr>
            <w:r>
              <w:rPr>
                <w:rFonts w:hint="default" w:ascii="Times New Roman" w:hAnsi="Times New Roman" w:cs="Times New Roman"/>
                <w:kern w:val="0"/>
                <w:szCs w:val="21"/>
                <w:u w:val="single"/>
              </w:rPr>
              <w:t>（2）临时供电系统的电缆、电线、配电箱、控制柜、开关箱、漏电保护器等材料设备均应当具有生产（制造）许可证、产品合格证并经过检验合格的产品</w:t>
            </w:r>
            <w:r>
              <w:rPr>
                <w:rFonts w:hint="eastAsia" w:ascii="Times New Roman" w:hAnsi="Times New Roman" w:cs="Times New Roman"/>
                <w:kern w:val="0"/>
                <w:szCs w:val="21"/>
                <w:u w:val="single"/>
                <w:lang w:eastAsia="zh-CN"/>
              </w:rPr>
              <w:t>。</w:t>
            </w:r>
          </w:p>
        </w:tc>
      </w:tr>
      <w:tr w14:paraId="528AEF9C">
        <w:tblPrEx>
          <w:tblCellMar>
            <w:top w:w="0" w:type="dxa"/>
            <w:left w:w="108" w:type="dxa"/>
            <w:bottom w:w="0" w:type="dxa"/>
            <w:right w:w="108" w:type="dxa"/>
          </w:tblCellMar>
        </w:tblPrEx>
        <w:tc>
          <w:tcPr>
            <w:tcW w:w="701" w:type="pct"/>
            <w:gridSpan w:val="2"/>
          </w:tcPr>
          <w:p w14:paraId="2603ADCC">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6.4</w:t>
            </w:r>
          </w:p>
        </w:tc>
        <w:tc>
          <w:tcPr>
            <w:tcW w:w="4298" w:type="pct"/>
          </w:tcPr>
          <w:p w14:paraId="71369220">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劳动保护</w:t>
            </w:r>
          </w:p>
        </w:tc>
      </w:tr>
      <w:tr w14:paraId="3A3A788C">
        <w:tblPrEx>
          <w:tblCellMar>
            <w:top w:w="0" w:type="dxa"/>
            <w:left w:w="108" w:type="dxa"/>
            <w:bottom w:w="0" w:type="dxa"/>
            <w:right w:w="108" w:type="dxa"/>
          </w:tblCellMar>
        </w:tblPrEx>
        <w:tc>
          <w:tcPr>
            <w:tcW w:w="701" w:type="pct"/>
            <w:gridSpan w:val="2"/>
          </w:tcPr>
          <w:p w14:paraId="3846FCB4">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6.4.1</w:t>
            </w:r>
          </w:p>
        </w:tc>
        <w:tc>
          <w:tcPr>
            <w:tcW w:w="4298" w:type="pct"/>
          </w:tcPr>
          <w:p w14:paraId="1E895B2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遵守所有适用于本合同的劳动法规及其他有关法律、法规、规章和规定中关于工人工资标准、劳动时间和劳动条件的规定，合理安排现场作业人员的劳动和休息时间，保障劳动者必须的休息时间，支付合理的报酬和费用。承包人应按有关行政管理部门的规定为本合同下雇佣的职员和工人办理任何必要的证件、许可、保险和注册等，并保障发包人免于因承包人不能依照或完全依照上述所有法律、法规、规章和规定等可能给发包人带来的任何处罚、索赔、损失和损害等。</w:t>
            </w:r>
          </w:p>
        </w:tc>
      </w:tr>
      <w:tr w14:paraId="402CA1B0">
        <w:tblPrEx>
          <w:tblCellMar>
            <w:top w:w="0" w:type="dxa"/>
            <w:left w:w="108" w:type="dxa"/>
            <w:bottom w:w="0" w:type="dxa"/>
            <w:right w:w="108" w:type="dxa"/>
          </w:tblCellMar>
        </w:tblPrEx>
        <w:tc>
          <w:tcPr>
            <w:tcW w:w="701" w:type="pct"/>
            <w:gridSpan w:val="2"/>
          </w:tcPr>
          <w:p w14:paraId="0C77E0E7">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6.4.2</w:t>
            </w:r>
          </w:p>
        </w:tc>
        <w:tc>
          <w:tcPr>
            <w:tcW w:w="4298" w:type="pct"/>
          </w:tcPr>
          <w:p w14:paraId="07189CE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按照国家《劳动保护法》的规定，保障现场施工人员的劳动安全。承包人应为本合同下雇佣的职员和工人提供适当和充分的劳动保护，包括但不限于安全防护、防寒、防雨、防尘、绝缘保护、常用药品、急救设备、传染病预防等。</w:t>
            </w:r>
          </w:p>
        </w:tc>
      </w:tr>
      <w:tr w14:paraId="027AE23C">
        <w:tblPrEx>
          <w:tblCellMar>
            <w:top w:w="0" w:type="dxa"/>
            <w:left w:w="108" w:type="dxa"/>
            <w:bottom w:w="0" w:type="dxa"/>
            <w:right w:w="108" w:type="dxa"/>
          </w:tblCellMar>
        </w:tblPrEx>
        <w:tc>
          <w:tcPr>
            <w:tcW w:w="701" w:type="pct"/>
            <w:gridSpan w:val="2"/>
          </w:tcPr>
          <w:p w14:paraId="6A9CDAF4">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6.4.3</w:t>
            </w:r>
          </w:p>
        </w:tc>
        <w:tc>
          <w:tcPr>
            <w:tcW w:w="4298" w:type="pct"/>
          </w:tcPr>
          <w:p w14:paraId="1FB05B2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为其履行本合同所雇佣的职员和工人提供和维护任何必要的膳宿条件和生活环境，包括但不限于宿舍、围栏、供水（饮用及其他目的用水）、供电、卫生设备、食堂及炊具、防火及灭火设备、供热、家具及其他正常膳宿条件和生活环境所需的必需品，并应考虑宗教和民族习惯。</w:t>
            </w:r>
          </w:p>
        </w:tc>
      </w:tr>
      <w:tr w14:paraId="2B418B73">
        <w:tblPrEx>
          <w:tblCellMar>
            <w:top w:w="0" w:type="dxa"/>
            <w:left w:w="108" w:type="dxa"/>
            <w:bottom w:w="0" w:type="dxa"/>
            <w:right w:w="108" w:type="dxa"/>
          </w:tblCellMar>
        </w:tblPrEx>
        <w:tc>
          <w:tcPr>
            <w:tcW w:w="701" w:type="pct"/>
            <w:gridSpan w:val="2"/>
          </w:tcPr>
          <w:p w14:paraId="5B05AB9C">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6.4.4</w:t>
            </w:r>
          </w:p>
        </w:tc>
        <w:tc>
          <w:tcPr>
            <w:tcW w:w="4298" w:type="pct"/>
          </w:tcPr>
          <w:p w14:paraId="1D43874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为现场工人提供符合政府卫生规定的生活条件并获得必要的许可，保证工人的健康和防止任何传染病，包括工人的食堂、厕所、工具房、宿舍等；承包人应聘请专业的卫生防疫部门定期对现场、工人生活基地和工程进行防疫和卫生的专业检查和处理，包括消灭白蚁、鼠害、蚊蝇和其它害虫，以防对施工人员、现场和永久工程造成任何危害。</w:t>
            </w:r>
          </w:p>
        </w:tc>
      </w:tr>
      <w:tr w14:paraId="6578623B">
        <w:tblPrEx>
          <w:tblCellMar>
            <w:top w:w="0" w:type="dxa"/>
            <w:left w:w="108" w:type="dxa"/>
            <w:bottom w:w="0" w:type="dxa"/>
            <w:right w:w="108" w:type="dxa"/>
          </w:tblCellMar>
        </w:tblPrEx>
        <w:tc>
          <w:tcPr>
            <w:tcW w:w="701" w:type="pct"/>
            <w:gridSpan w:val="2"/>
          </w:tcPr>
          <w:p w14:paraId="4F7348FD">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6.4.5</w:t>
            </w:r>
          </w:p>
        </w:tc>
        <w:tc>
          <w:tcPr>
            <w:tcW w:w="4298" w:type="pct"/>
          </w:tcPr>
          <w:p w14:paraId="59D4CC8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承包人应在现场设立专门的临时医疗站，配备足够的设施、药物和称职的医务人员，承包人还应准备急救担架，用于一旦发生安全事故时对受伤人员的急救。</w:t>
            </w:r>
          </w:p>
        </w:tc>
      </w:tr>
      <w:tr w14:paraId="7076221F">
        <w:tblPrEx>
          <w:tblCellMar>
            <w:top w:w="0" w:type="dxa"/>
            <w:left w:w="108" w:type="dxa"/>
            <w:bottom w:w="0" w:type="dxa"/>
            <w:right w:w="108" w:type="dxa"/>
          </w:tblCellMar>
        </w:tblPrEx>
        <w:tc>
          <w:tcPr>
            <w:tcW w:w="701" w:type="pct"/>
            <w:gridSpan w:val="2"/>
          </w:tcPr>
          <w:p w14:paraId="6AAFCB2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6.4.6</w:t>
            </w:r>
          </w:p>
        </w:tc>
        <w:tc>
          <w:tcPr>
            <w:tcW w:w="4298" w:type="pct"/>
          </w:tcPr>
          <w:p w14:paraId="7EBF079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rPr>
              <w:t>劳动保护方面的其他要求如下：</w:t>
            </w:r>
            <w:r>
              <w:rPr>
                <w:rFonts w:hint="default" w:ascii="Times New Roman" w:hAnsi="Times New Roman" w:cs="Times New Roman"/>
                <w:kern w:val="0"/>
                <w:szCs w:val="21"/>
                <w:u w:val="single"/>
              </w:rPr>
              <w:t xml:space="preserve">    </w:t>
            </w:r>
            <w:r>
              <w:rPr>
                <w:rFonts w:hint="default" w:ascii="Times New Roman" w:hAnsi="Times New Roman" w:cs="Times New Roman"/>
                <w:kern w:val="0"/>
                <w:szCs w:val="21"/>
                <w:u w:val="single"/>
                <w:lang w:val="en-US" w:eastAsia="zh-CN"/>
              </w:rPr>
              <w:t xml:space="preserve">     </w:t>
            </w:r>
            <w:r>
              <w:rPr>
                <w:rFonts w:hint="default" w:ascii="Times New Roman" w:hAnsi="Times New Roman" w:cs="Times New Roman"/>
                <w:kern w:val="0"/>
                <w:szCs w:val="21"/>
                <w:u w:val="single"/>
              </w:rPr>
              <w:t xml:space="preserve"> </w:t>
            </w:r>
            <w:r>
              <w:rPr>
                <w:rFonts w:hint="default" w:ascii="Times New Roman" w:hAnsi="Times New Roman" w:cs="Times New Roman"/>
                <w:kern w:val="0"/>
                <w:szCs w:val="21"/>
                <w:u w:val="single"/>
                <w:lang w:val="en-US" w:eastAsia="zh-CN"/>
              </w:rPr>
              <w:t>/</w:t>
            </w:r>
            <w:r>
              <w:rPr>
                <w:rFonts w:hint="default" w:ascii="Times New Roman" w:hAnsi="Times New Roman" w:cs="Times New Roman"/>
                <w:kern w:val="0"/>
                <w:szCs w:val="21"/>
                <w:u w:val="single"/>
              </w:rPr>
              <w:t xml:space="preserve"> </w:t>
            </w:r>
            <w:r>
              <w:rPr>
                <w:rFonts w:hint="default" w:ascii="Times New Roman" w:hAnsi="Times New Roman" w:cs="Times New Roman"/>
                <w:kern w:val="0"/>
                <w:szCs w:val="21"/>
                <w:u w:val="single"/>
                <w:lang w:val="en-US" w:eastAsia="zh-CN"/>
              </w:rPr>
              <w:t xml:space="preserve">     </w:t>
            </w:r>
            <w:r>
              <w:rPr>
                <w:rFonts w:hint="default" w:ascii="Times New Roman" w:hAnsi="Times New Roman" w:cs="Times New Roman"/>
                <w:kern w:val="0"/>
                <w:szCs w:val="21"/>
                <w:u w:val="single"/>
              </w:rPr>
              <w:t xml:space="preserve">    </w:t>
            </w:r>
          </w:p>
        </w:tc>
      </w:tr>
      <w:tr w14:paraId="60FA9CA4">
        <w:tblPrEx>
          <w:tblCellMar>
            <w:top w:w="0" w:type="dxa"/>
            <w:left w:w="108" w:type="dxa"/>
            <w:bottom w:w="0" w:type="dxa"/>
            <w:right w:w="108" w:type="dxa"/>
          </w:tblCellMar>
        </w:tblPrEx>
        <w:tc>
          <w:tcPr>
            <w:tcW w:w="701" w:type="pct"/>
            <w:gridSpan w:val="2"/>
          </w:tcPr>
          <w:p w14:paraId="6695BB2D">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6.5</w:t>
            </w:r>
          </w:p>
        </w:tc>
        <w:tc>
          <w:tcPr>
            <w:tcW w:w="4298" w:type="pct"/>
          </w:tcPr>
          <w:p w14:paraId="575FB62E">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脚手架</w:t>
            </w:r>
          </w:p>
        </w:tc>
      </w:tr>
      <w:tr w14:paraId="69EDF418">
        <w:tblPrEx>
          <w:tblCellMar>
            <w:top w:w="0" w:type="dxa"/>
            <w:left w:w="108" w:type="dxa"/>
            <w:bottom w:w="0" w:type="dxa"/>
            <w:right w:w="108" w:type="dxa"/>
          </w:tblCellMar>
        </w:tblPrEx>
        <w:tc>
          <w:tcPr>
            <w:tcW w:w="701" w:type="pct"/>
            <w:gridSpan w:val="2"/>
          </w:tcPr>
          <w:p w14:paraId="2613BB4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6.5.1</w:t>
            </w:r>
          </w:p>
        </w:tc>
        <w:tc>
          <w:tcPr>
            <w:tcW w:w="4298" w:type="pct"/>
          </w:tcPr>
          <w:p w14:paraId="67FC3B6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搭设并维护一切必要的临时脚手架、挑平台并配以脚手板、安全网、护身栏杆、门架、马道、坡道、爬梯等等。脚手架和挑平台的搭设应满足有关安全生产的法律、法规、规范、标准和规程等的要求。新搭设的脚手架投入使用前，承包人必须组织安全检查和验收，并对使用脚手架的作业人员进行安全交底。</w:t>
            </w:r>
          </w:p>
        </w:tc>
      </w:tr>
      <w:tr w14:paraId="2DDEAACB">
        <w:tblPrEx>
          <w:tblCellMar>
            <w:top w:w="0" w:type="dxa"/>
            <w:left w:w="108" w:type="dxa"/>
            <w:bottom w:w="0" w:type="dxa"/>
            <w:right w:w="108" w:type="dxa"/>
          </w:tblCellMar>
        </w:tblPrEx>
        <w:tc>
          <w:tcPr>
            <w:tcW w:w="701" w:type="pct"/>
            <w:gridSpan w:val="2"/>
          </w:tcPr>
          <w:p w14:paraId="5B2A964E">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6.5.2</w:t>
            </w:r>
          </w:p>
        </w:tc>
        <w:tc>
          <w:tcPr>
            <w:tcW w:w="4298" w:type="pct"/>
          </w:tcPr>
          <w:p w14:paraId="6A6AC73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所有脚手架，尤其是大型、复杂、高耸和非常规脚手架，要编制专项施工方案，还应当经过安全验算，脚手架安全验算结果必须报送监理人核查后方可实施。</w:t>
            </w:r>
          </w:p>
        </w:tc>
      </w:tr>
      <w:tr w14:paraId="323D5C0A">
        <w:tblPrEx>
          <w:tblCellMar>
            <w:top w:w="0" w:type="dxa"/>
            <w:left w:w="108" w:type="dxa"/>
            <w:bottom w:w="0" w:type="dxa"/>
            <w:right w:w="108" w:type="dxa"/>
          </w:tblCellMar>
        </w:tblPrEx>
        <w:tc>
          <w:tcPr>
            <w:tcW w:w="701" w:type="pct"/>
            <w:gridSpan w:val="2"/>
          </w:tcPr>
          <w:p w14:paraId="4BB8B8C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6.5.3</w:t>
            </w:r>
          </w:p>
        </w:tc>
        <w:tc>
          <w:tcPr>
            <w:tcW w:w="4298" w:type="pct"/>
          </w:tcPr>
          <w:p w14:paraId="357DF05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搭设爬架、挂架、超高脚手架等特种或新型脚手架时，承包人应确保此类脚手架的安全性和保证此类脚手架已经过有关行政管理部门允许使用的批准，并承担与此有关的一切费用。</w:t>
            </w:r>
          </w:p>
        </w:tc>
      </w:tr>
      <w:tr w14:paraId="20D590AE">
        <w:tblPrEx>
          <w:tblCellMar>
            <w:top w:w="0" w:type="dxa"/>
            <w:left w:w="108" w:type="dxa"/>
            <w:bottom w:w="0" w:type="dxa"/>
            <w:right w:w="108" w:type="dxa"/>
          </w:tblCellMar>
        </w:tblPrEx>
        <w:tc>
          <w:tcPr>
            <w:tcW w:w="701" w:type="pct"/>
            <w:gridSpan w:val="2"/>
          </w:tcPr>
          <w:p w14:paraId="6114CA7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6.5.4</w:t>
            </w:r>
          </w:p>
        </w:tc>
        <w:tc>
          <w:tcPr>
            <w:tcW w:w="4298" w:type="pct"/>
          </w:tcPr>
          <w:p w14:paraId="322E4C1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承包人应当加强脚手架的日常安全巡查，及时对其中的安全隐患进行整改，确保脚手架使用安全。雨、雪、雾、霜和大风等天气后，承包人必须对脚手架进行安全巡查，并及时消除安全隐患。</w:t>
            </w:r>
          </w:p>
        </w:tc>
      </w:tr>
      <w:tr w14:paraId="69D6386F">
        <w:tblPrEx>
          <w:tblCellMar>
            <w:top w:w="0" w:type="dxa"/>
            <w:left w:w="108" w:type="dxa"/>
            <w:bottom w:w="0" w:type="dxa"/>
            <w:right w:w="108" w:type="dxa"/>
          </w:tblCellMar>
        </w:tblPrEx>
        <w:tc>
          <w:tcPr>
            <w:tcW w:w="701" w:type="pct"/>
            <w:gridSpan w:val="2"/>
          </w:tcPr>
          <w:p w14:paraId="6F7E76C3">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6.5.5</w:t>
            </w:r>
          </w:p>
        </w:tc>
        <w:tc>
          <w:tcPr>
            <w:tcW w:w="4298" w:type="pct"/>
          </w:tcPr>
          <w:p w14:paraId="08C8457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允许发包人、监理人、专业分包人、独立承包人（如果有）和有关行政管理部门或者机构免费使用承包人在现场搭设的任何已有脚手架，并就其安全使用做必要交底说明。承包人在拆除任何脚手架前，应书面请示监理人他将要拆除的脚手架是否为发包人、监理人、专业分包人、独立承包人（如果有）和政府有关机构所需，只有在获得监理人书面批准后，承包人才能拆除相关脚手架，否则承包人应自费重新搭设。</w:t>
            </w:r>
          </w:p>
        </w:tc>
      </w:tr>
      <w:tr w14:paraId="0D4F6CE4">
        <w:tblPrEx>
          <w:tblCellMar>
            <w:top w:w="0" w:type="dxa"/>
            <w:left w:w="108" w:type="dxa"/>
            <w:bottom w:w="0" w:type="dxa"/>
            <w:right w:w="108" w:type="dxa"/>
          </w:tblCellMar>
        </w:tblPrEx>
        <w:tc>
          <w:tcPr>
            <w:tcW w:w="701" w:type="pct"/>
            <w:gridSpan w:val="2"/>
          </w:tcPr>
          <w:p w14:paraId="4C95802E">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6.5.6</w:t>
            </w:r>
          </w:p>
        </w:tc>
        <w:tc>
          <w:tcPr>
            <w:tcW w:w="4298" w:type="pct"/>
          </w:tcPr>
          <w:p w14:paraId="6597A96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rPr>
              <w:t>脚手架的其他要求如下：</w:t>
            </w:r>
            <w:r>
              <w:rPr>
                <w:rFonts w:hint="default" w:ascii="Times New Roman" w:hAnsi="Times New Roman" w:cs="Times New Roman"/>
                <w:kern w:val="0"/>
                <w:szCs w:val="21"/>
                <w:u w:val="single"/>
              </w:rPr>
              <w:t xml:space="preserve">    </w:t>
            </w:r>
            <w:r>
              <w:rPr>
                <w:rFonts w:hint="default" w:ascii="Times New Roman" w:hAnsi="Times New Roman" w:cs="Times New Roman"/>
                <w:kern w:val="0"/>
                <w:szCs w:val="21"/>
                <w:u w:val="single"/>
                <w:lang w:val="en-US" w:eastAsia="zh-CN"/>
              </w:rPr>
              <w:t>/</w:t>
            </w:r>
            <w:r>
              <w:rPr>
                <w:rFonts w:hint="default" w:ascii="Times New Roman" w:hAnsi="Times New Roman" w:cs="Times New Roman"/>
                <w:kern w:val="0"/>
                <w:szCs w:val="21"/>
                <w:u w:val="single"/>
              </w:rPr>
              <w:t xml:space="preserve">            </w:t>
            </w:r>
          </w:p>
        </w:tc>
      </w:tr>
      <w:tr w14:paraId="3EEB143E">
        <w:tblPrEx>
          <w:tblCellMar>
            <w:top w:w="0" w:type="dxa"/>
            <w:left w:w="108" w:type="dxa"/>
            <w:bottom w:w="0" w:type="dxa"/>
            <w:right w:w="108" w:type="dxa"/>
          </w:tblCellMar>
        </w:tblPrEx>
        <w:tc>
          <w:tcPr>
            <w:tcW w:w="701" w:type="pct"/>
            <w:gridSpan w:val="2"/>
          </w:tcPr>
          <w:p w14:paraId="18B4BF7E">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6.6</w:t>
            </w:r>
          </w:p>
        </w:tc>
        <w:tc>
          <w:tcPr>
            <w:tcW w:w="4298" w:type="pct"/>
          </w:tcPr>
          <w:p w14:paraId="38373A81">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施工安全措施计划</w:t>
            </w:r>
          </w:p>
        </w:tc>
      </w:tr>
      <w:tr w14:paraId="31098998">
        <w:tblPrEx>
          <w:tblCellMar>
            <w:top w:w="0" w:type="dxa"/>
            <w:left w:w="108" w:type="dxa"/>
            <w:bottom w:w="0" w:type="dxa"/>
            <w:right w:w="108" w:type="dxa"/>
          </w:tblCellMar>
        </w:tblPrEx>
        <w:tc>
          <w:tcPr>
            <w:tcW w:w="701" w:type="pct"/>
            <w:gridSpan w:val="2"/>
          </w:tcPr>
          <w:p w14:paraId="461CEA3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6.6.1</w:t>
            </w:r>
          </w:p>
        </w:tc>
        <w:tc>
          <w:tcPr>
            <w:tcW w:w="4298" w:type="pct"/>
          </w:tcPr>
          <w:p w14:paraId="41BDF61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根据《中华人民共和国安全生产法》、《职业健康安全管理体系规范》、《中华人民共和国消防法》、《中华人民共和国道路交通安全法》、《中华人民共和国传染病防治法实施办法》和地方有关的法规等，按照合同条款第9.2.1项的约定，编制一份施工安全措施计划，报送监理人审批。</w:t>
            </w:r>
          </w:p>
        </w:tc>
      </w:tr>
      <w:tr w14:paraId="4ABBFFAF">
        <w:tblPrEx>
          <w:tblCellMar>
            <w:top w:w="0" w:type="dxa"/>
            <w:left w:w="108" w:type="dxa"/>
            <w:bottom w:w="0" w:type="dxa"/>
            <w:right w:w="108" w:type="dxa"/>
          </w:tblCellMar>
        </w:tblPrEx>
        <w:tc>
          <w:tcPr>
            <w:tcW w:w="701" w:type="pct"/>
            <w:gridSpan w:val="2"/>
          </w:tcPr>
          <w:p w14:paraId="2643037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6.6.2</w:t>
            </w:r>
          </w:p>
        </w:tc>
        <w:tc>
          <w:tcPr>
            <w:tcW w:w="4298" w:type="pct"/>
          </w:tcPr>
          <w:p w14:paraId="75F24A7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施工安全措施计划是承包人阐明其安全管理方针、管理体系、安全制度和安全措施等的文件，其内容应当反映现行法律法规规定的和合同条款约定的以及本条上述约定的承包人安全职责，包括但不限于：</w:t>
            </w:r>
          </w:p>
          <w:p w14:paraId="677677D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（1）施工安全管理机构的设置；</w:t>
            </w:r>
          </w:p>
          <w:p w14:paraId="3BB53EE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（2）专职安全管理人员的配备；</w:t>
            </w:r>
          </w:p>
          <w:p w14:paraId="593F064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（3）安全责任制度和管理措施；</w:t>
            </w:r>
          </w:p>
          <w:p w14:paraId="6DAF1534">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（4）安全教育和培训制度及管理措施；</w:t>
            </w:r>
          </w:p>
          <w:p w14:paraId="3E19A86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（5）各项安全生产规章制度和操作规程；</w:t>
            </w:r>
          </w:p>
          <w:p w14:paraId="436F7C0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（6）各项施工安全措施和防护措施；</w:t>
            </w:r>
          </w:p>
          <w:p w14:paraId="4B5F0C7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（7）危险品管理和使用制度；</w:t>
            </w:r>
          </w:p>
          <w:p w14:paraId="2702C82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（8）安全设施、设备、器材和劳动保护用品的配置；</w:t>
            </w:r>
          </w:p>
          <w:p w14:paraId="11A1B9A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eastAsiaTheme="minorEastAsia"/>
                <w:kern w:val="0"/>
                <w:szCs w:val="21"/>
                <w:lang w:val="en-US" w:eastAsia="zh-CN"/>
              </w:rPr>
            </w:pPr>
            <w:r>
              <w:rPr>
                <w:rFonts w:hint="default" w:ascii="Times New Roman" w:hAnsi="Times New Roman" w:cs="Times New Roman"/>
                <w:kern w:val="0"/>
                <w:szCs w:val="21"/>
              </w:rPr>
              <w:t>（9）其他：</w:t>
            </w:r>
            <w:r>
              <w:rPr>
                <w:rFonts w:hint="default" w:ascii="Times New Roman" w:hAnsi="Times New Roman" w:cs="Times New Roman"/>
                <w:kern w:val="0"/>
                <w:szCs w:val="21"/>
                <w:u w:val="single"/>
              </w:rPr>
              <w:t xml:space="preserve"> </w:t>
            </w:r>
            <w:r>
              <w:rPr>
                <w:rFonts w:hint="eastAsia" w:ascii="Times New Roman" w:hAnsi="Times New Roman" w:cs="Times New Roman"/>
                <w:kern w:val="0"/>
                <w:szCs w:val="21"/>
                <w:u w:val="single"/>
                <w:lang w:val="en-US" w:eastAsia="zh-CN"/>
              </w:rPr>
              <w:t xml:space="preserve">         /            </w:t>
            </w:r>
          </w:p>
          <w:p w14:paraId="7E29CE93">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施工安全措施的项目和范围，应符合国家颁发的《安全技术措施计划的项目总名称表》及其附录H、I、J的规定，即应采取以改善劳动条件，防止工伤事故，预防职业病和职业中毒为目的的一切施工安全措施，以及修建必要的安全设施、配备安全技术开发试验所需的器材、设备和技术资料，并对现场的施工管理及作业人员做好相应的安全宣传教育。</w:t>
            </w:r>
          </w:p>
        </w:tc>
      </w:tr>
      <w:tr w14:paraId="49FA7070">
        <w:tblPrEx>
          <w:tblCellMar>
            <w:top w:w="0" w:type="dxa"/>
            <w:left w:w="108" w:type="dxa"/>
            <w:bottom w:w="0" w:type="dxa"/>
            <w:right w:w="108" w:type="dxa"/>
          </w:tblCellMar>
        </w:tblPrEx>
        <w:tc>
          <w:tcPr>
            <w:tcW w:w="701" w:type="pct"/>
            <w:gridSpan w:val="2"/>
          </w:tcPr>
          <w:p w14:paraId="55B633B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6.6.3</w:t>
            </w:r>
          </w:p>
        </w:tc>
        <w:tc>
          <w:tcPr>
            <w:tcW w:w="4298" w:type="pct"/>
          </w:tcPr>
          <w:p w14:paraId="285EBC0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施工安全措施计划应当在专用合同条款第9.2.1项约定的期限内报送监理人。承包人应当严格执行经监理人批准的施工安全措施计划，并及时补充、修订和完善施工安全措施计划，确保安全生产。</w:t>
            </w:r>
          </w:p>
        </w:tc>
      </w:tr>
      <w:tr w14:paraId="47321C9A">
        <w:tblPrEx>
          <w:tblCellMar>
            <w:top w:w="0" w:type="dxa"/>
            <w:left w:w="108" w:type="dxa"/>
            <w:bottom w:w="0" w:type="dxa"/>
            <w:right w:w="108" w:type="dxa"/>
          </w:tblCellMar>
        </w:tblPrEx>
        <w:tc>
          <w:tcPr>
            <w:tcW w:w="701" w:type="pct"/>
            <w:gridSpan w:val="2"/>
          </w:tcPr>
          <w:p w14:paraId="60076972">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6.7</w:t>
            </w:r>
          </w:p>
        </w:tc>
        <w:tc>
          <w:tcPr>
            <w:tcW w:w="4298" w:type="pct"/>
          </w:tcPr>
          <w:p w14:paraId="2A7FF7EC">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文明施工</w:t>
            </w:r>
          </w:p>
        </w:tc>
      </w:tr>
      <w:tr w14:paraId="0874D5D5">
        <w:tblPrEx>
          <w:tblCellMar>
            <w:top w:w="0" w:type="dxa"/>
            <w:left w:w="108" w:type="dxa"/>
            <w:bottom w:w="0" w:type="dxa"/>
            <w:right w:w="108" w:type="dxa"/>
          </w:tblCellMar>
        </w:tblPrEx>
        <w:tc>
          <w:tcPr>
            <w:tcW w:w="701" w:type="pct"/>
            <w:gridSpan w:val="2"/>
          </w:tcPr>
          <w:p w14:paraId="3030DB0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6.7.1</w:t>
            </w:r>
          </w:p>
        </w:tc>
        <w:tc>
          <w:tcPr>
            <w:tcW w:w="4298" w:type="pct"/>
          </w:tcPr>
          <w:p w14:paraId="0D0F62F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承包人应遵守国家和工程所在地有关法规、规范、规程和标准的规定， 履行文明施工义务，确保文明施工专项费用专款专用。</w:t>
            </w:r>
          </w:p>
        </w:tc>
      </w:tr>
      <w:tr w14:paraId="79CDE586">
        <w:tblPrEx>
          <w:tblCellMar>
            <w:top w:w="0" w:type="dxa"/>
            <w:left w:w="108" w:type="dxa"/>
            <w:bottom w:w="0" w:type="dxa"/>
            <w:right w:w="108" w:type="dxa"/>
          </w:tblCellMar>
        </w:tblPrEx>
        <w:tc>
          <w:tcPr>
            <w:tcW w:w="701" w:type="pct"/>
            <w:gridSpan w:val="2"/>
          </w:tcPr>
          <w:p w14:paraId="6F65712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6.7.2</w:t>
            </w:r>
          </w:p>
        </w:tc>
        <w:tc>
          <w:tcPr>
            <w:tcW w:w="4298" w:type="pct"/>
          </w:tcPr>
          <w:p w14:paraId="01231058">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承包人应当规范现场施工秩序，实行标准化管理：</w:t>
            </w:r>
          </w:p>
          <w:p w14:paraId="272C75EC">
            <w:pPr>
              <w:keepNext w:val="0"/>
              <w:keepLines w:val="0"/>
              <w:suppressLineNumbers w:val="0"/>
              <w:spacing w:before="0" w:beforeAutospacing="0" w:after="0" w:afterAutospacing="0" w:line="360" w:lineRule="auto"/>
              <w:ind w:left="0" w:right="0" w:firstLine="630" w:firstLineChars="300"/>
              <w:rPr>
                <w:rFonts w:hint="default" w:ascii="Times New Roman" w:hAnsi="Times New Roman" w:cs="Times New Roman"/>
                <w:kern w:val="0"/>
                <w:szCs w:val="21"/>
              </w:rPr>
            </w:pPr>
            <w:r>
              <w:rPr>
                <w:rFonts w:hint="default" w:ascii="Times New Roman" w:hAnsi="Times New Roman" w:cs="Times New Roman"/>
                <w:kern w:val="0"/>
                <w:szCs w:val="21"/>
              </w:rPr>
              <w:t>（1）承包人的施工场地（现场）必须干净整洁、做到无积水、无淤泥、无杂物，材料堆放整齐；</w:t>
            </w:r>
          </w:p>
          <w:p w14:paraId="63959602">
            <w:pPr>
              <w:keepNext w:val="0"/>
              <w:keepLines w:val="0"/>
              <w:suppressLineNumbers w:val="0"/>
              <w:spacing w:before="0" w:beforeAutospacing="0" w:after="0" w:afterAutospacing="0" w:line="360" w:lineRule="auto"/>
              <w:ind w:left="0" w:right="0" w:firstLine="630" w:firstLineChars="300"/>
              <w:rPr>
                <w:rFonts w:hint="default" w:ascii="Times New Roman" w:hAnsi="Times New Roman" w:cs="Times New Roman"/>
                <w:kern w:val="0"/>
                <w:szCs w:val="21"/>
              </w:rPr>
            </w:pPr>
            <w:bookmarkStart w:id="22" w:name="_Toc497235567"/>
            <w:bookmarkStart w:id="23" w:name="OLE_LINK164"/>
            <w:r>
              <w:rPr>
                <w:rFonts w:hint="default" w:ascii="Times New Roman" w:hAnsi="Times New Roman" w:cs="Times New Roman"/>
                <w:kern w:val="0"/>
                <w:szCs w:val="21"/>
              </w:rPr>
              <w:t>（2）承包人应当在建筑工地设置围挡，并采取覆盖、分段作业、择时施工、冲洗地面等有效防尘降尘措施；</w:t>
            </w:r>
            <w:bookmarkEnd w:id="22"/>
          </w:p>
          <w:bookmarkEnd w:id="23"/>
          <w:p w14:paraId="3B8A0AE6">
            <w:pPr>
              <w:keepNext w:val="0"/>
              <w:keepLines w:val="0"/>
              <w:suppressLineNumbers w:val="0"/>
              <w:spacing w:before="0" w:beforeAutospacing="0" w:after="0" w:afterAutospacing="0" w:line="360" w:lineRule="auto"/>
              <w:ind w:left="0" w:right="0" w:firstLine="630" w:firstLineChars="300"/>
              <w:rPr>
                <w:rFonts w:hint="default" w:ascii="Times New Roman" w:hAnsi="Times New Roman" w:cs="Times New Roman"/>
                <w:kern w:val="0"/>
                <w:szCs w:val="21"/>
              </w:rPr>
            </w:pPr>
            <w:bookmarkStart w:id="24" w:name="_Toc497235568"/>
            <w:r>
              <w:rPr>
                <w:rFonts w:hint="default" w:ascii="Times New Roman" w:hAnsi="Times New Roman" w:cs="Times New Roman"/>
                <w:kern w:val="0"/>
                <w:szCs w:val="21"/>
              </w:rPr>
              <w:t>（3）施工现场土方、砂石等应当集中堆放，裸露的场地和集中堆放的土方、砂石等应当采取覆盖、固化或绿化等措施；</w:t>
            </w:r>
            <w:bookmarkEnd w:id="24"/>
          </w:p>
          <w:p w14:paraId="7DB0126D">
            <w:pPr>
              <w:keepNext w:val="0"/>
              <w:keepLines w:val="0"/>
              <w:suppressLineNumbers w:val="0"/>
              <w:spacing w:before="0" w:beforeAutospacing="0" w:after="0" w:afterAutospacing="0" w:line="360" w:lineRule="auto"/>
              <w:ind w:left="0" w:right="0" w:firstLine="630" w:firstLineChars="300"/>
              <w:rPr>
                <w:rFonts w:hint="default" w:ascii="Times New Roman" w:hAnsi="Times New Roman" w:cs="Times New Roman"/>
                <w:kern w:val="0"/>
                <w:szCs w:val="21"/>
              </w:rPr>
            </w:pPr>
            <w:bookmarkStart w:id="25" w:name="_Toc497235569"/>
            <w:r>
              <w:rPr>
                <w:rFonts w:hint="default" w:ascii="Times New Roman" w:hAnsi="Times New Roman" w:cs="Times New Roman"/>
                <w:kern w:val="0"/>
                <w:szCs w:val="21"/>
              </w:rPr>
              <w:t>（4）施工场地（现场）应进行硬化处理，定期定时洒水，做好防治扬尘和大气污染工作；</w:t>
            </w:r>
            <w:bookmarkEnd w:id="25"/>
          </w:p>
          <w:p w14:paraId="567F8F85">
            <w:pPr>
              <w:keepNext w:val="0"/>
              <w:keepLines w:val="0"/>
              <w:suppressLineNumbers w:val="0"/>
              <w:spacing w:before="0" w:beforeAutospacing="0" w:after="0" w:afterAutospacing="0" w:line="360" w:lineRule="auto"/>
              <w:ind w:left="0" w:right="0" w:firstLine="630" w:firstLineChars="300"/>
              <w:rPr>
                <w:rFonts w:hint="default" w:ascii="Times New Roman" w:hAnsi="Times New Roman" w:cs="Times New Roman"/>
                <w:kern w:val="0"/>
                <w:szCs w:val="21"/>
              </w:rPr>
            </w:pPr>
            <w:bookmarkStart w:id="26" w:name="_Toc497235570"/>
            <w:r>
              <w:rPr>
                <w:rFonts w:hint="default" w:ascii="Times New Roman" w:hAnsi="Times New Roman" w:cs="Times New Roman"/>
                <w:kern w:val="0"/>
                <w:szCs w:val="21"/>
              </w:rPr>
              <w:t>（5）严格遵守“工完、料尽、场地净”的原则，不留垃圾、不留剩余施工材料和施工机具，各种设备运转正常；</w:t>
            </w:r>
            <w:bookmarkEnd w:id="26"/>
          </w:p>
          <w:p w14:paraId="176172FA">
            <w:pPr>
              <w:keepNext w:val="0"/>
              <w:keepLines w:val="0"/>
              <w:suppressLineNumbers w:val="0"/>
              <w:spacing w:before="0" w:beforeAutospacing="0" w:after="0" w:afterAutospacing="0" w:line="360" w:lineRule="auto"/>
              <w:ind w:left="0" w:right="0" w:firstLine="630" w:firstLineChars="300"/>
              <w:rPr>
                <w:rFonts w:hint="default" w:ascii="Times New Roman" w:hAnsi="Times New Roman" w:cs="Times New Roman"/>
                <w:kern w:val="0"/>
                <w:szCs w:val="21"/>
              </w:rPr>
            </w:pPr>
            <w:bookmarkStart w:id="27" w:name="_Toc497235571"/>
            <w:r>
              <w:rPr>
                <w:rFonts w:hint="default" w:ascii="Times New Roman" w:hAnsi="Times New Roman" w:cs="Times New Roman"/>
                <w:kern w:val="0"/>
                <w:szCs w:val="21"/>
              </w:rPr>
              <w:t>（6）承包人修建的施工临时设施应符合监理人批准的施工规划要求，并应满足本章规定的各项安全要求；</w:t>
            </w:r>
            <w:bookmarkEnd w:id="27"/>
          </w:p>
          <w:p w14:paraId="41C69313">
            <w:pPr>
              <w:keepNext w:val="0"/>
              <w:keepLines w:val="0"/>
              <w:suppressLineNumbers w:val="0"/>
              <w:spacing w:before="0" w:beforeAutospacing="0" w:after="0" w:afterAutospacing="0" w:line="360" w:lineRule="auto"/>
              <w:ind w:left="0" w:right="0" w:firstLine="630" w:firstLineChars="300"/>
              <w:rPr>
                <w:rFonts w:hint="default" w:ascii="Times New Roman" w:hAnsi="Times New Roman" w:cs="Times New Roman"/>
                <w:kern w:val="0"/>
                <w:szCs w:val="21"/>
              </w:rPr>
            </w:pPr>
            <w:bookmarkStart w:id="28" w:name="_Toc497235572"/>
            <w:r>
              <w:rPr>
                <w:rFonts w:hint="default" w:ascii="Times New Roman" w:hAnsi="Times New Roman" w:cs="Times New Roman"/>
                <w:kern w:val="0"/>
                <w:szCs w:val="21"/>
              </w:rPr>
              <w:t>（7）监理人可要求承包人在施工场地（现场）设置各级承包人的</w:t>
            </w:r>
            <w:bookmarkStart w:id="29" w:name="_Hlk199432633"/>
            <w:r>
              <w:rPr>
                <w:rFonts w:hint="default" w:ascii="Times New Roman" w:hAnsi="Times New Roman" w:cs="Times New Roman"/>
                <w:kern w:val="0"/>
                <w:szCs w:val="21"/>
              </w:rPr>
              <w:t>安全生产标准化</w:t>
            </w:r>
            <w:bookmarkEnd w:id="29"/>
            <w:r>
              <w:rPr>
                <w:rFonts w:hint="default" w:ascii="Times New Roman" w:hAnsi="Times New Roman" w:cs="Times New Roman"/>
                <w:kern w:val="0"/>
                <w:szCs w:val="21"/>
              </w:rPr>
              <w:t>责任牌等文明施工警示牌；</w:t>
            </w:r>
            <w:bookmarkEnd w:id="28"/>
          </w:p>
          <w:p w14:paraId="29A1E7B8">
            <w:pPr>
              <w:keepNext w:val="0"/>
              <w:keepLines w:val="0"/>
              <w:suppressLineNumbers w:val="0"/>
              <w:spacing w:before="0" w:beforeAutospacing="0" w:after="0" w:afterAutospacing="0" w:line="360" w:lineRule="auto"/>
              <w:ind w:left="0" w:right="0" w:firstLine="630" w:firstLineChars="300"/>
              <w:rPr>
                <w:rFonts w:hint="default" w:ascii="Times New Roman" w:hAnsi="Times New Roman" w:cs="Times New Roman"/>
                <w:kern w:val="0"/>
                <w:szCs w:val="21"/>
              </w:rPr>
            </w:pPr>
            <w:bookmarkStart w:id="30" w:name="_Toc497235573"/>
            <w:r>
              <w:rPr>
                <w:rFonts w:hint="default" w:ascii="Times New Roman" w:hAnsi="Times New Roman" w:cs="Times New Roman"/>
                <w:kern w:val="0"/>
                <w:szCs w:val="21"/>
              </w:rPr>
              <w:t>（8）材料进入现场应按指定位置堆放整齐，不得影响现场施工和堵塞施工、消防通道。材料堆放场地应有专职的管理人员；</w:t>
            </w:r>
            <w:bookmarkEnd w:id="30"/>
          </w:p>
          <w:p w14:paraId="284BD728">
            <w:pPr>
              <w:keepNext w:val="0"/>
              <w:keepLines w:val="0"/>
              <w:suppressLineNumbers w:val="0"/>
              <w:spacing w:before="0" w:beforeAutospacing="0" w:after="0" w:afterAutospacing="0" w:line="360" w:lineRule="auto"/>
              <w:ind w:left="0" w:right="0" w:firstLine="630" w:firstLineChars="300"/>
              <w:rPr>
                <w:rFonts w:hint="default" w:ascii="Times New Roman" w:hAnsi="Times New Roman" w:cs="Times New Roman"/>
                <w:kern w:val="0"/>
                <w:szCs w:val="21"/>
              </w:rPr>
            </w:pPr>
            <w:bookmarkStart w:id="31" w:name="_Toc497235574"/>
            <w:r>
              <w:rPr>
                <w:rFonts w:hint="default" w:ascii="Times New Roman" w:hAnsi="Times New Roman" w:cs="Times New Roman"/>
                <w:kern w:val="0"/>
                <w:szCs w:val="21"/>
              </w:rPr>
              <w:t>（9）施工和安装用的各种扣件、紧固件、绳索具、小型配件、镙钉等应在专设的仓库内装箱放置；</w:t>
            </w:r>
            <w:bookmarkEnd w:id="31"/>
          </w:p>
          <w:p w14:paraId="0B08A08C">
            <w:pPr>
              <w:keepNext w:val="0"/>
              <w:keepLines w:val="0"/>
              <w:suppressLineNumbers w:val="0"/>
              <w:spacing w:before="0" w:beforeAutospacing="0" w:after="0" w:afterAutospacing="0" w:line="360" w:lineRule="auto"/>
              <w:ind w:left="0" w:right="0" w:firstLine="630" w:firstLineChars="300"/>
              <w:rPr>
                <w:rFonts w:hint="default" w:ascii="Times New Roman" w:hAnsi="Times New Roman" w:cs="Times New Roman"/>
                <w:kern w:val="0"/>
                <w:szCs w:val="21"/>
              </w:rPr>
            </w:pPr>
            <w:bookmarkStart w:id="32" w:name="_Toc497235575"/>
            <w:r>
              <w:rPr>
                <w:rFonts w:hint="default" w:ascii="Times New Roman" w:hAnsi="Times New Roman" w:cs="Times New Roman"/>
                <w:kern w:val="0"/>
                <w:szCs w:val="21"/>
              </w:rPr>
              <w:t>（10）现场风、水管及照明电线的布置应安全、合理、规范、有序，做到整齐美观。不得随意架设和造成隐患或影响施工；</w:t>
            </w:r>
            <w:bookmarkEnd w:id="32"/>
          </w:p>
          <w:p w14:paraId="13DB8B8A">
            <w:pPr>
              <w:keepNext w:val="0"/>
              <w:keepLines w:val="0"/>
              <w:suppressLineNumbers w:val="0"/>
              <w:spacing w:before="0" w:beforeAutospacing="0" w:after="0" w:afterAutospacing="0" w:line="360" w:lineRule="auto"/>
              <w:ind w:left="0" w:right="0" w:firstLine="630" w:firstLineChars="300"/>
              <w:rPr>
                <w:rFonts w:hint="default" w:ascii="Times New Roman" w:hAnsi="Times New Roman" w:cs="Times New Roman"/>
                <w:kern w:val="0"/>
                <w:szCs w:val="21"/>
              </w:rPr>
            </w:pPr>
            <w:bookmarkStart w:id="33" w:name="_Toc497235576"/>
            <w:r>
              <w:rPr>
                <w:rFonts w:hint="default" w:ascii="Times New Roman" w:hAnsi="Times New Roman" w:cs="Times New Roman"/>
                <w:kern w:val="0"/>
                <w:szCs w:val="21"/>
              </w:rPr>
              <w:t>（11）建筑拆除工程施工时应采取隔离、洒水等有效的降噪、降尘措施，并及时清理废弃物；</w:t>
            </w:r>
            <w:bookmarkEnd w:id="33"/>
          </w:p>
          <w:p w14:paraId="12F62E23">
            <w:pPr>
              <w:keepNext w:val="0"/>
              <w:keepLines w:val="0"/>
              <w:suppressLineNumbers w:val="0"/>
              <w:spacing w:before="0" w:beforeAutospacing="0" w:after="0" w:afterAutospacing="0" w:line="360" w:lineRule="auto"/>
              <w:ind w:left="0" w:right="0" w:firstLine="630" w:firstLineChars="300"/>
              <w:rPr>
                <w:rFonts w:hint="default" w:ascii="Times New Roman" w:hAnsi="Times New Roman" w:cs="Times New Roman"/>
                <w:kern w:val="0"/>
                <w:szCs w:val="21"/>
              </w:rPr>
            </w:pPr>
            <w:bookmarkStart w:id="34" w:name="_Toc497235577"/>
            <w:r>
              <w:rPr>
                <w:rFonts w:hint="default" w:ascii="Times New Roman" w:hAnsi="Times New Roman" w:cs="Times New Roman"/>
                <w:kern w:val="0"/>
                <w:szCs w:val="21"/>
              </w:rPr>
              <w:t>（12）当道路施工进行铣刨、切割等作业时，应采取有效的防扬尘措施。灰土和无机料应采用预拌进场，碾压过程中应洒水降尘。</w:t>
            </w:r>
            <w:bookmarkEnd w:id="34"/>
          </w:p>
          <w:p w14:paraId="6F76BA76">
            <w:pPr>
              <w:keepNext w:val="0"/>
              <w:keepLines w:val="0"/>
              <w:suppressLineNumbers w:val="0"/>
              <w:spacing w:before="0" w:beforeAutospacing="0" w:after="0" w:afterAutospacing="0" w:line="360" w:lineRule="auto"/>
              <w:ind w:left="0" w:right="0" w:firstLine="630" w:firstLineChars="300"/>
              <w:rPr>
                <w:rFonts w:hint="default" w:ascii="Times New Roman" w:hAnsi="Times New Roman" w:cs="Times New Roman"/>
                <w:kern w:val="0"/>
                <w:szCs w:val="21"/>
              </w:rPr>
            </w:pPr>
          </w:p>
        </w:tc>
      </w:tr>
      <w:tr w14:paraId="5FCC16BF">
        <w:tblPrEx>
          <w:tblCellMar>
            <w:top w:w="0" w:type="dxa"/>
            <w:left w:w="108" w:type="dxa"/>
            <w:bottom w:w="0" w:type="dxa"/>
            <w:right w:w="108" w:type="dxa"/>
          </w:tblCellMar>
        </w:tblPrEx>
        <w:tc>
          <w:tcPr>
            <w:tcW w:w="701" w:type="pct"/>
            <w:gridSpan w:val="2"/>
          </w:tcPr>
          <w:p w14:paraId="417F5A9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6.7.3</w:t>
            </w:r>
          </w:p>
        </w:tc>
        <w:tc>
          <w:tcPr>
            <w:tcW w:w="4298" w:type="pct"/>
          </w:tcPr>
          <w:p w14:paraId="7B2A7E2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承包人应为其雇佣的施工工人建立并维护相应的生活宿舍、食堂、浴室、厕所和文化活动室等，其标准应满足政府有关机构的生活标准和卫生标准等的要求。</w:t>
            </w:r>
          </w:p>
        </w:tc>
      </w:tr>
      <w:tr w14:paraId="26A5DFB5">
        <w:tblPrEx>
          <w:tblCellMar>
            <w:top w:w="0" w:type="dxa"/>
            <w:left w:w="108" w:type="dxa"/>
            <w:bottom w:w="0" w:type="dxa"/>
            <w:right w:w="108" w:type="dxa"/>
          </w:tblCellMar>
        </w:tblPrEx>
        <w:trPr>
          <w:trHeight w:val="1815" w:hRule="atLeast"/>
        </w:trPr>
        <w:tc>
          <w:tcPr>
            <w:tcW w:w="701" w:type="pct"/>
            <w:gridSpan w:val="2"/>
          </w:tcPr>
          <w:p w14:paraId="3338362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6.7.4</w:t>
            </w:r>
          </w:p>
        </w:tc>
        <w:tc>
          <w:tcPr>
            <w:tcW w:w="4298" w:type="pct"/>
          </w:tcPr>
          <w:p w14:paraId="0BD7CCF0">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为任何已完成的、正在施工的和将要进行的任何永久和临时工程、材料、物品、设备、以及因永久工程施工而暴露的任何毗邻财产提供必要的覆盖和保护措施，以避免恶劣天气影响工程施工和造成损失。保护措施包括必要的冬季供暖、雨季用阻燃防水油布覆盖、额外的临时仓库等等。因承包人措施不得力或不到位而给工程带来的任何损失或损害由承包人自己负责。</w:t>
            </w:r>
          </w:p>
        </w:tc>
      </w:tr>
      <w:tr w14:paraId="4B7D7E9A">
        <w:tblPrEx>
          <w:tblCellMar>
            <w:top w:w="0" w:type="dxa"/>
            <w:left w:w="108" w:type="dxa"/>
            <w:bottom w:w="0" w:type="dxa"/>
            <w:right w:w="108" w:type="dxa"/>
          </w:tblCellMar>
        </w:tblPrEx>
        <w:tc>
          <w:tcPr>
            <w:tcW w:w="701" w:type="pct"/>
            <w:gridSpan w:val="2"/>
          </w:tcPr>
          <w:p w14:paraId="319C97F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6.7.5</w:t>
            </w:r>
          </w:p>
        </w:tc>
        <w:tc>
          <w:tcPr>
            <w:tcW w:w="4298" w:type="pct"/>
          </w:tcPr>
          <w:p w14:paraId="65C7ACE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在工程施工期间，承包人应始终避免现场出现不必要的障碍物，妥当存放并处置施工设备和多余的材料，及时从现场清除运走任何废料、垃圾或不再需要的临时工程和设施。</w:t>
            </w:r>
          </w:p>
        </w:tc>
      </w:tr>
      <w:tr w14:paraId="28A9AF4F">
        <w:tblPrEx>
          <w:tblCellMar>
            <w:top w:w="0" w:type="dxa"/>
            <w:left w:w="108" w:type="dxa"/>
            <w:bottom w:w="0" w:type="dxa"/>
            <w:right w:w="108" w:type="dxa"/>
          </w:tblCellMar>
        </w:tblPrEx>
        <w:tc>
          <w:tcPr>
            <w:tcW w:w="701" w:type="pct"/>
            <w:gridSpan w:val="2"/>
          </w:tcPr>
          <w:p w14:paraId="2536A09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6.7.6</w:t>
            </w:r>
          </w:p>
        </w:tc>
        <w:tc>
          <w:tcPr>
            <w:tcW w:w="4298" w:type="pct"/>
          </w:tcPr>
          <w:p w14:paraId="2D175DA4">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为现场的工人和其他所有工作人员提供符合卫生要求的厕所，厕所应贴有磁砖并带手动或自动冲刷设备和洗手盆；承包人负责支付与该厕所相关的所有费用，并在工程竣工时，从现场拆除。承包人应在工作区域设立必要的临时厕所，并安排专门人员负责看护和定时清理，以确保现场免于随地大小便的污染。</w:t>
            </w:r>
          </w:p>
        </w:tc>
      </w:tr>
      <w:tr w14:paraId="5476B9DC">
        <w:tblPrEx>
          <w:tblCellMar>
            <w:top w:w="0" w:type="dxa"/>
            <w:left w:w="108" w:type="dxa"/>
            <w:bottom w:w="0" w:type="dxa"/>
            <w:right w:w="108" w:type="dxa"/>
          </w:tblCellMar>
        </w:tblPrEx>
        <w:tc>
          <w:tcPr>
            <w:tcW w:w="701" w:type="pct"/>
            <w:gridSpan w:val="2"/>
          </w:tcPr>
          <w:p w14:paraId="2E6FCE9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6.7.7</w:t>
            </w:r>
          </w:p>
        </w:tc>
        <w:tc>
          <w:tcPr>
            <w:tcW w:w="4298" w:type="pct"/>
          </w:tcPr>
          <w:p w14:paraId="7DEA609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在现场设立固定的建筑垃圾临时存放点,并在各楼层或区域设立必要的垃圾箱；施工现场应当建立封闭式垃圾站。建筑物内垃圾应采用容器或搭设专用封闭垃圾道的方式清运，严禁凌空抛掷；所有建筑垃圾必须在当天清除出现场，并按有关行政管理部门的规定，运送到指定的垃圾消纳场。承包人还应加强建筑垃圾管理工作，严禁焚烧各类废弃物；严禁道路遗撒和乱倒乱卸等运输违法违规行为发生，建筑垃圾的运输必须采用封闭式运输车辆或采取覆盖措施；最大限度减少污染环境。</w:t>
            </w:r>
          </w:p>
          <w:p w14:paraId="52E2C96E">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p>
        </w:tc>
      </w:tr>
      <w:tr w14:paraId="20610CCA">
        <w:tblPrEx>
          <w:tblCellMar>
            <w:top w:w="0" w:type="dxa"/>
            <w:left w:w="108" w:type="dxa"/>
            <w:bottom w:w="0" w:type="dxa"/>
            <w:right w:w="108" w:type="dxa"/>
          </w:tblCellMar>
        </w:tblPrEx>
        <w:tc>
          <w:tcPr>
            <w:tcW w:w="701" w:type="pct"/>
            <w:gridSpan w:val="2"/>
          </w:tcPr>
          <w:p w14:paraId="463C77D4">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6.7.8</w:t>
            </w:r>
          </w:p>
        </w:tc>
        <w:tc>
          <w:tcPr>
            <w:tcW w:w="4298" w:type="pct"/>
          </w:tcPr>
          <w:p w14:paraId="09C98517">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对离场垃圾和所有车辆进行防遗洒和防污染公共道路的处理。承包人在运输任何材料的过程中，应采取一切必要的措施，防止遗洒和污染公共道路；一旦出现上述遗洒或污染现象，承包人应立即采取措施进行清扫，并承担所有费用。承包人在混凝土浇注、材料运输、材料装卸、现场清理等工作中应采取一切必要的措施防止影响公共交通。</w:t>
            </w:r>
          </w:p>
        </w:tc>
      </w:tr>
      <w:tr w14:paraId="326EDC84">
        <w:tblPrEx>
          <w:tblCellMar>
            <w:top w:w="0" w:type="dxa"/>
            <w:left w:w="108" w:type="dxa"/>
            <w:bottom w:w="0" w:type="dxa"/>
            <w:right w:w="108" w:type="dxa"/>
          </w:tblCellMar>
        </w:tblPrEx>
        <w:tc>
          <w:tcPr>
            <w:tcW w:w="701" w:type="pct"/>
            <w:gridSpan w:val="2"/>
          </w:tcPr>
          <w:p w14:paraId="41CBA19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6.7.9</w:t>
            </w:r>
          </w:p>
        </w:tc>
        <w:tc>
          <w:tcPr>
            <w:tcW w:w="4298" w:type="pct"/>
          </w:tcPr>
          <w:p w14:paraId="28A97890">
            <w:pPr>
              <w:keepNext w:val="0"/>
              <w:keepLines w:val="0"/>
              <w:suppressLineNumbers w:val="0"/>
              <w:spacing w:before="0" w:beforeAutospacing="0" w:after="0" w:afterAutospacing="0" w:line="360" w:lineRule="auto"/>
              <w:ind w:left="0" w:right="0"/>
              <w:rPr>
                <w:rFonts w:hint="default" w:ascii="Times New Roman" w:hAnsi="Times New Roman" w:cs="Times New Roman"/>
                <w:kern w:val="0"/>
                <w:szCs w:val="21"/>
              </w:rPr>
            </w:pPr>
            <w:r>
              <w:rPr>
                <w:rFonts w:hint="default" w:ascii="Times New Roman" w:hAnsi="Times New Roman" w:cs="Times New Roman"/>
                <w:kern w:val="0"/>
                <w:szCs w:val="21"/>
              </w:rPr>
              <w:t>承包人采用现场搅拌混凝土或砂浆的场所应采取封闭、降尘、降噪措施。水泥和其他易飞扬的细颗粒建筑材料应密闭存放或采取覆盖等措施。</w:t>
            </w:r>
          </w:p>
        </w:tc>
      </w:tr>
      <w:tr w14:paraId="29B9B4C9">
        <w:tblPrEx>
          <w:tblCellMar>
            <w:top w:w="0" w:type="dxa"/>
            <w:left w:w="108" w:type="dxa"/>
            <w:bottom w:w="0" w:type="dxa"/>
            <w:right w:w="108" w:type="dxa"/>
          </w:tblCellMar>
        </w:tblPrEx>
        <w:tc>
          <w:tcPr>
            <w:tcW w:w="701" w:type="pct"/>
            <w:gridSpan w:val="2"/>
          </w:tcPr>
          <w:p w14:paraId="38AB1B1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lang w:eastAsia="en-US"/>
              </w:rPr>
              <w:t>6.7.</w:t>
            </w:r>
            <w:r>
              <w:rPr>
                <w:rFonts w:hint="default" w:ascii="Times New Roman" w:hAnsi="Times New Roman" w:cs="Times New Roman"/>
                <w:kern w:val="0"/>
                <w:szCs w:val="21"/>
              </w:rPr>
              <w:t>10</w:t>
            </w:r>
          </w:p>
        </w:tc>
        <w:tc>
          <w:tcPr>
            <w:tcW w:w="4298" w:type="pct"/>
          </w:tcPr>
          <w:p w14:paraId="70D09FE4">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当制订成品保护措施计划，并提供必要的人员、材料和设备用于整个工程的成品保护，包括对已完成的所有分包人和独立承包人（如果有）的工程或工作的保护，防止已完工作遭受任何损坏或破坏。成品保护措施应当合理安排工序，并包括工作面移交制度和责任赔偿制度。成品保护措施计划最迟应当在任何专业分包人或独立承包人进场施工前不少于28天报监理人审批。</w:t>
            </w:r>
          </w:p>
        </w:tc>
      </w:tr>
      <w:tr w14:paraId="757139BC">
        <w:tblPrEx>
          <w:tblCellMar>
            <w:top w:w="0" w:type="dxa"/>
            <w:left w:w="108" w:type="dxa"/>
            <w:bottom w:w="0" w:type="dxa"/>
            <w:right w:w="108" w:type="dxa"/>
          </w:tblCellMar>
        </w:tblPrEx>
        <w:tc>
          <w:tcPr>
            <w:tcW w:w="701" w:type="pct"/>
            <w:gridSpan w:val="2"/>
          </w:tcPr>
          <w:p w14:paraId="6110B53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lang w:eastAsia="en-US"/>
              </w:rPr>
              <w:t>6.7.1</w:t>
            </w:r>
            <w:r>
              <w:rPr>
                <w:rFonts w:hint="default" w:ascii="Times New Roman" w:hAnsi="Times New Roman" w:cs="Times New Roman"/>
                <w:kern w:val="0"/>
                <w:szCs w:val="21"/>
              </w:rPr>
              <w:t>1</w:t>
            </w:r>
          </w:p>
        </w:tc>
        <w:tc>
          <w:tcPr>
            <w:tcW w:w="4298" w:type="pct"/>
          </w:tcPr>
          <w:p w14:paraId="6C487BA6">
            <w:pPr>
              <w:keepNext w:val="0"/>
              <w:keepLines w:val="0"/>
              <w:widowControl/>
              <w:suppressLineNumbers w:val="0"/>
              <w:spacing w:before="0" w:beforeAutospacing="0" w:after="156" w:afterLines="50" w:afterAutospacing="0" w:line="360" w:lineRule="auto"/>
              <w:ind w:left="0" w:right="0"/>
              <w:jc w:val="left"/>
              <w:rPr>
                <w:rFonts w:hint="eastAsia" w:ascii="Times New Roman" w:hAnsi="Times New Roman" w:cs="Times New Roman" w:eastAsiaTheme="minorEastAsia"/>
                <w:kern w:val="0"/>
                <w:szCs w:val="21"/>
                <w:u w:val="single"/>
                <w:lang w:val="en-US" w:eastAsia="zh-CN"/>
              </w:rPr>
            </w:pPr>
            <w:r>
              <w:rPr>
                <w:rFonts w:hint="default" w:ascii="Times New Roman" w:hAnsi="Times New Roman" w:cs="Times New Roman"/>
                <w:kern w:val="0"/>
                <w:szCs w:val="21"/>
                <w:lang w:eastAsia="en-US"/>
              </w:rPr>
              <w:t>文明施工方面的其他要求如下：</w:t>
            </w:r>
            <w:r>
              <w:rPr>
                <w:rFonts w:hint="default" w:ascii="Times New Roman" w:hAnsi="Times New Roman" w:cs="Times New Roman"/>
                <w:kern w:val="0"/>
                <w:szCs w:val="21"/>
                <w:u w:val="single"/>
                <w:lang w:eastAsia="en-US"/>
              </w:rPr>
              <w:t>施工现场应采取有效的遮挡、降尘措施及对原有设施保护措施；应合理组织施工，不得影响学校正常的教学、科研秩序；必须安排足够数量的专职人员负责现场安全文明施工，必须采取有效措施，保证道路畅通和楼内人员出行安全；应做好安全教育，施工作业人员必须着统一上装</w:t>
            </w:r>
            <w:r>
              <w:rPr>
                <w:rFonts w:hint="eastAsia" w:ascii="Times New Roman" w:hAnsi="Times New Roman" w:cs="Times New Roman"/>
                <w:kern w:val="0"/>
                <w:szCs w:val="21"/>
                <w:u w:val="single"/>
                <w:lang w:eastAsia="zh-CN"/>
              </w:rPr>
              <w:t>。</w:t>
            </w:r>
          </w:p>
        </w:tc>
      </w:tr>
      <w:tr w14:paraId="0AD17A09">
        <w:tblPrEx>
          <w:tblCellMar>
            <w:top w:w="0" w:type="dxa"/>
            <w:left w:w="108" w:type="dxa"/>
            <w:bottom w:w="0" w:type="dxa"/>
            <w:right w:w="108" w:type="dxa"/>
          </w:tblCellMar>
        </w:tblPrEx>
        <w:tc>
          <w:tcPr>
            <w:tcW w:w="701" w:type="pct"/>
            <w:gridSpan w:val="2"/>
          </w:tcPr>
          <w:p w14:paraId="70865306">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6.8</w:t>
            </w:r>
          </w:p>
        </w:tc>
        <w:tc>
          <w:tcPr>
            <w:tcW w:w="4298" w:type="pct"/>
          </w:tcPr>
          <w:p w14:paraId="46D3431D">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环境保护</w:t>
            </w:r>
          </w:p>
        </w:tc>
      </w:tr>
      <w:tr w14:paraId="5AF7BF00">
        <w:tblPrEx>
          <w:tblCellMar>
            <w:top w:w="0" w:type="dxa"/>
            <w:left w:w="108" w:type="dxa"/>
            <w:bottom w:w="0" w:type="dxa"/>
            <w:right w:w="108" w:type="dxa"/>
          </w:tblCellMar>
        </w:tblPrEx>
        <w:tc>
          <w:tcPr>
            <w:tcW w:w="701" w:type="pct"/>
            <w:gridSpan w:val="2"/>
          </w:tcPr>
          <w:p w14:paraId="5B11332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6.8.1</w:t>
            </w:r>
          </w:p>
        </w:tc>
        <w:tc>
          <w:tcPr>
            <w:tcW w:w="4298" w:type="pct"/>
          </w:tcPr>
          <w:p w14:paraId="6533FB26">
            <w:pPr>
              <w:keepNext w:val="0"/>
              <w:keepLines w:val="0"/>
              <w:suppressLineNumbers w:val="0"/>
              <w:spacing w:before="0" w:beforeAutospacing="0" w:after="0" w:afterAutospacing="0" w:line="360" w:lineRule="auto"/>
              <w:ind w:left="0" w:right="0"/>
              <w:rPr>
                <w:rFonts w:hint="default" w:ascii="Times New Roman" w:hAnsi="Times New Roman" w:cs="Times New Roman"/>
                <w:kern w:val="0"/>
                <w:szCs w:val="21"/>
              </w:rPr>
            </w:pPr>
            <w:r>
              <w:rPr>
                <w:rFonts w:hint="default" w:ascii="Times New Roman" w:hAnsi="Times New Roman" w:cs="Times New Roman"/>
                <w:kern w:val="0"/>
                <w:szCs w:val="21"/>
              </w:rPr>
              <w:t>在工程施工、完工及修补任何缺陷的过程中，承包人应当始终遵守国家和工程所在地有关扬尘治理、建筑垃圾堆放、清运和消纳等环境保护、水土保护和污染防治的法律、法规、规章、规范、标准和规程等，按照合同条款第</w:t>
            </w:r>
            <w:r>
              <w:rPr>
                <w:rFonts w:hint="default" w:ascii="Times New Roman" w:hAnsi="Times New Roman" w:cs="Times New Roman"/>
                <w:bCs/>
                <w:kern w:val="0"/>
                <w:szCs w:val="21"/>
              </w:rPr>
              <w:t>9.4</w:t>
            </w:r>
            <w:r>
              <w:rPr>
                <w:rFonts w:hint="default" w:ascii="Times New Roman" w:hAnsi="Times New Roman" w:cs="Times New Roman"/>
                <w:kern w:val="0"/>
                <w:szCs w:val="21"/>
              </w:rPr>
              <w:t>款的约定履行其环境与生态保护职责。</w:t>
            </w:r>
          </w:p>
        </w:tc>
      </w:tr>
      <w:tr w14:paraId="563A8402">
        <w:tblPrEx>
          <w:tblCellMar>
            <w:top w:w="0" w:type="dxa"/>
            <w:left w:w="108" w:type="dxa"/>
            <w:bottom w:w="0" w:type="dxa"/>
            <w:right w:w="108" w:type="dxa"/>
          </w:tblCellMar>
        </w:tblPrEx>
        <w:tc>
          <w:tcPr>
            <w:tcW w:w="701" w:type="pct"/>
            <w:gridSpan w:val="2"/>
          </w:tcPr>
          <w:p w14:paraId="3FDF5BE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6.8.2</w:t>
            </w:r>
          </w:p>
        </w:tc>
        <w:tc>
          <w:tcPr>
            <w:tcW w:w="4298" w:type="pct"/>
          </w:tcPr>
          <w:p w14:paraId="6A989C9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按合同约定和监理人指示，接受国家和地方环境保护行政主管部门的监督、监测和检查。承包人应对其违反现行法律、法规、规章、规范、标准和规程等以及本合同约定所造成的环境污染、水土流失、人员伤害和财产损失等承担赔偿责任。</w:t>
            </w:r>
          </w:p>
        </w:tc>
      </w:tr>
      <w:tr w14:paraId="64D742D8">
        <w:tblPrEx>
          <w:tblCellMar>
            <w:top w:w="0" w:type="dxa"/>
            <w:left w:w="108" w:type="dxa"/>
            <w:bottom w:w="0" w:type="dxa"/>
            <w:right w:w="108" w:type="dxa"/>
          </w:tblCellMar>
        </w:tblPrEx>
        <w:tc>
          <w:tcPr>
            <w:tcW w:w="701" w:type="pct"/>
            <w:gridSpan w:val="2"/>
          </w:tcPr>
          <w:p w14:paraId="3C8D491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6.8.3</w:t>
            </w:r>
          </w:p>
        </w:tc>
        <w:tc>
          <w:tcPr>
            <w:tcW w:w="4298" w:type="pct"/>
          </w:tcPr>
          <w:p w14:paraId="216D17F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制订施工方案和组织措施时应当同步考虑环境和资源保护，包括水土资源保护、噪声、振动和照明污染防治、固体废弃物处理、污水和废气处理、粉尘和扬尘控制、道路污染防治、卫生防疫、禁止有害材料、节能减排以及不可再生资源的循环使用等因素。</w:t>
            </w:r>
          </w:p>
        </w:tc>
      </w:tr>
      <w:tr w14:paraId="32A03E2D">
        <w:tblPrEx>
          <w:tblCellMar>
            <w:top w:w="0" w:type="dxa"/>
            <w:left w:w="108" w:type="dxa"/>
            <w:bottom w:w="0" w:type="dxa"/>
            <w:right w:w="108" w:type="dxa"/>
          </w:tblCellMar>
        </w:tblPrEx>
        <w:tc>
          <w:tcPr>
            <w:tcW w:w="701" w:type="pct"/>
            <w:gridSpan w:val="2"/>
          </w:tcPr>
          <w:p w14:paraId="5315F570">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6.8.4</w:t>
            </w:r>
          </w:p>
        </w:tc>
        <w:tc>
          <w:tcPr>
            <w:tcW w:w="4298" w:type="pct"/>
          </w:tcPr>
          <w:p w14:paraId="4BCC00C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当做好施工场地（现场）范围内各项工程的开挖支护、截水、降水、灌浆、衬砌、挡护结构及排水等工程防护措施。施工场地（现场）内所有边坡应当采取有效的水土流失防治和保持措施。承包人采用的降水方案应当充分考虑对地下水的保护和合理使用，如果国家和（或）地方人民政府有特别规定的，承包人应当遵守有关规定。承包人还应设置完善的排水系统，保持施工场地（现场）始终处于良好的排水状态，防止降雨径流对施工场地（现场）的冲刷。</w:t>
            </w:r>
          </w:p>
        </w:tc>
      </w:tr>
      <w:tr w14:paraId="1B7FE33D">
        <w:tblPrEx>
          <w:tblCellMar>
            <w:top w:w="0" w:type="dxa"/>
            <w:left w:w="108" w:type="dxa"/>
            <w:bottom w:w="0" w:type="dxa"/>
            <w:right w:w="108" w:type="dxa"/>
          </w:tblCellMar>
        </w:tblPrEx>
        <w:tc>
          <w:tcPr>
            <w:tcW w:w="701" w:type="pct"/>
            <w:gridSpan w:val="2"/>
          </w:tcPr>
          <w:p w14:paraId="6F6C4B9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6.8.5</w:t>
            </w:r>
          </w:p>
        </w:tc>
        <w:tc>
          <w:tcPr>
            <w:tcW w:w="4298" w:type="pct"/>
          </w:tcPr>
          <w:p w14:paraId="3D8AC7F9">
            <w:pPr>
              <w:keepNext w:val="0"/>
              <w:keepLines w:val="0"/>
              <w:suppressLineNumbers w:val="0"/>
              <w:spacing w:before="0" w:beforeAutospacing="0" w:after="0" w:afterAutospacing="0" w:line="360" w:lineRule="auto"/>
              <w:ind w:left="0" w:right="0"/>
              <w:rPr>
                <w:rFonts w:hint="default" w:ascii="Times New Roman" w:hAnsi="Times New Roman" w:cs="Times New Roman"/>
                <w:kern w:val="0"/>
                <w:szCs w:val="21"/>
              </w:rPr>
            </w:pPr>
            <w:r>
              <w:rPr>
                <w:rFonts w:hint="default" w:ascii="Times New Roman" w:hAnsi="Times New Roman" w:cs="Times New Roman"/>
                <w:kern w:val="0"/>
                <w:szCs w:val="21"/>
              </w:rPr>
              <w:t>承包人应当确保其所提供的材料、施工设备和其他材料都是绿色环保产品，列入国家强制认证产品名录的，还应当是通过国家强制认证的产品。承包人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承包人应在其施工环保措施计划中明确防止误用的保证措施；承包人违背此项约定的责任和后果全部由承包人承担。</w:t>
            </w:r>
          </w:p>
          <w:p w14:paraId="2E94CA4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p>
        </w:tc>
      </w:tr>
      <w:tr w14:paraId="5B5C9F6C">
        <w:tblPrEx>
          <w:tblCellMar>
            <w:top w:w="0" w:type="dxa"/>
            <w:left w:w="108" w:type="dxa"/>
            <w:bottom w:w="0" w:type="dxa"/>
            <w:right w:w="108" w:type="dxa"/>
          </w:tblCellMar>
        </w:tblPrEx>
        <w:tc>
          <w:tcPr>
            <w:tcW w:w="701" w:type="pct"/>
            <w:gridSpan w:val="2"/>
          </w:tcPr>
          <w:p w14:paraId="562233E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6.8.6</w:t>
            </w:r>
          </w:p>
        </w:tc>
        <w:tc>
          <w:tcPr>
            <w:tcW w:w="4298" w:type="pct"/>
          </w:tcPr>
          <w:p w14:paraId="6BB6AE3E">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 xml:space="preserve">承包人应为防止进出场的车辆的遗洒和轮胎夹带物等污染周边和公共道路等行为制定并落实必要的措施，这类措施应至少包括在现场出入口设立冲刷池、对现场道路做硬化处理和采用密闭车厢或者对车厢进行必要的覆盖等等。 </w:t>
            </w:r>
          </w:p>
        </w:tc>
      </w:tr>
      <w:tr w14:paraId="09912B24">
        <w:tblPrEx>
          <w:tblCellMar>
            <w:top w:w="0" w:type="dxa"/>
            <w:left w:w="108" w:type="dxa"/>
            <w:bottom w:w="0" w:type="dxa"/>
            <w:right w:w="108" w:type="dxa"/>
          </w:tblCellMar>
        </w:tblPrEx>
        <w:tc>
          <w:tcPr>
            <w:tcW w:w="701" w:type="pct"/>
            <w:gridSpan w:val="2"/>
          </w:tcPr>
          <w:p w14:paraId="5038929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6.8.7</w:t>
            </w:r>
          </w:p>
        </w:tc>
        <w:tc>
          <w:tcPr>
            <w:tcW w:w="4298" w:type="pct"/>
          </w:tcPr>
          <w:p w14:paraId="59C8914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当保证施工生产用水和生活用水符合国家有关标准的规定。承包人还应建设、运行和维护施工生产和生活污水收集和处理系统（包括排污口接入），建立符合排放标准的临时沉淀池和化粪池等，不得将未处理的污水直接或间接排放或造成地表水体、地下水体或生产和生活供水系统的污染。</w:t>
            </w:r>
          </w:p>
        </w:tc>
      </w:tr>
      <w:tr w14:paraId="0B16D80C">
        <w:tblPrEx>
          <w:tblCellMar>
            <w:top w:w="0" w:type="dxa"/>
            <w:left w:w="108" w:type="dxa"/>
            <w:bottom w:w="0" w:type="dxa"/>
            <w:right w:w="108" w:type="dxa"/>
          </w:tblCellMar>
        </w:tblPrEx>
        <w:tc>
          <w:tcPr>
            <w:tcW w:w="701" w:type="pct"/>
            <w:gridSpan w:val="2"/>
          </w:tcPr>
          <w:p w14:paraId="581C119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6.8.8</w:t>
            </w:r>
          </w:p>
        </w:tc>
        <w:tc>
          <w:tcPr>
            <w:tcW w:w="4298" w:type="pct"/>
          </w:tcPr>
          <w:p w14:paraId="11330640">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当采取有效措施，建立相应的过滤、分离、分解或沉淀等处理系统，不得让有害物质（如燃料、油料、化学品、酸等，以及超过剂量的有害气体和尘埃、污水、泥土或水、弃渣等）污染施工场地（现场）及其周边环境。承包人施工工序、工作时间安排和施工设备的配置应当充分考虑降低噪声和照明等对施工场地（现场）周边生产和生活的影响，并满足国家和地方政府有关规定的要求。</w:t>
            </w:r>
          </w:p>
        </w:tc>
      </w:tr>
      <w:tr w14:paraId="08835673">
        <w:tblPrEx>
          <w:tblCellMar>
            <w:top w:w="0" w:type="dxa"/>
            <w:left w:w="108" w:type="dxa"/>
            <w:bottom w:w="0" w:type="dxa"/>
            <w:right w:w="108" w:type="dxa"/>
          </w:tblCellMar>
        </w:tblPrEx>
        <w:tc>
          <w:tcPr>
            <w:tcW w:w="701" w:type="pct"/>
            <w:gridSpan w:val="2"/>
          </w:tcPr>
          <w:p w14:paraId="27E1036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6.8.9</w:t>
            </w:r>
          </w:p>
        </w:tc>
        <w:tc>
          <w:tcPr>
            <w:tcW w:w="4298" w:type="pct"/>
          </w:tcPr>
          <w:p w14:paraId="1824E56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承包人保证使用已在本市进行信息编码登记符合排放标准的非道路移动机械</w:t>
            </w:r>
            <w:bookmarkStart w:id="35" w:name="_Hlk114657484"/>
            <w:r>
              <w:rPr>
                <w:rFonts w:hint="default" w:ascii="Times New Roman" w:hAnsi="Times New Roman" w:cs="Times New Roman"/>
                <w:kern w:val="0"/>
                <w:szCs w:val="21"/>
              </w:rPr>
              <w:t>，并确保使用符合标准的燃料</w:t>
            </w:r>
            <w:bookmarkEnd w:id="35"/>
            <w:r>
              <w:rPr>
                <w:rFonts w:hint="default" w:ascii="Times New Roman" w:hAnsi="Times New Roman" w:cs="Times New Roman"/>
                <w:kern w:val="0"/>
                <w:szCs w:val="21"/>
              </w:rPr>
              <w:t>。严禁使用高排放非道路移动机械，并做好行业挥发性有机物治理（如建筑外墙涂装、钢结构等鼓励使用水性漆替代油性漆；建筑施工、室外构筑物防护和道路交通标识等其他涂装作业，推广使用水性、高固体分、无溶剂、粉末等涂料和水基、本体型等低VOCs含量胶粘剂）。</w:t>
            </w:r>
          </w:p>
        </w:tc>
      </w:tr>
      <w:tr w14:paraId="16E46E43">
        <w:tblPrEx>
          <w:tblCellMar>
            <w:top w:w="0" w:type="dxa"/>
            <w:left w:w="108" w:type="dxa"/>
            <w:bottom w:w="0" w:type="dxa"/>
            <w:right w:w="108" w:type="dxa"/>
          </w:tblCellMar>
        </w:tblPrEx>
        <w:tc>
          <w:tcPr>
            <w:tcW w:w="701" w:type="pct"/>
            <w:gridSpan w:val="2"/>
          </w:tcPr>
          <w:p w14:paraId="74E40A9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bookmarkStart w:id="36" w:name="OLE_LINK170"/>
            <w:r>
              <w:rPr>
                <w:rFonts w:hint="default" w:ascii="Times New Roman" w:hAnsi="Times New Roman" w:cs="Times New Roman"/>
                <w:kern w:val="0"/>
                <w:szCs w:val="21"/>
                <w:lang w:eastAsia="en-US"/>
              </w:rPr>
              <w:t>6.8.</w:t>
            </w:r>
            <w:bookmarkEnd w:id="36"/>
            <w:r>
              <w:rPr>
                <w:rFonts w:hint="default" w:ascii="Times New Roman" w:hAnsi="Times New Roman" w:cs="Times New Roman"/>
                <w:kern w:val="0"/>
                <w:szCs w:val="21"/>
              </w:rPr>
              <w:t>10</w:t>
            </w:r>
          </w:p>
        </w:tc>
        <w:tc>
          <w:tcPr>
            <w:tcW w:w="4298" w:type="pct"/>
          </w:tcPr>
          <w:p w14:paraId="749A83F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rPr>
              <w:t>本工程使用全密闭施工技术及在土方阶段使用基坑气膜的要求：</w:t>
            </w:r>
            <w:r>
              <w:rPr>
                <w:rFonts w:hint="default" w:ascii="Times New Roman" w:hAnsi="Times New Roman" w:cs="Times New Roman"/>
                <w:kern w:val="0"/>
                <w:szCs w:val="21"/>
                <w:u w:val="single"/>
              </w:rPr>
              <w:t xml:space="preserve"> </w:t>
            </w:r>
            <w:r>
              <w:rPr>
                <w:rFonts w:hint="default" w:ascii="Times New Roman" w:hAnsi="Times New Roman" w:cs="Times New Roman"/>
                <w:kern w:val="0"/>
                <w:szCs w:val="21"/>
                <w:u w:val="single"/>
                <w:lang w:val="en-US" w:eastAsia="zh-CN"/>
              </w:rPr>
              <w:t xml:space="preserve">  </w:t>
            </w:r>
            <w:r>
              <w:rPr>
                <w:rFonts w:hint="default" w:ascii="Times New Roman" w:hAnsi="Times New Roman" w:cs="Times New Roman"/>
                <w:kern w:val="0"/>
                <w:szCs w:val="21"/>
                <w:u w:val="single"/>
              </w:rPr>
              <w:t xml:space="preserve">  </w:t>
            </w:r>
            <w:r>
              <w:rPr>
                <w:rFonts w:hint="default" w:ascii="Times New Roman" w:hAnsi="Times New Roman" w:cs="Times New Roman"/>
                <w:kern w:val="0"/>
                <w:szCs w:val="21"/>
                <w:u w:val="single"/>
                <w:lang w:val="en-US" w:eastAsia="zh-CN"/>
              </w:rPr>
              <w:t>/</w:t>
            </w:r>
            <w:r>
              <w:rPr>
                <w:rFonts w:hint="default" w:ascii="Times New Roman" w:hAnsi="Times New Roman" w:cs="Times New Roman"/>
                <w:kern w:val="0"/>
                <w:szCs w:val="21"/>
                <w:u w:val="single"/>
              </w:rPr>
              <w:t xml:space="preserve">     </w:t>
            </w:r>
          </w:p>
        </w:tc>
      </w:tr>
      <w:tr w14:paraId="207A3519">
        <w:tblPrEx>
          <w:tblCellMar>
            <w:top w:w="0" w:type="dxa"/>
            <w:left w:w="108" w:type="dxa"/>
            <w:bottom w:w="0" w:type="dxa"/>
            <w:right w:w="108" w:type="dxa"/>
          </w:tblCellMar>
        </w:tblPrEx>
        <w:tc>
          <w:tcPr>
            <w:tcW w:w="701" w:type="pct"/>
            <w:gridSpan w:val="2"/>
          </w:tcPr>
          <w:p w14:paraId="3948401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color w:val="000000"/>
                <w:szCs w:val="21"/>
              </w:rPr>
              <w:t>6.8.11</w:t>
            </w:r>
          </w:p>
        </w:tc>
        <w:tc>
          <w:tcPr>
            <w:tcW w:w="4298" w:type="pct"/>
          </w:tcPr>
          <w:p w14:paraId="4C540404">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环境保护方面的其他要求：</w:t>
            </w:r>
          </w:p>
          <w:p w14:paraId="0E7E89E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（1）承包人应使用符合北京市《建筑类涂料与胶粘剂挥发性有机化合物含量限值标准》（DB11／1983-2022）相关要求的产品。</w:t>
            </w:r>
          </w:p>
          <w:p w14:paraId="29786B76">
            <w:pPr>
              <w:keepNext w:val="0"/>
              <w:keepLines w:val="0"/>
              <w:widowControl/>
              <w:suppressLineNumbers w:val="0"/>
              <w:spacing w:before="0" w:beforeAutospacing="0" w:after="156" w:afterLines="50" w:afterAutospacing="0" w:line="360" w:lineRule="auto"/>
              <w:ind w:left="0" w:right="0"/>
              <w:jc w:val="left"/>
              <w:rPr>
                <w:rFonts w:hint="eastAsia" w:ascii="Times New Roman" w:hAnsi="Times New Roman" w:cs="Times New Roman" w:eastAsiaTheme="minorEastAsia"/>
                <w:color w:val="000000"/>
                <w:szCs w:val="21"/>
                <w:lang w:eastAsia="zh-CN"/>
              </w:rPr>
            </w:pPr>
            <w:r>
              <w:rPr>
                <w:rFonts w:hint="default" w:ascii="Times New Roman" w:hAnsi="Times New Roman" w:cs="Times New Roman"/>
                <w:kern w:val="0"/>
                <w:szCs w:val="21"/>
              </w:rPr>
              <w:t>（2）</w:t>
            </w:r>
            <w:r>
              <w:rPr>
                <w:rFonts w:hint="default" w:ascii="Times New Roman" w:hAnsi="Times New Roman" w:cs="Times New Roman"/>
                <w:color w:val="000000"/>
                <w:szCs w:val="21"/>
                <w:u w:val="single"/>
              </w:rPr>
              <w:t>（2） 因不符合（1）产生的相关责任及费用全部由承包人承担</w:t>
            </w:r>
            <w:r>
              <w:rPr>
                <w:rFonts w:hint="eastAsia" w:ascii="Times New Roman" w:hAnsi="Times New Roman" w:cs="Times New Roman"/>
                <w:color w:val="000000"/>
                <w:szCs w:val="21"/>
                <w:u w:val="single"/>
                <w:lang w:eastAsia="zh-CN"/>
              </w:rPr>
              <w:t>。</w:t>
            </w:r>
          </w:p>
        </w:tc>
      </w:tr>
      <w:tr w14:paraId="0B7AA066">
        <w:tblPrEx>
          <w:tblCellMar>
            <w:top w:w="0" w:type="dxa"/>
            <w:left w:w="108" w:type="dxa"/>
            <w:bottom w:w="0" w:type="dxa"/>
            <w:right w:w="108" w:type="dxa"/>
          </w:tblCellMar>
        </w:tblPrEx>
        <w:tc>
          <w:tcPr>
            <w:tcW w:w="701" w:type="pct"/>
            <w:gridSpan w:val="2"/>
          </w:tcPr>
          <w:p w14:paraId="528D7907">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6.9</w:t>
            </w:r>
          </w:p>
        </w:tc>
        <w:tc>
          <w:tcPr>
            <w:tcW w:w="4298" w:type="pct"/>
          </w:tcPr>
          <w:p w14:paraId="36A5FF14">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施工环保措施计划</w:t>
            </w:r>
          </w:p>
        </w:tc>
      </w:tr>
      <w:tr w14:paraId="2C52E8EF">
        <w:tblPrEx>
          <w:tblCellMar>
            <w:top w:w="0" w:type="dxa"/>
            <w:left w:w="108" w:type="dxa"/>
            <w:bottom w:w="0" w:type="dxa"/>
            <w:right w:w="108" w:type="dxa"/>
          </w:tblCellMar>
        </w:tblPrEx>
        <w:trPr>
          <w:trHeight w:val="887" w:hRule="atLeast"/>
        </w:trPr>
        <w:tc>
          <w:tcPr>
            <w:tcW w:w="701" w:type="pct"/>
            <w:gridSpan w:val="2"/>
          </w:tcPr>
          <w:p w14:paraId="7BED951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6.9.1</w:t>
            </w:r>
          </w:p>
        </w:tc>
        <w:tc>
          <w:tcPr>
            <w:tcW w:w="4298" w:type="pct"/>
          </w:tcPr>
          <w:p w14:paraId="0D8D123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通用合同条款第9.4.3项约定的施工环保措施计划是承包人阐明环保方针和拟采用的环保措施及方法等的文件，其内容应包括但不限于：</w:t>
            </w:r>
          </w:p>
          <w:p w14:paraId="4AA731FB">
            <w:pPr>
              <w:keepNext w:val="0"/>
              <w:keepLines w:val="0"/>
              <w:widowControl/>
              <w:numPr>
                <w:ilvl w:val="0"/>
                <w:numId w:val="2"/>
              </w:numPr>
              <w:suppressLineNumbers w:val="0"/>
              <w:adjustRightInd w:val="0"/>
              <w:spacing w:before="0" w:beforeAutospacing="0" w:after="0" w:afterAutospacing="0" w:line="360" w:lineRule="auto"/>
              <w:ind w:right="0"/>
              <w:jc w:val="left"/>
              <w:rPr>
                <w:rFonts w:hint="default" w:ascii="Times New Roman" w:hAnsi="Times New Roman" w:eastAsia="Times New Roman" w:cs="Times New Roman"/>
                <w:kern w:val="0"/>
                <w:szCs w:val="21"/>
              </w:rPr>
            </w:pPr>
            <w:r>
              <w:rPr>
                <w:rFonts w:hint="default" w:ascii="Times New Roman" w:hAnsi="Times New Roman" w:eastAsia="Times New Roman" w:cs="Times New Roman"/>
                <w:kern w:val="0"/>
                <w:szCs w:val="21"/>
              </w:rPr>
              <w:t>承包人生活区（如果有）的生活用水和生活污水处理措施；</w:t>
            </w:r>
          </w:p>
          <w:p w14:paraId="77331A29">
            <w:pPr>
              <w:keepNext w:val="0"/>
              <w:keepLines w:val="0"/>
              <w:widowControl/>
              <w:numPr>
                <w:ilvl w:val="0"/>
                <w:numId w:val="2"/>
              </w:numPr>
              <w:suppressLineNumbers w:val="0"/>
              <w:adjustRightInd w:val="0"/>
              <w:spacing w:before="0" w:beforeAutospacing="0" w:after="0" w:afterAutospacing="0" w:line="360" w:lineRule="auto"/>
              <w:ind w:right="0"/>
              <w:jc w:val="left"/>
              <w:rPr>
                <w:rFonts w:hint="default" w:ascii="Times New Roman" w:hAnsi="Times New Roman" w:eastAsia="Times New Roman" w:cs="Times New Roman"/>
                <w:kern w:val="0"/>
                <w:szCs w:val="21"/>
              </w:rPr>
            </w:pPr>
            <w:r>
              <w:rPr>
                <w:rFonts w:hint="default" w:ascii="Times New Roman" w:hAnsi="Times New Roman" w:eastAsia="Times New Roman" w:cs="Times New Roman"/>
                <w:kern w:val="0"/>
                <w:szCs w:val="21"/>
              </w:rPr>
              <w:t>施工生产废水处理措施；</w:t>
            </w:r>
          </w:p>
          <w:p w14:paraId="29BB3CA1">
            <w:pPr>
              <w:keepNext w:val="0"/>
              <w:keepLines w:val="0"/>
              <w:widowControl/>
              <w:numPr>
                <w:ilvl w:val="0"/>
                <w:numId w:val="2"/>
              </w:numPr>
              <w:suppressLineNumbers w:val="0"/>
              <w:adjustRightInd w:val="0"/>
              <w:spacing w:before="0" w:beforeAutospacing="0" w:after="0" w:afterAutospacing="0" w:line="360" w:lineRule="auto"/>
              <w:ind w:right="0"/>
              <w:jc w:val="left"/>
              <w:rPr>
                <w:rFonts w:hint="default" w:ascii="Times New Roman" w:hAnsi="Times New Roman" w:eastAsia="Times New Roman" w:cs="Times New Roman"/>
                <w:kern w:val="0"/>
                <w:szCs w:val="21"/>
              </w:rPr>
            </w:pPr>
            <w:r>
              <w:rPr>
                <w:rFonts w:hint="default" w:ascii="Times New Roman" w:hAnsi="Times New Roman" w:eastAsia="Times New Roman" w:cs="Times New Roman"/>
                <w:kern w:val="0"/>
                <w:szCs w:val="21"/>
              </w:rPr>
              <w:t>施工扬尘和废气的处理措施；</w:t>
            </w:r>
          </w:p>
          <w:p w14:paraId="126D97E3">
            <w:pPr>
              <w:keepNext w:val="0"/>
              <w:keepLines w:val="0"/>
              <w:widowControl/>
              <w:numPr>
                <w:ilvl w:val="0"/>
                <w:numId w:val="2"/>
              </w:numPr>
              <w:suppressLineNumbers w:val="0"/>
              <w:adjustRightInd w:val="0"/>
              <w:spacing w:before="0" w:beforeAutospacing="0" w:after="0" w:afterAutospacing="0" w:line="360" w:lineRule="auto"/>
              <w:ind w:right="0"/>
              <w:jc w:val="left"/>
              <w:rPr>
                <w:rFonts w:hint="default" w:ascii="Times New Roman" w:hAnsi="Times New Roman" w:eastAsia="Times New Roman" w:cs="Times New Roman"/>
                <w:kern w:val="0"/>
                <w:szCs w:val="21"/>
              </w:rPr>
            </w:pPr>
            <w:r>
              <w:rPr>
                <w:rFonts w:hint="default" w:ascii="Times New Roman" w:hAnsi="Times New Roman" w:eastAsia="Times New Roman" w:cs="Times New Roman"/>
                <w:kern w:val="0"/>
                <w:szCs w:val="21"/>
              </w:rPr>
              <w:t>施工噪声和光污染控制措施；</w:t>
            </w:r>
          </w:p>
          <w:p w14:paraId="602AB2B5">
            <w:pPr>
              <w:keepNext w:val="0"/>
              <w:keepLines w:val="0"/>
              <w:widowControl/>
              <w:numPr>
                <w:ilvl w:val="0"/>
                <w:numId w:val="2"/>
              </w:numPr>
              <w:suppressLineNumbers w:val="0"/>
              <w:adjustRightInd w:val="0"/>
              <w:spacing w:before="0" w:beforeAutospacing="0" w:after="0" w:afterAutospacing="0" w:line="360" w:lineRule="auto"/>
              <w:ind w:right="0"/>
              <w:jc w:val="left"/>
              <w:rPr>
                <w:rFonts w:hint="default" w:ascii="Times New Roman" w:hAnsi="Times New Roman" w:eastAsia="Times New Roman" w:cs="Times New Roman"/>
                <w:kern w:val="0"/>
                <w:szCs w:val="21"/>
                <w:lang w:eastAsia="en-US"/>
              </w:rPr>
            </w:pPr>
            <w:r>
              <w:rPr>
                <w:rFonts w:hint="default" w:ascii="Times New Roman" w:hAnsi="Times New Roman" w:eastAsia="Times New Roman" w:cs="Times New Roman"/>
                <w:kern w:val="0"/>
                <w:szCs w:val="21"/>
                <w:lang w:eastAsia="en-US"/>
              </w:rPr>
              <w:t>节能减排措施；</w:t>
            </w:r>
          </w:p>
          <w:p w14:paraId="125CB8E6">
            <w:pPr>
              <w:keepNext w:val="0"/>
              <w:keepLines w:val="0"/>
              <w:widowControl/>
              <w:numPr>
                <w:ilvl w:val="0"/>
                <w:numId w:val="2"/>
              </w:numPr>
              <w:suppressLineNumbers w:val="0"/>
              <w:adjustRightInd w:val="0"/>
              <w:spacing w:before="0" w:beforeAutospacing="0" w:after="0" w:afterAutospacing="0" w:line="360" w:lineRule="auto"/>
              <w:ind w:right="0"/>
              <w:jc w:val="left"/>
              <w:rPr>
                <w:rFonts w:hint="default" w:ascii="Times New Roman" w:hAnsi="Times New Roman" w:eastAsia="Times New Roman" w:cs="Times New Roman"/>
                <w:kern w:val="0"/>
                <w:szCs w:val="21"/>
              </w:rPr>
            </w:pPr>
            <w:r>
              <w:rPr>
                <w:rFonts w:hint="default" w:ascii="Times New Roman" w:hAnsi="Times New Roman" w:eastAsia="Times New Roman" w:cs="Times New Roman"/>
                <w:kern w:val="0"/>
                <w:szCs w:val="21"/>
              </w:rPr>
              <w:t>不可再生资源循环利用措施；</w:t>
            </w:r>
          </w:p>
          <w:p w14:paraId="03F365E1">
            <w:pPr>
              <w:keepNext w:val="0"/>
              <w:keepLines w:val="0"/>
              <w:widowControl/>
              <w:numPr>
                <w:ilvl w:val="0"/>
                <w:numId w:val="2"/>
              </w:numPr>
              <w:suppressLineNumbers w:val="0"/>
              <w:adjustRightInd w:val="0"/>
              <w:spacing w:before="0" w:beforeAutospacing="0" w:after="0" w:afterAutospacing="0" w:line="360" w:lineRule="auto"/>
              <w:ind w:right="0"/>
              <w:jc w:val="left"/>
              <w:rPr>
                <w:rFonts w:hint="default" w:ascii="Times New Roman" w:hAnsi="Times New Roman" w:eastAsia="Times New Roman" w:cs="Times New Roman"/>
                <w:kern w:val="0"/>
                <w:szCs w:val="21"/>
              </w:rPr>
            </w:pPr>
            <w:r>
              <w:rPr>
                <w:rFonts w:hint="default" w:ascii="Times New Roman" w:hAnsi="Times New Roman" w:eastAsia="Times New Roman" w:cs="Times New Roman"/>
                <w:kern w:val="0"/>
                <w:szCs w:val="21"/>
              </w:rPr>
              <w:t>建筑垃圾等固体废弃物处理措施；</w:t>
            </w:r>
          </w:p>
          <w:p w14:paraId="6EAE092B">
            <w:pPr>
              <w:keepNext w:val="0"/>
              <w:keepLines w:val="0"/>
              <w:widowControl/>
              <w:numPr>
                <w:ilvl w:val="0"/>
                <w:numId w:val="2"/>
              </w:numPr>
              <w:suppressLineNumbers w:val="0"/>
              <w:adjustRightInd w:val="0"/>
              <w:spacing w:before="0" w:beforeAutospacing="0" w:after="0" w:afterAutospacing="0" w:line="360" w:lineRule="auto"/>
              <w:ind w:right="0"/>
              <w:jc w:val="left"/>
              <w:rPr>
                <w:rFonts w:hint="default" w:ascii="Times New Roman" w:hAnsi="Times New Roman" w:eastAsia="Times New Roman" w:cs="Times New Roman"/>
                <w:kern w:val="0"/>
                <w:szCs w:val="21"/>
              </w:rPr>
            </w:pPr>
            <w:r>
              <w:rPr>
                <w:rFonts w:hint="default" w:ascii="Times New Roman" w:hAnsi="Times New Roman" w:eastAsia="Times New Roman" w:cs="Times New Roman"/>
                <w:kern w:val="0"/>
                <w:szCs w:val="21"/>
              </w:rPr>
              <w:t>人群健康保护和卫生防疫措施；</w:t>
            </w:r>
          </w:p>
          <w:p w14:paraId="6E60C7F1">
            <w:pPr>
              <w:keepNext w:val="0"/>
              <w:keepLines w:val="0"/>
              <w:widowControl/>
              <w:numPr>
                <w:ilvl w:val="0"/>
                <w:numId w:val="2"/>
              </w:numPr>
              <w:suppressLineNumbers w:val="0"/>
              <w:adjustRightInd w:val="0"/>
              <w:spacing w:before="0" w:beforeAutospacing="0" w:after="0" w:afterAutospacing="0" w:line="360" w:lineRule="auto"/>
              <w:ind w:right="0"/>
              <w:jc w:val="left"/>
              <w:rPr>
                <w:rFonts w:hint="default" w:ascii="Times New Roman" w:hAnsi="Times New Roman" w:eastAsia="Times New Roman" w:cs="Times New Roman"/>
                <w:kern w:val="0"/>
                <w:szCs w:val="21"/>
              </w:rPr>
            </w:pPr>
            <w:r>
              <w:rPr>
                <w:rFonts w:hint="default" w:ascii="Times New Roman" w:hAnsi="Times New Roman" w:eastAsia="Times New Roman" w:cs="Times New Roman"/>
                <w:kern w:val="0"/>
                <w:szCs w:val="21"/>
              </w:rPr>
              <w:t>防止误用有害材料的保证措施；</w:t>
            </w:r>
          </w:p>
          <w:p w14:paraId="09108F3A">
            <w:pPr>
              <w:keepNext w:val="0"/>
              <w:keepLines w:val="0"/>
              <w:widowControl/>
              <w:numPr>
                <w:ilvl w:val="0"/>
                <w:numId w:val="2"/>
              </w:numPr>
              <w:suppressLineNumbers w:val="0"/>
              <w:adjustRightInd w:val="0"/>
              <w:spacing w:before="0" w:beforeAutospacing="0" w:after="0" w:afterAutospacing="0" w:line="360" w:lineRule="auto"/>
              <w:ind w:right="0"/>
              <w:jc w:val="left"/>
              <w:rPr>
                <w:rFonts w:hint="default" w:ascii="Times New Roman" w:hAnsi="Times New Roman" w:eastAsia="Times New Roman" w:cs="Times New Roman"/>
                <w:kern w:val="0"/>
                <w:szCs w:val="21"/>
              </w:rPr>
            </w:pPr>
            <w:r>
              <w:rPr>
                <w:rFonts w:hint="default" w:ascii="Times New Roman" w:hAnsi="Times New Roman" w:eastAsia="Times New Roman" w:cs="Times New Roman"/>
                <w:kern w:val="0"/>
                <w:szCs w:val="21"/>
              </w:rPr>
              <w:t>施工边坡工程的水土流失保护措施；</w:t>
            </w:r>
          </w:p>
          <w:p w14:paraId="274BD4F7">
            <w:pPr>
              <w:keepNext w:val="0"/>
              <w:keepLines w:val="0"/>
              <w:widowControl/>
              <w:numPr>
                <w:ilvl w:val="0"/>
                <w:numId w:val="2"/>
              </w:numPr>
              <w:suppressLineNumbers w:val="0"/>
              <w:adjustRightInd w:val="0"/>
              <w:spacing w:before="0" w:beforeAutospacing="0" w:after="0" w:afterAutospacing="0" w:line="360" w:lineRule="auto"/>
              <w:ind w:right="0"/>
              <w:jc w:val="left"/>
              <w:rPr>
                <w:rFonts w:hint="default" w:ascii="Times New Roman" w:hAnsi="Times New Roman" w:eastAsia="Times New Roman" w:cs="Times New Roman"/>
                <w:kern w:val="0"/>
                <w:szCs w:val="21"/>
                <w:lang w:eastAsia="en-US"/>
              </w:rPr>
            </w:pPr>
            <w:r>
              <w:rPr>
                <w:rFonts w:hint="default" w:ascii="Times New Roman" w:hAnsi="Times New Roman" w:eastAsia="Times New Roman" w:cs="Times New Roman"/>
                <w:kern w:val="0"/>
                <w:szCs w:val="21"/>
                <w:lang w:eastAsia="en-US"/>
              </w:rPr>
              <w:t>道路污染防治措施；</w:t>
            </w:r>
          </w:p>
          <w:p w14:paraId="7299D2EC">
            <w:pPr>
              <w:keepNext w:val="0"/>
              <w:keepLines w:val="0"/>
              <w:widowControl/>
              <w:numPr>
                <w:ilvl w:val="0"/>
                <w:numId w:val="2"/>
              </w:numPr>
              <w:suppressLineNumbers w:val="0"/>
              <w:adjustRightInd w:val="0"/>
              <w:spacing w:before="0" w:beforeAutospacing="0" w:after="0" w:afterAutospacing="0" w:line="360" w:lineRule="auto"/>
              <w:ind w:right="0"/>
              <w:jc w:val="left"/>
              <w:rPr>
                <w:rFonts w:hint="default" w:ascii="Times New Roman" w:hAnsi="Times New Roman" w:eastAsia="Times New Roman" w:cs="Times New Roman"/>
                <w:kern w:val="0"/>
                <w:szCs w:val="21"/>
              </w:rPr>
            </w:pPr>
            <w:r>
              <w:rPr>
                <w:rFonts w:hint="default" w:ascii="Times New Roman" w:hAnsi="Times New Roman" w:eastAsia="Times New Roman" w:cs="Times New Roman"/>
                <w:kern w:val="0"/>
                <w:szCs w:val="21"/>
              </w:rPr>
              <w:t>使用符合排放标准的非道路移动机械保证措施；</w:t>
            </w:r>
          </w:p>
          <w:p w14:paraId="13BD44E7">
            <w:pPr>
              <w:keepNext w:val="0"/>
              <w:keepLines w:val="0"/>
              <w:widowControl/>
              <w:suppressLineNumbers w:val="0"/>
              <w:adjustRightInd w:val="0"/>
              <w:spacing w:before="0" w:beforeAutospacing="0" w:after="0" w:afterAutospacing="0" w:line="360" w:lineRule="auto"/>
              <w:ind w:left="405" w:right="0"/>
              <w:jc w:val="left"/>
              <w:rPr>
                <w:rFonts w:hint="default" w:ascii="Times New Roman" w:hAnsi="Times New Roman" w:cs="Times New Roman"/>
                <w:kern w:val="0"/>
                <w:szCs w:val="21"/>
                <w:lang w:eastAsia="en-US"/>
              </w:rPr>
            </w:pPr>
            <w:bookmarkStart w:id="37" w:name="_Toc497235612"/>
            <w:bookmarkStart w:id="38" w:name="OLE_LINK174"/>
            <w:r>
              <w:rPr>
                <w:rFonts w:hint="default" w:ascii="Times New Roman" w:hAnsi="Times New Roman" w:cs="Times New Roman"/>
                <w:kern w:val="0"/>
                <w:szCs w:val="21"/>
                <w:lang w:eastAsia="en-US"/>
              </w:rPr>
              <w:t>（13）做好行业挥发性有机物治理（如建筑外墙涂装、钢结构等鼓励使用水性漆替代油性漆；建筑施工、室外构筑物防护和道路交通标识等其他涂装作业，推广使用水性、高固体分、无溶剂、粉末等涂料和水基、本体型等低VOCs含量胶粘剂）的保证措施；</w:t>
            </w:r>
            <w:bookmarkEnd w:id="37"/>
          </w:p>
          <w:p w14:paraId="2090F78E">
            <w:pPr>
              <w:keepNext w:val="0"/>
              <w:keepLines w:val="0"/>
              <w:widowControl/>
              <w:suppressLineNumbers w:val="0"/>
              <w:adjustRightInd w:val="0"/>
              <w:spacing w:before="0" w:beforeAutospacing="0" w:after="0" w:afterAutospacing="0" w:line="360" w:lineRule="auto"/>
              <w:ind w:left="405" w:right="0"/>
              <w:jc w:val="left"/>
              <w:rPr>
                <w:rFonts w:hint="default" w:ascii="Times New Roman" w:hAnsi="Times New Roman" w:cs="Times New Roman"/>
                <w:kern w:val="0"/>
                <w:szCs w:val="21"/>
                <w:lang w:eastAsia="en-US"/>
              </w:rPr>
            </w:pPr>
            <w:bookmarkStart w:id="39" w:name="_Toc497235613"/>
            <w:r>
              <w:rPr>
                <w:rFonts w:hint="default" w:ascii="Times New Roman" w:hAnsi="Times New Roman" w:cs="Times New Roman"/>
                <w:kern w:val="0"/>
                <w:szCs w:val="21"/>
                <w:lang w:eastAsia="en-US"/>
              </w:rPr>
              <w:t>（14）完工后场地清理及其植被（如果有）恢复的规划和措施；</w:t>
            </w:r>
            <w:bookmarkEnd w:id="38"/>
            <w:bookmarkEnd w:id="39"/>
          </w:p>
          <w:p w14:paraId="5DC5D24D">
            <w:pPr>
              <w:keepNext w:val="0"/>
              <w:keepLines w:val="0"/>
              <w:widowControl/>
              <w:suppressLineNumbers w:val="0"/>
              <w:adjustRightInd w:val="0"/>
              <w:spacing w:before="0" w:beforeAutospacing="0" w:after="0" w:afterAutospacing="0" w:line="360" w:lineRule="auto"/>
              <w:ind w:left="405" w:right="0"/>
              <w:jc w:val="left"/>
              <w:rPr>
                <w:rFonts w:hint="default" w:ascii="Times New Roman" w:hAnsi="Times New Roman" w:cs="Times New Roman" w:eastAsiaTheme="minorEastAsia"/>
                <w:kern w:val="0"/>
                <w:szCs w:val="21"/>
                <w:lang w:val="en-US" w:eastAsia="zh-CN"/>
              </w:rPr>
            </w:pPr>
            <w:r>
              <w:rPr>
                <w:rFonts w:hint="default" w:ascii="Times New Roman" w:hAnsi="Times New Roman" w:cs="Times New Roman"/>
                <w:kern w:val="0"/>
                <w:szCs w:val="21"/>
                <w:lang w:eastAsia="en-US"/>
              </w:rPr>
              <w:t>（15）其他：</w:t>
            </w:r>
            <w:r>
              <w:rPr>
                <w:rFonts w:hint="default" w:ascii="Times New Roman" w:hAnsi="Times New Roman" w:cs="Times New Roman"/>
                <w:kern w:val="0"/>
                <w:szCs w:val="21"/>
                <w:u w:val="single"/>
                <w:lang w:val="en-US" w:eastAsia="zh-CN"/>
              </w:rPr>
              <w:t xml:space="preserve">                /                     </w:t>
            </w:r>
          </w:p>
        </w:tc>
      </w:tr>
      <w:tr w14:paraId="431379CF">
        <w:tblPrEx>
          <w:tblCellMar>
            <w:top w:w="0" w:type="dxa"/>
            <w:left w:w="108" w:type="dxa"/>
            <w:bottom w:w="0" w:type="dxa"/>
            <w:right w:w="108" w:type="dxa"/>
          </w:tblCellMar>
        </w:tblPrEx>
        <w:tc>
          <w:tcPr>
            <w:tcW w:w="701" w:type="pct"/>
            <w:gridSpan w:val="2"/>
          </w:tcPr>
          <w:p w14:paraId="6BD6356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6.9.2</w:t>
            </w:r>
          </w:p>
        </w:tc>
        <w:tc>
          <w:tcPr>
            <w:tcW w:w="4298" w:type="pct"/>
          </w:tcPr>
          <w:p w14:paraId="13225AC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施工环保措施计划应当在专用合同条款第9.4款约定的期限内报送监理人。承包人应当严格执行经监理人批准的施工环保措施计划，并及时补充、修订和完善施工环保措施计划。</w:t>
            </w:r>
          </w:p>
        </w:tc>
      </w:tr>
      <w:tr w14:paraId="0F84E30B">
        <w:tblPrEx>
          <w:tblCellMar>
            <w:top w:w="0" w:type="dxa"/>
            <w:left w:w="108" w:type="dxa"/>
            <w:bottom w:w="0" w:type="dxa"/>
            <w:right w:w="108" w:type="dxa"/>
          </w:tblCellMar>
        </w:tblPrEx>
        <w:tc>
          <w:tcPr>
            <w:tcW w:w="701" w:type="pct"/>
            <w:gridSpan w:val="2"/>
          </w:tcPr>
          <w:p w14:paraId="317B71C0">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b/>
                <w:kern w:val="0"/>
                <w:szCs w:val="21"/>
              </w:rPr>
            </w:pPr>
            <w:r>
              <w:rPr>
                <w:rFonts w:hint="default" w:ascii="Times New Roman" w:hAnsi="Times New Roman" w:cs="Times New Roman"/>
                <w:b/>
                <w:kern w:val="0"/>
                <w:szCs w:val="21"/>
              </w:rPr>
              <w:t>6.10</w:t>
            </w:r>
          </w:p>
        </w:tc>
        <w:tc>
          <w:tcPr>
            <w:tcW w:w="4298" w:type="pct"/>
          </w:tcPr>
          <w:p w14:paraId="631DD750">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b/>
                <w:kern w:val="0"/>
                <w:szCs w:val="21"/>
              </w:rPr>
            </w:pPr>
            <w:r>
              <w:rPr>
                <w:rFonts w:hint="default" w:ascii="Times New Roman" w:hAnsi="Times New Roman" w:cs="Times New Roman"/>
                <w:b/>
                <w:kern w:val="0"/>
                <w:szCs w:val="21"/>
              </w:rPr>
              <w:t>施工现场安全生产标准化要求</w:t>
            </w:r>
          </w:p>
        </w:tc>
      </w:tr>
      <w:tr w14:paraId="635C34A6">
        <w:tblPrEx>
          <w:tblCellMar>
            <w:top w:w="0" w:type="dxa"/>
            <w:left w:w="108" w:type="dxa"/>
            <w:bottom w:w="0" w:type="dxa"/>
            <w:right w:w="108" w:type="dxa"/>
          </w:tblCellMar>
        </w:tblPrEx>
        <w:tc>
          <w:tcPr>
            <w:tcW w:w="701" w:type="pct"/>
            <w:gridSpan w:val="2"/>
          </w:tcPr>
          <w:p w14:paraId="4764865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bookmarkStart w:id="40" w:name="OLE_LINK182"/>
            <w:r>
              <w:rPr>
                <w:rFonts w:hint="default" w:ascii="Times New Roman" w:hAnsi="Times New Roman" w:cs="Times New Roman"/>
                <w:kern w:val="0"/>
                <w:szCs w:val="21"/>
              </w:rPr>
              <w:t>6.10.1</w:t>
            </w:r>
            <w:bookmarkEnd w:id="40"/>
          </w:p>
        </w:tc>
        <w:tc>
          <w:tcPr>
            <w:tcW w:w="4298" w:type="pct"/>
          </w:tcPr>
          <w:p w14:paraId="664872C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eastAsiaTheme="minorEastAsia"/>
                <w:kern w:val="0"/>
                <w:szCs w:val="21"/>
                <w:lang w:eastAsia="zh-CN"/>
              </w:rPr>
            </w:pPr>
            <w:r>
              <w:rPr>
                <w:rFonts w:hint="default" w:ascii="Times New Roman" w:hAnsi="Times New Roman" w:cs="Times New Roman"/>
                <w:kern w:val="0"/>
                <w:szCs w:val="21"/>
              </w:rPr>
              <w:t>施工现场安全生产标准化管理目标等级</w:t>
            </w:r>
            <w:r>
              <w:rPr>
                <w:rFonts w:hint="default" w:ascii="Times New Roman" w:hAnsi="Times New Roman" w:eastAsia="Times New Roman" w:cs="Times New Roman"/>
                <w:kern w:val="0"/>
                <w:szCs w:val="21"/>
                <w:u w:val="none"/>
                <w:lang w:eastAsia="en-US"/>
              </w:rPr>
              <w:t>：</w:t>
            </w:r>
            <w:r>
              <w:rPr>
                <w:rFonts w:hint="default" w:ascii="Times New Roman" w:hAnsi="Times New Roman" w:cs="Times New Roman"/>
                <w:kern w:val="0"/>
                <w:szCs w:val="21"/>
                <w:u w:val="single"/>
                <w:lang w:eastAsia="en-US"/>
              </w:rPr>
              <w:t>达标</w:t>
            </w:r>
            <w:r>
              <w:rPr>
                <w:rFonts w:hint="default" w:ascii="Times New Roman" w:hAnsi="Times New Roman" w:cs="Times New Roman"/>
                <w:kern w:val="0"/>
                <w:szCs w:val="21"/>
                <w:u w:val="single"/>
                <w:lang w:eastAsia="zh-CN"/>
              </w:rPr>
              <w:t>。</w:t>
            </w:r>
          </w:p>
        </w:tc>
      </w:tr>
      <w:tr w14:paraId="6C06EB3B">
        <w:tblPrEx>
          <w:tblCellMar>
            <w:top w:w="0" w:type="dxa"/>
            <w:left w:w="108" w:type="dxa"/>
            <w:bottom w:w="0" w:type="dxa"/>
            <w:right w:w="108" w:type="dxa"/>
          </w:tblCellMar>
        </w:tblPrEx>
        <w:tc>
          <w:tcPr>
            <w:tcW w:w="701" w:type="pct"/>
            <w:gridSpan w:val="2"/>
          </w:tcPr>
          <w:p w14:paraId="0A0B751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6.10.2</w:t>
            </w:r>
          </w:p>
        </w:tc>
        <w:tc>
          <w:tcPr>
            <w:tcW w:w="4298" w:type="pct"/>
          </w:tcPr>
          <w:p w14:paraId="257BA141">
            <w:pPr>
              <w:keepNext w:val="0"/>
              <w:keepLines w:val="0"/>
              <w:suppressLineNumbers w:val="0"/>
              <w:spacing w:before="0" w:beforeAutospacing="0" w:after="0" w:afterAutospacing="0" w:line="360" w:lineRule="auto"/>
              <w:ind w:left="0" w:right="0"/>
              <w:rPr>
                <w:rFonts w:hint="default" w:ascii="Times New Roman" w:hAnsi="Times New Roman" w:cs="Times New Roman"/>
                <w:szCs w:val="21"/>
              </w:rPr>
            </w:pPr>
            <w:r>
              <w:rPr>
                <w:rFonts w:hint="default" w:ascii="Times New Roman" w:hAnsi="Times New Roman" w:cs="Times New Roman"/>
                <w:kern w:val="0"/>
                <w:szCs w:val="21"/>
              </w:rPr>
              <w:t>承包人应当按照合同文件中对安全生产标准化的相关要求进行安全生产标准化管理。</w:t>
            </w:r>
          </w:p>
        </w:tc>
      </w:tr>
      <w:tr w14:paraId="75E85EF6">
        <w:tblPrEx>
          <w:tblCellMar>
            <w:top w:w="0" w:type="dxa"/>
            <w:left w:w="108" w:type="dxa"/>
            <w:bottom w:w="0" w:type="dxa"/>
            <w:right w:w="108" w:type="dxa"/>
          </w:tblCellMar>
        </w:tblPrEx>
        <w:tc>
          <w:tcPr>
            <w:tcW w:w="701" w:type="pct"/>
            <w:gridSpan w:val="2"/>
          </w:tcPr>
          <w:p w14:paraId="59E361A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6.10.3</w:t>
            </w:r>
          </w:p>
        </w:tc>
        <w:tc>
          <w:tcPr>
            <w:tcW w:w="4298" w:type="pct"/>
          </w:tcPr>
          <w:p w14:paraId="73324D4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color w:val="000000"/>
                <w:szCs w:val="21"/>
              </w:rPr>
            </w:pPr>
            <w:r>
              <w:rPr>
                <w:rFonts w:hint="default" w:ascii="Times New Roman" w:hAnsi="Times New Roman" w:cs="Times New Roman"/>
                <w:kern w:val="0"/>
                <w:szCs w:val="21"/>
              </w:rPr>
              <w:t>承包人应当依据本章6.10.1项中约定的施工现场安全生产标准化管理目标等级要求，按照现行施工现场安全生产标准化分级管理标准中对应目标等级要求进行施工现场安全生产标准化管理。</w:t>
            </w:r>
          </w:p>
        </w:tc>
      </w:tr>
      <w:tr w14:paraId="4010EDFC">
        <w:tblPrEx>
          <w:tblCellMar>
            <w:top w:w="0" w:type="dxa"/>
            <w:left w:w="108" w:type="dxa"/>
            <w:bottom w:w="0" w:type="dxa"/>
            <w:right w:w="108" w:type="dxa"/>
          </w:tblCellMar>
        </w:tblPrEx>
        <w:tc>
          <w:tcPr>
            <w:tcW w:w="701" w:type="pct"/>
            <w:gridSpan w:val="2"/>
          </w:tcPr>
          <w:p w14:paraId="4038E903">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6.10.4</w:t>
            </w:r>
          </w:p>
        </w:tc>
        <w:tc>
          <w:tcPr>
            <w:tcW w:w="4298" w:type="pct"/>
          </w:tcPr>
          <w:p w14:paraId="39852B9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color w:val="000000"/>
                <w:szCs w:val="21"/>
              </w:rPr>
            </w:pPr>
            <w:bookmarkStart w:id="41" w:name="_Hlk203644345"/>
            <w:r>
              <w:rPr>
                <w:rFonts w:hint="default" w:ascii="Times New Roman" w:hAnsi="Times New Roman" w:cs="Times New Roman"/>
                <w:kern w:val="0"/>
                <w:szCs w:val="21"/>
              </w:rPr>
              <w:t>承包人应严格遵守爱国卫生运动和卫生防疫的相关规定。按照相关规定，编制生活区卫生管理制度、传染病管理制度，制定食物中毒、传染病等突发疾病应急预案；加强卫生防疫宣传教育，储备智能测温计、防护服、口罩、消毒用品等物资及必备急救药品；配备环境卫生消杀员，负责生活区卫生防疫、环境整治相关工作；施工现场作业人员应进行健康监测，不得带病上岗；生活区应保持清洁卫生，安排专人对宿舍、食堂、淋浴间、卫生间等重点场所定期开展通风和环境消毒作业，定期整治卫生环境，开展重点场所的病媒生物防治与消杀工作，配置灭鼠蚊、蝇、蟑螂等设施；张贴卫生防疫宣传标语、标识、标牌；重大突发公共卫生事件应急响应期间，应按照防疫部门要求做好防护；施工现场人员患有法定传染病或是病原携带者，应及时到医院就医治疗，直至恢复健康方可工作。</w:t>
            </w:r>
            <w:bookmarkEnd w:id="41"/>
          </w:p>
        </w:tc>
      </w:tr>
      <w:tr w14:paraId="62982D96">
        <w:tblPrEx>
          <w:tblCellMar>
            <w:top w:w="0" w:type="dxa"/>
            <w:left w:w="108" w:type="dxa"/>
            <w:bottom w:w="0" w:type="dxa"/>
            <w:right w:w="108" w:type="dxa"/>
          </w:tblCellMar>
        </w:tblPrEx>
        <w:tc>
          <w:tcPr>
            <w:tcW w:w="701" w:type="pct"/>
            <w:gridSpan w:val="2"/>
          </w:tcPr>
          <w:p w14:paraId="200ED98E">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6.10.5</w:t>
            </w:r>
          </w:p>
        </w:tc>
        <w:tc>
          <w:tcPr>
            <w:tcW w:w="4298" w:type="pct"/>
          </w:tcPr>
          <w:p w14:paraId="27279BE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特殊安全生产标准化要求应当与技术标准和要求专用部分约定的要求一致或高于技术标准和要求专用部分约定。</w:t>
            </w:r>
          </w:p>
          <w:p w14:paraId="0B2A16B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color w:val="000000"/>
                <w:szCs w:val="21"/>
              </w:rPr>
            </w:pPr>
            <w:r>
              <w:rPr>
                <w:rFonts w:hint="default" w:ascii="Times New Roman" w:hAnsi="Times New Roman" w:cs="Times New Roman"/>
                <w:kern w:val="0"/>
                <w:szCs w:val="21"/>
              </w:rPr>
              <w:t>特殊安全生产标准化措施要求为：</w:t>
            </w:r>
            <w:r>
              <w:rPr>
                <w:rFonts w:hint="default" w:ascii="Times New Roman" w:hAnsi="Times New Roman" w:eastAsia="Times New Roman" w:cs="Times New Roman"/>
                <w:kern w:val="0"/>
                <w:szCs w:val="21"/>
                <w:u w:val="single"/>
                <w:lang w:eastAsia="en-US"/>
              </w:rPr>
              <w:t xml:space="preserve">     </w:t>
            </w:r>
            <w:r>
              <w:rPr>
                <w:rFonts w:hint="default" w:ascii="Times New Roman" w:hAnsi="Times New Roman" w:eastAsia="宋体" w:cs="Times New Roman"/>
                <w:kern w:val="0"/>
                <w:szCs w:val="21"/>
                <w:u w:val="single"/>
                <w:lang w:val="en-US" w:eastAsia="zh-CN"/>
              </w:rPr>
              <w:t>/</w:t>
            </w:r>
            <w:r>
              <w:rPr>
                <w:rFonts w:hint="default" w:ascii="Times New Roman" w:hAnsi="Times New Roman" w:eastAsia="Times New Roman" w:cs="Times New Roman"/>
                <w:kern w:val="0"/>
                <w:szCs w:val="21"/>
                <w:u w:val="single"/>
                <w:lang w:eastAsia="en-US"/>
              </w:rPr>
              <w:t xml:space="preserve">         </w:t>
            </w:r>
          </w:p>
        </w:tc>
      </w:tr>
      <w:tr w14:paraId="21369680">
        <w:tblPrEx>
          <w:tblCellMar>
            <w:top w:w="0" w:type="dxa"/>
            <w:left w:w="108" w:type="dxa"/>
            <w:bottom w:w="0" w:type="dxa"/>
            <w:right w:w="108" w:type="dxa"/>
          </w:tblCellMar>
        </w:tblPrEx>
        <w:tc>
          <w:tcPr>
            <w:tcW w:w="5000" w:type="pct"/>
            <w:gridSpan w:val="3"/>
          </w:tcPr>
          <w:p w14:paraId="71970146">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bookmarkStart w:id="42" w:name="_Toc429569606"/>
            <w:bookmarkStart w:id="43" w:name="_Toc453744828"/>
            <w:r>
              <w:rPr>
                <w:rFonts w:hint="default" w:ascii="Times New Roman" w:hAnsi="Times New Roman" w:cs="Times New Roman"/>
                <w:b/>
                <w:bCs/>
                <w:kern w:val="0"/>
                <w:szCs w:val="21"/>
                <w:lang w:eastAsia="en-US"/>
              </w:rPr>
              <w:t>7. 治安保卫</w:t>
            </w:r>
            <w:bookmarkEnd w:id="42"/>
            <w:bookmarkEnd w:id="43"/>
          </w:p>
        </w:tc>
      </w:tr>
      <w:tr w14:paraId="482228E5">
        <w:tblPrEx>
          <w:tblCellMar>
            <w:top w:w="0" w:type="dxa"/>
            <w:left w:w="108" w:type="dxa"/>
            <w:bottom w:w="0" w:type="dxa"/>
            <w:right w:w="108" w:type="dxa"/>
          </w:tblCellMar>
        </w:tblPrEx>
        <w:tc>
          <w:tcPr>
            <w:tcW w:w="701" w:type="pct"/>
            <w:gridSpan w:val="2"/>
          </w:tcPr>
          <w:p w14:paraId="4507853E">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7.1</w:t>
            </w:r>
          </w:p>
        </w:tc>
        <w:tc>
          <w:tcPr>
            <w:tcW w:w="4298" w:type="pct"/>
          </w:tcPr>
          <w:p w14:paraId="60A1303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为施工场地提供24小时的保安保卫服务，配备足够的保安人员和保安设备，防止未经批准的任何人进入现场，控制人员、材料和设备等的进出场，防止现场材料、设备或其他任何物品的失窃，禁止任何现场内的打架斗殴事件。</w:t>
            </w:r>
          </w:p>
        </w:tc>
      </w:tr>
      <w:tr w14:paraId="30E7D21A">
        <w:tblPrEx>
          <w:tblCellMar>
            <w:top w:w="0" w:type="dxa"/>
            <w:left w:w="108" w:type="dxa"/>
            <w:bottom w:w="0" w:type="dxa"/>
            <w:right w:w="108" w:type="dxa"/>
          </w:tblCellMar>
        </w:tblPrEx>
        <w:tc>
          <w:tcPr>
            <w:tcW w:w="701" w:type="pct"/>
            <w:gridSpan w:val="2"/>
          </w:tcPr>
          <w:p w14:paraId="110F2F4E">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7.2</w:t>
            </w:r>
          </w:p>
        </w:tc>
        <w:tc>
          <w:tcPr>
            <w:tcW w:w="4298" w:type="pct"/>
          </w:tcPr>
          <w:p w14:paraId="2068563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的保安人员应是训练有素的专业保安人员，承包人可以雇佣专业保安公司负责现场保安和保卫；保安保卫制度除规范现场出入大门控制外，还应规定定时和不定时的施工场地(现场)周边和全现场的保安巡逻。</w:t>
            </w:r>
          </w:p>
        </w:tc>
      </w:tr>
      <w:tr w14:paraId="25E2054E">
        <w:tblPrEx>
          <w:tblCellMar>
            <w:top w:w="0" w:type="dxa"/>
            <w:left w:w="108" w:type="dxa"/>
            <w:bottom w:w="0" w:type="dxa"/>
            <w:right w:w="108" w:type="dxa"/>
          </w:tblCellMar>
        </w:tblPrEx>
        <w:tc>
          <w:tcPr>
            <w:tcW w:w="701" w:type="pct"/>
            <w:gridSpan w:val="2"/>
          </w:tcPr>
          <w:p w14:paraId="35D1771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7.3</w:t>
            </w:r>
          </w:p>
        </w:tc>
        <w:tc>
          <w:tcPr>
            <w:tcW w:w="4298" w:type="pct"/>
          </w:tcPr>
          <w:p w14:paraId="34C8B14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承包人应制定并实施严格的施工场地（现场）出入制度并报监理人审批；车辆的出入须有出入审批制度，并有指定的专人负责管理；人员进出现场应有出入证，出入证须以经过监理人批准的格式印制。</w:t>
            </w:r>
          </w:p>
        </w:tc>
      </w:tr>
      <w:tr w14:paraId="055F52C8">
        <w:tblPrEx>
          <w:tblCellMar>
            <w:top w:w="0" w:type="dxa"/>
            <w:left w:w="108" w:type="dxa"/>
            <w:bottom w:w="0" w:type="dxa"/>
            <w:right w:w="108" w:type="dxa"/>
          </w:tblCellMar>
        </w:tblPrEx>
        <w:tc>
          <w:tcPr>
            <w:tcW w:w="701" w:type="pct"/>
            <w:gridSpan w:val="2"/>
          </w:tcPr>
          <w:p w14:paraId="6D41DE6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7.4</w:t>
            </w:r>
          </w:p>
        </w:tc>
        <w:tc>
          <w:tcPr>
            <w:tcW w:w="4298" w:type="pct"/>
          </w:tcPr>
          <w:p w14:paraId="14E32FD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确保任何未经监理人同意的参观人员进入现场；承包人应准备足够数量的专门用于参观人员的安全帽并带明显标志，承包人同时应准备一个参观人员登记簿用于记录所有参观现场人员的姓名、参观目的和参观时间等内容；承包人应确保每个参观现场的人员了解和遵守现场的安全管理规章制度，佩带安全帽，确保所有经发包人和监理人批准的参观人员的人身安全。</w:t>
            </w:r>
          </w:p>
        </w:tc>
      </w:tr>
      <w:tr w14:paraId="4D86B342">
        <w:tblPrEx>
          <w:tblCellMar>
            <w:top w:w="0" w:type="dxa"/>
            <w:left w:w="108" w:type="dxa"/>
            <w:bottom w:w="0" w:type="dxa"/>
            <w:right w:w="108" w:type="dxa"/>
          </w:tblCellMar>
        </w:tblPrEx>
        <w:tc>
          <w:tcPr>
            <w:tcW w:w="701" w:type="pct"/>
            <w:gridSpan w:val="2"/>
          </w:tcPr>
          <w:p w14:paraId="37A63AB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7.5</w:t>
            </w:r>
          </w:p>
        </w:tc>
        <w:tc>
          <w:tcPr>
            <w:tcW w:w="4298" w:type="pct"/>
          </w:tcPr>
          <w:p w14:paraId="38BDD8EE">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为施工场地（现场）提供和维护符合建设行政主管部门和市容管理部门规定的临时围墙和其他安全维护，并在工程进度需要时，进行必要的改造。围墙和大门的表面维护应考虑定期的修补和重新刷漆，并应保证所有的乱涂乱画或招贴广告随时被清理。临时围墙和出入大门考虑必要的照明，照明系统要满足现场安全保卫和美观的要求。</w:t>
            </w:r>
          </w:p>
        </w:tc>
      </w:tr>
      <w:tr w14:paraId="201104A2">
        <w:tblPrEx>
          <w:tblCellMar>
            <w:top w:w="0" w:type="dxa"/>
            <w:left w:w="108" w:type="dxa"/>
            <w:bottom w:w="0" w:type="dxa"/>
            <w:right w:w="108" w:type="dxa"/>
          </w:tblCellMar>
        </w:tblPrEx>
        <w:tc>
          <w:tcPr>
            <w:tcW w:w="701" w:type="pct"/>
            <w:gridSpan w:val="2"/>
          </w:tcPr>
          <w:p w14:paraId="782659A0">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7.6</w:t>
            </w:r>
          </w:p>
        </w:tc>
        <w:tc>
          <w:tcPr>
            <w:tcW w:w="4298" w:type="pct"/>
          </w:tcPr>
          <w:p w14:paraId="314B770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当保证发包人支付的工程款项仅用于本合同目的，及时和足额地向所雇佣的人员支付劳动报酬，并制定严格的工人工资支付保障措施，确保所有分包人及时支付所雇佣工人的工资，有效防止影响社会安定的群体事件发生，并保障发包人免于因承包人（包括其分包人）拖欠工人工资而可能遭受的任何处罚、索赔、损失和损害等。</w:t>
            </w:r>
          </w:p>
        </w:tc>
      </w:tr>
      <w:tr w14:paraId="54485FA5">
        <w:tblPrEx>
          <w:tblCellMar>
            <w:top w:w="0" w:type="dxa"/>
            <w:left w:w="108" w:type="dxa"/>
            <w:bottom w:w="0" w:type="dxa"/>
            <w:right w:w="108" w:type="dxa"/>
          </w:tblCellMar>
        </w:tblPrEx>
        <w:tc>
          <w:tcPr>
            <w:tcW w:w="701" w:type="pct"/>
            <w:gridSpan w:val="2"/>
          </w:tcPr>
          <w:p w14:paraId="62FCA23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lang w:eastAsia="en-US"/>
              </w:rPr>
              <w:t>7.</w:t>
            </w:r>
            <w:r>
              <w:rPr>
                <w:rFonts w:hint="default" w:ascii="Times New Roman" w:hAnsi="Times New Roman" w:cs="Times New Roman"/>
                <w:kern w:val="0"/>
                <w:szCs w:val="21"/>
              </w:rPr>
              <w:t>7</w:t>
            </w:r>
          </w:p>
        </w:tc>
        <w:tc>
          <w:tcPr>
            <w:tcW w:w="4298" w:type="pct"/>
          </w:tcPr>
          <w:p w14:paraId="5DC0C6F5">
            <w:pPr>
              <w:keepNext w:val="0"/>
              <w:keepLines w:val="0"/>
              <w:widowControl/>
              <w:suppressLineNumbers w:val="0"/>
              <w:spacing w:before="0" w:beforeAutospacing="0" w:after="156" w:afterLines="50" w:afterAutospacing="0" w:line="360" w:lineRule="auto"/>
              <w:ind w:left="0" w:right="0"/>
              <w:jc w:val="left"/>
              <w:rPr>
                <w:rFonts w:hint="eastAsia" w:ascii="Times New Roman" w:hAnsi="Times New Roman" w:cs="Times New Roman" w:eastAsiaTheme="minorEastAsia"/>
                <w:kern w:val="0"/>
                <w:szCs w:val="21"/>
                <w:lang w:eastAsia="zh-CN"/>
              </w:rPr>
            </w:pPr>
            <w:r>
              <w:rPr>
                <w:rFonts w:hint="default" w:ascii="Times New Roman" w:hAnsi="Times New Roman" w:cs="Times New Roman"/>
                <w:kern w:val="0"/>
                <w:szCs w:val="21"/>
              </w:rPr>
              <w:t>突发治安事件紧急预案的要求：</w:t>
            </w:r>
            <w:r>
              <w:rPr>
                <w:rFonts w:hint="default" w:ascii="Times New Roman" w:hAnsi="Times New Roman" w:cs="Times New Roman"/>
                <w:kern w:val="0"/>
                <w:szCs w:val="21"/>
                <w:u w:val="single"/>
                <w:lang w:eastAsia="en-US"/>
              </w:rPr>
              <w:t>制定突发治安事件紧急预案,明确负责人，保证紧急事件发生时立即响应</w:t>
            </w:r>
            <w:r>
              <w:rPr>
                <w:rFonts w:hint="eastAsia" w:ascii="Times New Roman" w:hAnsi="Times New Roman" w:cs="Times New Roman"/>
                <w:kern w:val="0"/>
                <w:szCs w:val="21"/>
                <w:u w:val="single"/>
                <w:lang w:eastAsia="zh-CN"/>
              </w:rPr>
              <w:t>。</w:t>
            </w:r>
          </w:p>
        </w:tc>
      </w:tr>
      <w:tr w14:paraId="361A7218">
        <w:tblPrEx>
          <w:tblCellMar>
            <w:top w:w="0" w:type="dxa"/>
            <w:left w:w="108" w:type="dxa"/>
            <w:bottom w:w="0" w:type="dxa"/>
            <w:right w:w="108" w:type="dxa"/>
          </w:tblCellMar>
        </w:tblPrEx>
        <w:tc>
          <w:tcPr>
            <w:tcW w:w="701" w:type="pct"/>
            <w:gridSpan w:val="2"/>
          </w:tcPr>
          <w:p w14:paraId="40499BB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lang w:eastAsia="en-US"/>
              </w:rPr>
              <w:t>7.</w:t>
            </w:r>
            <w:r>
              <w:rPr>
                <w:rFonts w:hint="default" w:ascii="Times New Roman" w:hAnsi="Times New Roman" w:cs="Times New Roman"/>
                <w:kern w:val="0"/>
                <w:szCs w:val="21"/>
              </w:rPr>
              <w:t>8</w:t>
            </w:r>
          </w:p>
        </w:tc>
        <w:tc>
          <w:tcPr>
            <w:tcW w:w="4298" w:type="pct"/>
          </w:tcPr>
          <w:p w14:paraId="3AE2D3C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rPr>
              <w:t>治安保卫管理方面的其他要求如下：</w:t>
            </w:r>
            <w:r>
              <w:rPr>
                <w:rFonts w:hint="default" w:ascii="Times New Roman" w:hAnsi="Times New Roman" w:cs="Times New Roman"/>
                <w:kern w:val="0"/>
                <w:szCs w:val="21"/>
                <w:u w:val="single"/>
                <w:lang w:eastAsia="en-US"/>
              </w:rPr>
              <w:t>制定现场治安管理计划，确定治安保卫负责人。</w:t>
            </w:r>
          </w:p>
        </w:tc>
      </w:tr>
      <w:tr w14:paraId="6A8407CB">
        <w:tblPrEx>
          <w:tblCellMar>
            <w:top w:w="0" w:type="dxa"/>
            <w:left w:w="108" w:type="dxa"/>
            <w:bottom w:w="0" w:type="dxa"/>
            <w:right w:w="108" w:type="dxa"/>
          </w:tblCellMar>
        </w:tblPrEx>
        <w:tc>
          <w:tcPr>
            <w:tcW w:w="5000" w:type="pct"/>
            <w:gridSpan w:val="3"/>
          </w:tcPr>
          <w:p w14:paraId="5556D1F3">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rPr>
            </w:pPr>
            <w:bookmarkStart w:id="44" w:name="_Toc453744829"/>
            <w:bookmarkStart w:id="45" w:name="_Toc429569607"/>
            <w:r>
              <w:rPr>
                <w:rFonts w:hint="default" w:ascii="Times New Roman" w:hAnsi="Times New Roman" w:cs="Times New Roman"/>
                <w:b/>
                <w:bCs/>
                <w:kern w:val="0"/>
                <w:szCs w:val="21"/>
              </w:rPr>
              <w:t>8. 地上、地下设施和周边建筑物的临时保护</w:t>
            </w:r>
            <w:bookmarkEnd w:id="44"/>
            <w:bookmarkEnd w:id="45"/>
          </w:p>
        </w:tc>
      </w:tr>
      <w:tr w14:paraId="0DA4FCE4">
        <w:tblPrEx>
          <w:tblCellMar>
            <w:top w:w="0" w:type="dxa"/>
            <w:left w:w="108" w:type="dxa"/>
            <w:bottom w:w="0" w:type="dxa"/>
            <w:right w:w="108" w:type="dxa"/>
          </w:tblCellMar>
        </w:tblPrEx>
        <w:tc>
          <w:tcPr>
            <w:tcW w:w="701" w:type="pct"/>
            <w:gridSpan w:val="2"/>
          </w:tcPr>
          <w:p w14:paraId="0E375C23">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8.1</w:t>
            </w:r>
          </w:p>
        </w:tc>
        <w:tc>
          <w:tcPr>
            <w:tcW w:w="4298" w:type="pct"/>
          </w:tcPr>
          <w:p w14:paraId="1C3BF50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承包人应为施工场地及其周边现有的地上、地下设施和建筑物提供足够的临时保护设施，确保施工过程中这些设施和建筑物不会受到干扰和破坏。</w:t>
            </w:r>
          </w:p>
        </w:tc>
      </w:tr>
      <w:tr w14:paraId="4413FCF9">
        <w:tblPrEx>
          <w:tblCellMar>
            <w:top w:w="0" w:type="dxa"/>
            <w:left w:w="108" w:type="dxa"/>
            <w:bottom w:w="0" w:type="dxa"/>
            <w:right w:w="108" w:type="dxa"/>
          </w:tblCellMar>
        </w:tblPrEx>
        <w:tc>
          <w:tcPr>
            <w:tcW w:w="701" w:type="pct"/>
            <w:gridSpan w:val="2"/>
          </w:tcPr>
          <w:p w14:paraId="502E224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8.2</w:t>
            </w:r>
          </w:p>
        </w:tc>
        <w:tc>
          <w:tcPr>
            <w:tcW w:w="4298" w:type="pct"/>
          </w:tcPr>
          <w:p w14:paraId="56039123">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u w:val="single"/>
              </w:rPr>
            </w:pPr>
            <w:r>
              <w:rPr>
                <w:rFonts w:hint="default" w:ascii="Times New Roman" w:hAnsi="Times New Roman" w:cs="Times New Roman"/>
                <w:kern w:val="0"/>
                <w:szCs w:val="21"/>
              </w:rPr>
              <w:t>承包人应当制订现有设施临时保护方案和应急处理方案，并在本工程开工前至少提前7天报送监理人，监理人应在收到现有设施临时保护方案后的3天内批复承包人。承包人应当严格执行经监理人批准的保护方案，并保证在任何可能影响周边现有的地上、地下设施或周边建筑物的施工作业开始前，相应的临时保护设施能够落实到位。</w:t>
            </w:r>
          </w:p>
        </w:tc>
      </w:tr>
      <w:tr w14:paraId="77FCB591">
        <w:tblPrEx>
          <w:tblCellMar>
            <w:top w:w="0" w:type="dxa"/>
            <w:left w:w="108" w:type="dxa"/>
            <w:bottom w:w="0" w:type="dxa"/>
            <w:right w:w="108" w:type="dxa"/>
          </w:tblCellMar>
        </w:tblPrEx>
        <w:tc>
          <w:tcPr>
            <w:tcW w:w="701" w:type="pct"/>
            <w:gridSpan w:val="2"/>
          </w:tcPr>
          <w:p w14:paraId="3484D164">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8.3</w:t>
            </w:r>
          </w:p>
        </w:tc>
        <w:tc>
          <w:tcPr>
            <w:tcW w:w="4298" w:type="pct"/>
          </w:tcPr>
          <w:p w14:paraId="43F8D1A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发包人特别提醒承包人注意以下地上、地下设施和周边建筑物的保护：</w:t>
            </w:r>
          </w:p>
          <w:p w14:paraId="67C3B68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val="en-US" w:eastAsia="zh-CN"/>
              </w:rPr>
            </w:pPr>
            <w:r>
              <w:rPr>
                <w:rFonts w:hint="eastAsia" w:ascii="Times New Roman" w:hAnsi="Times New Roman" w:cs="Times New Roman"/>
                <w:kern w:val="0"/>
                <w:szCs w:val="21"/>
                <w:u w:val="single"/>
                <w:lang w:val="en-US" w:eastAsia="zh-CN"/>
              </w:rPr>
              <w:t xml:space="preserve">         /          </w:t>
            </w:r>
          </w:p>
        </w:tc>
      </w:tr>
      <w:tr w14:paraId="5ED312C0">
        <w:tblPrEx>
          <w:tblCellMar>
            <w:top w:w="0" w:type="dxa"/>
            <w:left w:w="108" w:type="dxa"/>
            <w:bottom w:w="0" w:type="dxa"/>
            <w:right w:w="108" w:type="dxa"/>
          </w:tblCellMar>
        </w:tblPrEx>
        <w:tc>
          <w:tcPr>
            <w:tcW w:w="701" w:type="pct"/>
            <w:gridSpan w:val="2"/>
          </w:tcPr>
          <w:p w14:paraId="0420F50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8.4</w:t>
            </w:r>
          </w:p>
        </w:tc>
        <w:tc>
          <w:tcPr>
            <w:tcW w:w="4298" w:type="pct"/>
          </w:tcPr>
          <w:p w14:paraId="288ABC7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eastAsiaTheme="minorEastAsia"/>
                <w:kern w:val="0"/>
                <w:szCs w:val="21"/>
                <w:lang w:eastAsia="zh-CN"/>
              </w:rPr>
            </w:pPr>
            <w:r>
              <w:rPr>
                <w:rFonts w:hint="default" w:ascii="Times New Roman" w:hAnsi="Times New Roman" w:cs="Times New Roman"/>
                <w:kern w:val="0"/>
                <w:szCs w:val="21"/>
              </w:rPr>
              <w:t>地上、地下设施和周边建筑物的临时保护的其他要求如下</w:t>
            </w:r>
            <w:r>
              <w:rPr>
                <w:rFonts w:hint="eastAsia" w:ascii="Times New Roman" w:hAnsi="Times New Roman" w:cs="Times New Roman"/>
                <w:kern w:val="0"/>
                <w:szCs w:val="21"/>
                <w:lang w:eastAsia="zh-CN"/>
              </w:rPr>
              <w:t>：</w:t>
            </w:r>
            <w:r>
              <w:rPr>
                <w:rFonts w:hint="default" w:ascii="Times New Roman" w:hAnsi="Times New Roman" w:cs="Times New Roman"/>
                <w:kern w:val="0"/>
                <w:szCs w:val="21"/>
                <w:u w:val="single"/>
              </w:rPr>
              <w:t xml:space="preserve">       </w:t>
            </w:r>
            <w:r>
              <w:rPr>
                <w:rFonts w:hint="default" w:ascii="Times New Roman" w:hAnsi="Times New Roman" w:cs="Times New Roman"/>
                <w:kern w:val="0"/>
                <w:szCs w:val="21"/>
                <w:u w:val="single"/>
                <w:lang w:val="en-US" w:eastAsia="zh-CN"/>
              </w:rPr>
              <w:t>/</w:t>
            </w:r>
            <w:r>
              <w:rPr>
                <w:rFonts w:hint="default" w:ascii="Times New Roman" w:hAnsi="Times New Roman" w:cs="Times New Roman"/>
                <w:kern w:val="0"/>
                <w:szCs w:val="21"/>
                <w:u w:val="single"/>
              </w:rPr>
              <w:t xml:space="preserve">  </w:t>
            </w:r>
            <w:r>
              <w:rPr>
                <w:rFonts w:hint="eastAsia" w:ascii="Times New Roman" w:hAnsi="Times New Roman" w:cs="Times New Roman"/>
                <w:kern w:val="0"/>
                <w:szCs w:val="21"/>
                <w:u w:val="single"/>
                <w:lang w:val="en-US" w:eastAsia="zh-CN"/>
              </w:rPr>
              <w:t xml:space="preserve">   </w:t>
            </w:r>
            <w:r>
              <w:rPr>
                <w:rFonts w:hint="default" w:ascii="Times New Roman" w:hAnsi="Times New Roman" w:cs="Times New Roman"/>
                <w:kern w:val="0"/>
                <w:szCs w:val="21"/>
                <w:u w:val="single"/>
              </w:rPr>
              <w:t xml:space="preserve">  </w:t>
            </w:r>
          </w:p>
        </w:tc>
      </w:tr>
      <w:tr w14:paraId="5AC1F106">
        <w:tblPrEx>
          <w:tblCellMar>
            <w:top w:w="0" w:type="dxa"/>
            <w:left w:w="108" w:type="dxa"/>
            <w:bottom w:w="0" w:type="dxa"/>
            <w:right w:w="108" w:type="dxa"/>
          </w:tblCellMar>
        </w:tblPrEx>
        <w:tc>
          <w:tcPr>
            <w:tcW w:w="5000" w:type="pct"/>
            <w:gridSpan w:val="3"/>
          </w:tcPr>
          <w:p w14:paraId="11172B5C">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bookmarkStart w:id="46" w:name="_Toc429569608"/>
            <w:bookmarkStart w:id="47" w:name="_Toc453744830"/>
            <w:r>
              <w:rPr>
                <w:rFonts w:hint="default" w:ascii="Times New Roman" w:hAnsi="Times New Roman" w:cs="Times New Roman"/>
                <w:b/>
                <w:bCs/>
                <w:kern w:val="0"/>
                <w:szCs w:val="21"/>
                <w:lang w:eastAsia="en-US"/>
              </w:rPr>
              <w:t>9. 样品和材料代换</w:t>
            </w:r>
            <w:bookmarkEnd w:id="46"/>
            <w:bookmarkEnd w:id="47"/>
          </w:p>
        </w:tc>
      </w:tr>
      <w:tr w14:paraId="0F2504A1">
        <w:tblPrEx>
          <w:tblCellMar>
            <w:top w:w="0" w:type="dxa"/>
            <w:left w:w="108" w:type="dxa"/>
            <w:bottom w:w="0" w:type="dxa"/>
            <w:right w:w="108" w:type="dxa"/>
          </w:tblCellMar>
        </w:tblPrEx>
        <w:tc>
          <w:tcPr>
            <w:tcW w:w="701" w:type="pct"/>
            <w:gridSpan w:val="2"/>
          </w:tcPr>
          <w:p w14:paraId="01D4727A">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9.1</w:t>
            </w:r>
          </w:p>
        </w:tc>
        <w:tc>
          <w:tcPr>
            <w:tcW w:w="4298" w:type="pct"/>
          </w:tcPr>
          <w:p w14:paraId="0240BB9C">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样品</w:t>
            </w:r>
          </w:p>
        </w:tc>
      </w:tr>
      <w:tr w14:paraId="055E0304">
        <w:tblPrEx>
          <w:tblCellMar>
            <w:top w:w="0" w:type="dxa"/>
            <w:left w:w="108" w:type="dxa"/>
            <w:bottom w:w="0" w:type="dxa"/>
            <w:right w:w="108" w:type="dxa"/>
          </w:tblCellMar>
        </w:tblPrEx>
        <w:tc>
          <w:tcPr>
            <w:tcW w:w="701" w:type="pct"/>
            <w:gridSpan w:val="2"/>
          </w:tcPr>
          <w:p w14:paraId="40B88B6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9.1.1</w:t>
            </w:r>
          </w:p>
        </w:tc>
        <w:tc>
          <w:tcPr>
            <w:tcW w:w="4298" w:type="pct"/>
          </w:tcPr>
          <w:p w14:paraId="75D8D03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eastAsiaTheme="minorEastAsia"/>
                <w:kern w:val="0"/>
                <w:szCs w:val="21"/>
                <w:lang w:val="en-US" w:eastAsia="zh-CN"/>
              </w:rPr>
            </w:pPr>
            <w:r>
              <w:rPr>
                <w:rFonts w:hint="default" w:ascii="Times New Roman" w:hAnsi="Times New Roman" w:cs="Times New Roman"/>
                <w:kern w:val="0"/>
                <w:szCs w:val="21"/>
              </w:rPr>
              <w:t>本工程需要承包人提供样品的材料如下：</w:t>
            </w:r>
            <w:r>
              <w:rPr>
                <w:rFonts w:hint="eastAsia" w:ascii="Times New Roman" w:hAnsi="Times New Roman" w:cs="Times New Roman"/>
                <w:kern w:val="0"/>
                <w:szCs w:val="21"/>
                <w:u w:val="single"/>
                <w:lang w:val="en-US" w:eastAsia="zh-CN"/>
              </w:rPr>
              <w:t>无。</w:t>
            </w:r>
          </w:p>
        </w:tc>
      </w:tr>
      <w:tr w14:paraId="7847BA44">
        <w:tblPrEx>
          <w:tblCellMar>
            <w:top w:w="0" w:type="dxa"/>
            <w:left w:w="108" w:type="dxa"/>
            <w:bottom w:w="0" w:type="dxa"/>
            <w:right w:w="108" w:type="dxa"/>
          </w:tblCellMar>
        </w:tblPrEx>
        <w:tc>
          <w:tcPr>
            <w:tcW w:w="701" w:type="pct"/>
            <w:gridSpan w:val="2"/>
          </w:tcPr>
          <w:p w14:paraId="3AF94F3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9.1.2</w:t>
            </w:r>
          </w:p>
        </w:tc>
        <w:tc>
          <w:tcPr>
            <w:tcW w:w="4298" w:type="pct"/>
          </w:tcPr>
          <w:p w14:paraId="109AA29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rPr>
              <w:t>对于本款第9.1.1项约定的材料，承包人应按照合同条款第5.1.2项约定的期限，向监理人提交样品并附上任何必要的说明书、生产（制造）许可证书、出厂合格证明或者证书、出厂检测报告、性能介绍、使用说明等相关资料，同时注明材料的供货人及品种、规格、数量和供货时间等，以供检验和审批。样品送达的地点和样品的数量或尺寸应符合监理人和发包人的要求。除合同另有约定外，承包人在报送任何样品时应按监理人同意的格式填写并递交样品报送单。监理人应及时签收样品。</w:t>
            </w:r>
          </w:p>
        </w:tc>
      </w:tr>
      <w:tr w14:paraId="46268180">
        <w:tblPrEx>
          <w:tblCellMar>
            <w:top w:w="0" w:type="dxa"/>
            <w:left w:w="108" w:type="dxa"/>
            <w:bottom w:w="0" w:type="dxa"/>
            <w:right w:w="108" w:type="dxa"/>
          </w:tblCellMar>
        </w:tblPrEx>
        <w:tc>
          <w:tcPr>
            <w:tcW w:w="701" w:type="pct"/>
            <w:gridSpan w:val="2"/>
          </w:tcPr>
          <w:p w14:paraId="0F2AF92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9.1.3</w:t>
            </w:r>
          </w:p>
        </w:tc>
        <w:tc>
          <w:tcPr>
            <w:tcW w:w="4298" w:type="pct"/>
          </w:tcPr>
          <w:p w14:paraId="7D6806C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合同条款第15.8.2项约定的依法不需要招标的、以暂估价形式包括在工程量清单中的材料，所附资料除本款第9.1.2项约定的内容外，还应附上价格资料，每一类材料，至少应准备符合合同要求的三个产品，价格分高、中、低三档，以便监理人和发包人选择和批准。</w:t>
            </w:r>
          </w:p>
        </w:tc>
      </w:tr>
      <w:tr w14:paraId="6CF5634C">
        <w:tblPrEx>
          <w:tblCellMar>
            <w:top w:w="0" w:type="dxa"/>
            <w:left w:w="108" w:type="dxa"/>
            <w:bottom w:w="0" w:type="dxa"/>
            <w:right w:w="108" w:type="dxa"/>
          </w:tblCellMar>
        </w:tblPrEx>
        <w:tc>
          <w:tcPr>
            <w:tcW w:w="701" w:type="pct"/>
            <w:gridSpan w:val="2"/>
          </w:tcPr>
          <w:p w14:paraId="5DC432D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9.1.4</w:t>
            </w:r>
          </w:p>
        </w:tc>
        <w:tc>
          <w:tcPr>
            <w:tcW w:w="4298" w:type="pct"/>
          </w:tcPr>
          <w:p w14:paraId="034B364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监理人应在收到承包人报送的样品后7天内转呈发包人并附上监理人的书面审批意见。发包人在收到通过监理人转交的样品以及监理人的审批意见后7天内就此样品给出书面批复。监理人应在收到样品后21天内通知承包人他相关样品所做出的决定或指示（同时抄送一份给发包人）。承包人应根据监理人的书面批复和指示相应地进行下一步工作。如果监理人未能在承包人报送样品后21天内给出书面批复，承包人应就此通知监理人，要求尽快批复。如果发包人在收到此类通知后7天内仍未对样品进行批复，则视为监理人和发包人已经批准。</w:t>
            </w:r>
          </w:p>
        </w:tc>
      </w:tr>
      <w:tr w14:paraId="5020715D">
        <w:tblPrEx>
          <w:tblCellMar>
            <w:top w:w="0" w:type="dxa"/>
            <w:left w:w="108" w:type="dxa"/>
            <w:bottom w:w="0" w:type="dxa"/>
            <w:right w:w="108" w:type="dxa"/>
          </w:tblCellMar>
        </w:tblPrEx>
        <w:tc>
          <w:tcPr>
            <w:tcW w:w="701" w:type="pct"/>
            <w:gridSpan w:val="2"/>
          </w:tcPr>
          <w:p w14:paraId="2A68B184">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9.1.5</w:t>
            </w:r>
          </w:p>
        </w:tc>
        <w:tc>
          <w:tcPr>
            <w:tcW w:w="4298" w:type="pct"/>
          </w:tcPr>
          <w:p w14:paraId="16AE47B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得到批准后的样品由监理人负责存放。但承包人应为保存样品提供适当和固定的场所并保持适当和良好的环境条件。</w:t>
            </w:r>
          </w:p>
        </w:tc>
      </w:tr>
      <w:tr w14:paraId="015DB6EC">
        <w:tblPrEx>
          <w:tblCellMar>
            <w:top w:w="0" w:type="dxa"/>
            <w:left w:w="108" w:type="dxa"/>
            <w:bottom w:w="0" w:type="dxa"/>
            <w:right w:w="108" w:type="dxa"/>
          </w:tblCellMar>
        </w:tblPrEx>
        <w:tc>
          <w:tcPr>
            <w:tcW w:w="701" w:type="pct"/>
            <w:gridSpan w:val="2"/>
          </w:tcPr>
          <w:p w14:paraId="11571DB4">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9.1.6</w:t>
            </w:r>
          </w:p>
        </w:tc>
        <w:tc>
          <w:tcPr>
            <w:tcW w:w="4298" w:type="pct"/>
          </w:tcPr>
          <w:p w14:paraId="2C83D1A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提供样品和提供存放样品场所的费用由承包人承担。</w:t>
            </w:r>
          </w:p>
        </w:tc>
      </w:tr>
      <w:tr w14:paraId="778F9692">
        <w:tblPrEx>
          <w:tblCellMar>
            <w:top w:w="0" w:type="dxa"/>
            <w:left w:w="108" w:type="dxa"/>
            <w:bottom w:w="0" w:type="dxa"/>
            <w:right w:w="108" w:type="dxa"/>
          </w:tblCellMar>
        </w:tblPrEx>
        <w:tc>
          <w:tcPr>
            <w:tcW w:w="701" w:type="pct"/>
            <w:gridSpan w:val="2"/>
          </w:tcPr>
          <w:p w14:paraId="726E449C">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9.2</w:t>
            </w:r>
          </w:p>
        </w:tc>
        <w:tc>
          <w:tcPr>
            <w:tcW w:w="4298" w:type="pct"/>
          </w:tcPr>
          <w:p w14:paraId="5F5A2E50">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材料代换</w:t>
            </w:r>
          </w:p>
        </w:tc>
      </w:tr>
      <w:tr w14:paraId="3E840BA0">
        <w:tblPrEx>
          <w:tblCellMar>
            <w:top w:w="0" w:type="dxa"/>
            <w:left w:w="108" w:type="dxa"/>
            <w:bottom w:w="0" w:type="dxa"/>
            <w:right w:w="108" w:type="dxa"/>
          </w:tblCellMar>
        </w:tblPrEx>
        <w:tc>
          <w:tcPr>
            <w:tcW w:w="701" w:type="pct"/>
            <w:gridSpan w:val="2"/>
          </w:tcPr>
          <w:p w14:paraId="14B163E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9.2.1</w:t>
            </w:r>
          </w:p>
        </w:tc>
        <w:tc>
          <w:tcPr>
            <w:tcW w:w="4298" w:type="pct"/>
          </w:tcPr>
          <w:p w14:paraId="2AA1822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如果任何后继法律、法规、规章、规范、标准和规程等禁止使用合同中约定的材料，承包人应当按本款约定的程序使用其他替代品来实施工程或修补缺陷。监理人对使用替代品的批准以及承包人据此使用替代品不应减免合同约定的承包人的任何责任和义务。</w:t>
            </w:r>
          </w:p>
        </w:tc>
      </w:tr>
      <w:tr w14:paraId="6788A427">
        <w:tblPrEx>
          <w:tblCellMar>
            <w:top w:w="0" w:type="dxa"/>
            <w:left w:w="108" w:type="dxa"/>
            <w:bottom w:w="0" w:type="dxa"/>
            <w:right w:w="108" w:type="dxa"/>
          </w:tblCellMar>
        </w:tblPrEx>
        <w:trPr>
          <w:trHeight w:val="677" w:hRule="atLeast"/>
        </w:trPr>
        <w:tc>
          <w:tcPr>
            <w:tcW w:w="701" w:type="pct"/>
            <w:gridSpan w:val="2"/>
          </w:tcPr>
          <w:p w14:paraId="7EC09070">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9.2.2</w:t>
            </w:r>
          </w:p>
        </w:tc>
        <w:tc>
          <w:tcPr>
            <w:tcW w:w="4298" w:type="pct"/>
          </w:tcPr>
          <w:p w14:paraId="573B3793">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如果使用替代品，承包人应至少在被替代品按批准的进度计划用于永久工程前56天以书面形式通知监理人并随此通知提交下列文件：</w:t>
            </w:r>
          </w:p>
          <w:p w14:paraId="602ED9E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bookmarkStart w:id="48" w:name="_Toc497235641"/>
            <w:r>
              <w:rPr>
                <w:rFonts w:hint="default" w:ascii="Times New Roman" w:hAnsi="Times New Roman" w:cs="Times New Roman"/>
                <w:kern w:val="0"/>
                <w:szCs w:val="21"/>
              </w:rPr>
              <w:t>（1）拟被替代的合同约定的材料的名称、数量、规格、型号、品牌、性能、价格及其他任何详细资料；</w:t>
            </w:r>
            <w:bookmarkEnd w:id="48"/>
          </w:p>
          <w:p w14:paraId="5A08229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bookmarkStart w:id="49" w:name="_Toc497235642"/>
            <w:r>
              <w:rPr>
                <w:rFonts w:hint="default" w:ascii="Times New Roman" w:hAnsi="Times New Roman" w:cs="Times New Roman"/>
                <w:kern w:val="0"/>
                <w:szCs w:val="21"/>
              </w:rPr>
              <w:t>（2）拟采用的替代品的名称、数量、规格、型号、品牌、性能、价格及其他任何必要的详细资料；</w:t>
            </w:r>
            <w:bookmarkEnd w:id="49"/>
          </w:p>
          <w:p w14:paraId="0441F61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bookmarkStart w:id="50" w:name="_Toc497235643"/>
            <w:r>
              <w:rPr>
                <w:rFonts w:hint="default" w:ascii="Times New Roman" w:hAnsi="Times New Roman" w:cs="Times New Roman"/>
                <w:kern w:val="0"/>
                <w:szCs w:val="21"/>
              </w:rPr>
              <w:t>（3）替代品使用的工程部位；</w:t>
            </w:r>
            <w:bookmarkEnd w:id="50"/>
          </w:p>
          <w:p w14:paraId="4394D21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bookmarkStart w:id="51" w:name="_Toc497235644"/>
            <w:r>
              <w:rPr>
                <w:rFonts w:hint="default" w:ascii="Times New Roman" w:hAnsi="Times New Roman" w:cs="Times New Roman"/>
                <w:kern w:val="0"/>
                <w:szCs w:val="21"/>
              </w:rPr>
              <w:t>（4）采用替代品的理由和原因说明；</w:t>
            </w:r>
            <w:bookmarkEnd w:id="51"/>
          </w:p>
          <w:p w14:paraId="5CCAF97E">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bookmarkStart w:id="52" w:name="_Toc497235645"/>
            <w:r>
              <w:rPr>
                <w:rFonts w:hint="default" w:ascii="Times New Roman" w:hAnsi="Times New Roman" w:cs="Times New Roman"/>
                <w:kern w:val="0"/>
                <w:szCs w:val="21"/>
              </w:rPr>
              <w:t>（5）替代品与合同中约定的产品之间的差异以及使用替代品后可能对工程产生的任何影响；</w:t>
            </w:r>
            <w:bookmarkEnd w:id="52"/>
          </w:p>
          <w:p w14:paraId="1475BD8E">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bookmarkStart w:id="53" w:name="_Toc497235646"/>
            <w:r>
              <w:rPr>
                <w:rFonts w:hint="default" w:ascii="Times New Roman" w:hAnsi="Times New Roman" w:cs="Times New Roman"/>
                <w:kern w:val="0"/>
                <w:szCs w:val="21"/>
              </w:rPr>
              <w:t>（6）价格上的差异；</w:t>
            </w:r>
            <w:bookmarkEnd w:id="53"/>
          </w:p>
          <w:p w14:paraId="0284C02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bookmarkStart w:id="54" w:name="_Toc497235647"/>
            <w:r>
              <w:rPr>
                <w:rFonts w:hint="default" w:ascii="Times New Roman" w:hAnsi="Times New Roman" w:cs="Times New Roman"/>
                <w:kern w:val="0"/>
                <w:szCs w:val="21"/>
              </w:rPr>
              <w:t>（7）监理人为做出适当的决定而随时要求承包人提供的任何其他文件。</w:t>
            </w:r>
            <w:bookmarkEnd w:id="54"/>
          </w:p>
          <w:p w14:paraId="69263D36">
            <w:pPr>
              <w:keepNext w:val="0"/>
              <w:keepLines w:val="0"/>
              <w:widowControl/>
              <w:suppressLineNumbers w:val="0"/>
              <w:spacing w:before="0" w:beforeAutospacing="0" w:after="156" w:afterLines="50" w:afterAutospacing="0" w:line="360" w:lineRule="auto"/>
              <w:ind w:left="0" w:right="0" w:firstLine="420" w:firstLineChars="200"/>
              <w:jc w:val="left"/>
              <w:rPr>
                <w:rFonts w:hint="default" w:ascii="Times New Roman" w:hAnsi="Times New Roman" w:cs="Times New Roman"/>
                <w:kern w:val="0"/>
                <w:szCs w:val="21"/>
              </w:rPr>
            </w:pPr>
            <w:r>
              <w:rPr>
                <w:rFonts w:hint="default" w:ascii="Times New Roman" w:hAnsi="Times New Roman" w:cs="Times New Roman"/>
                <w:kern w:val="0"/>
                <w:szCs w:val="21"/>
              </w:rPr>
              <w:t>监理人在收到此类通知及上述文件后，应在28天内向承包人给出书面指示。如果28天内监理人未给出书面指示，应视为监理人和发包人已经批准使用上述替代品，承包人可以据此使用替代品。</w:t>
            </w:r>
          </w:p>
        </w:tc>
      </w:tr>
      <w:tr w14:paraId="2AFC265D">
        <w:tblPrEx>
          <w:tblCellMar>
            <w:top w:w="0" w:type="dxa"/>
            <w:left w:w="108" w:type="dxa"/>
            <w:bottom w:w="0" w:type="dxa"/>
            <w:right w:w="108" w:type="dxa"/>
          </w:tblCellMar>
        </w:tblPrEx>
        <w:trPr>
          <w:trHeight w:val="269" w:hRule="atLeast"/>
        </w:trPr>
        <w:tc>
          <w:tcPr>
            <w:tcW w:w="701" w:type="pct"/>
            <w:gridSpan w:val="2"/>
          </w:tcPr>
          <w:p w14:paraId="4ED8BB2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9.2.3</w:t>
            </w:r>
          </w:p>
        </w:tc>
        <w:tc>
          <w:tcPr>
            <w:tcW w:w="4298" w:type="pct"/>
          </w:tcPr>
          <w:p w14:paraId="3962ED6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任何情况下，替代品都应遵守本合同中对相关材料的要求。</w:t>
            </w:r>
          </w:p>
        </w:tc>
      </w:tr>
      <w:tr w14:paraId="6F326277">
        <w:tblPrEx>
          <w:tblCellMar>
            <w:top w:w="0" w:type="dxa"/>
            <w:left w:w="108" w:type="dxa"/>
            <w:bottom w:w="0" w:type="dxa"/>
            <w:right w:w="108" w:type="dxa"/>
          </w:tblCellMar>
        </w:tblPrEx>
        <w:tc>
          <w:tcPr>
            <w:tcW w:w="701" w:type="pct"/>
            <w:gridSpan w:val="2"/>
          </w:tcPr>
          <w:p w14:paraId="11CC947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9.2.4</w:t>
            </w:r>
          </w:p>
        </w:tc>
        <w:tc>
          <w:tcPr>
            <w:tcW w:w="4298" w:type="pct"/>
          </w:tcPr>
          <w:p w14:paraId="1FCE2988">
            <w:pPr>
              <w:keepNext w:val="0"/>
              <w:keepLines w:val="0"/>
              <w:suppressLineNumbers w:val="0"/>
              <w:spacing w:before="0" w:beforeAutospacing="0" w:after="0" w:afterAutospacing="0" w:line="360" w:lineRule="auto"/>
              <w:ind w:left="0" w:right="0"/>
              <w:rPr>
                <w:rFonts w:hint="default" w:ascii="Times New Roman" w:hAnsi="Times New Roman" w:cs="Times New Roman"/>
                <w:kern w:val="0"/>
                <w:szCs w:val="21"/>
              </w:rPr>
            </w:pPr>
            <w:r>
              <w:rPr>
                <w:rFonts w:hint="default" w:ascii="Times New Roman" w:hAnsi="Times New Roman" w:cs="Times New Roman"/>
                <w:kern w:val="0"/>
                <w:szCs w:val="21"/>
              </w:rPr>
              <w:t>如果承包人根据本条约定使用了替代品，监理人应与承包人适当协商之后并在合理的期限内确定替代材料与合同中约定的材料之间的价值差值，并决定：</w:t>
            </w:r>
          </w:p>
          <w:p w14:paraId="6E09A2B2">
            <w:pPr>
              <w:keepNext w:val="0"/>
              <w:keepLines w:val="0"/>
              <w:suppressLineNumbers w:val="0"/>
              <w:spacing w:before="0" w:beforeAutospacing="0" w:after="0" w:afterAutospacing="0" w:line="360" w:lineRule="auto"/>
              <w:ind w:left="0" w:right="0"/>
              <w:rPr>
                <w:rFonts w:hint="default" w:ascii="Times New Roman" w:hAnsi="Times New Roman" w:cs="Times New Roman"/>
                <w:kern w:val="0"/>
                <w:szCs w:val="21"/>
              </w:rPr>
            </w:pPr>
            <w:bookmarkStart w:id="55" w:name="_Toc497235651"/>
            <w:r>
              <w:rPr>
                <w:rFonts w:hint="default" w:ascii="Times New Roman" w:hAnsi="Times New Roman" w:cs="Times New Roman"/>
                <w:kern w:val="0"/>
                <w:szCs w:val="21"/>
              </w:rPr>
              <w:t>（1）如果替代材料的价值高于合同中约定的材料的价值，则将高出部分的价值追加到合同价格中并相应地通知承包人；</w:t>
            </w:r>
            <w:bookmarkEnd w:id="55"/>
          </w:p>
          <w:p w14:paraId="7917C228">
            <w:pPr>
              <w:keepNext w:val="0"/>
              <w:keepLines w:val="0"/>
              <w:suppressLineNumbers w:val="0"/>
              <w:spacing w:before="0" w:beforeAutospacing="0" w:after="0" w:afterAutospacing="0" w:line="360" w:lineRule="auto"/>
              <w:ind w:left="0" w:right="0"/>
              <w:rPr>
                <w:rFonts w:hint="default" w:ascii="Times New Roman" w:hAnsi="Times New Roman" w:cs="Times New Roman"/>
                <w:kern w:val="0"/>
                <w:szCs w:val="21"/>
              </w:rPr>
            </w:pPr>
            <w:bookmarkStart w:id="56" w:name="_Toc497235652"/>
            <w:r>
              <w:rPr>
                <w:rFonts w:hint="default" w:ascii="Times New Roman" w:hAnsi="Times New Roman" w:cs="Times New Roman"/>
                <w:kern w:val="0"/>
                <w:szCs w:val="21"/>
              </w:rPr>
              <w:t>（2）如果替代材料的价值低于合同中约定的材料的价值，则将节余部分的价值从合同价格中扣除并相应地通知承包人。</w:t>
            </w:r>
            <w:bookmarkEnd w:id="56"/>
          </w:p>
        </w:tc>
      </w:tr>
      <w:tr w14:paraId="2380D480">
        <w:tblPrEx>
          <w:tblCellMar>
            <w:top w:w="0" w:type="dxa"/>
            <w:left w:w="108" w:type="dxa"/>
            <w:bottom w:w="0" w:type="dxa"/>
            <w:right w:w="108" w:type="dxa"/>
          </w:tblCellMar>
        </w:tblPrEx>
        <w:tc>
          <w:tcPr>
            <w:tcW w:w="5000" w:type="pct"/>
            <w:gridSpan w:val="3"/>
          </w:tcPr>
          <w:p w14:paraId="3788786F">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rPr>
            </w:pPr>
            <w:bookmarkStart w:id="57" w:name="_Toc429569609"/>
            <w:bookmarkStart w:id="58" w:name="_Toc453744831"/>
            <w:r>
              <w:rPr>
                <w:rFonts w:hint="default" w:ascii="Times New Roman" w:hAnsi="Times New Roman" w:cs="Times New Roman"/>
                <w:b/>
                <w:bCs/>
                <w:kern w:val="0"/>
                <w:szCs w:val="21"/>
                <w:lang w:eastAsia="en-US"/>
              </w:rPr>
              <w:t xml:space="preserve">10. </w:t>
            </w:r>
            <w:r>
              <w:rPr>
                <w:rFonts w:hint="default" w:ascii="Times New Roman" w:hAnsi="Times New Roman" w:cs="Times New Roman"/>
                <w:b/>
                <w:bCs/>
                <w:kern w:val="0"/>
                <w:szCs w:val="21"/>
              </w:rPr>
              <w:t>特殊技术标准和要求</w:t>
            </w:r>
            <w:bookmarkEnd w:id="57"/>
            <w:bookmarkEnd w:id="58"/>
          </w:p>
        </w:tc>
      </w:tr>
      <w:tr w14:paraId="6EC5AD7A">
        <w:tblPrEx>
          <w:tblCellMar>
            <w:top w:w="0" w:type="dxa"/>
            <w:left w:w="108" w:type="dxa"/>
            <w:bottom w:w="0" w:type="dxa"/>
            <w:right w:w="108" w:type="dxa"/>
          </w:tblCellMar>
        </w:tblPrEx>
        <w:tc>
          <w:tcPr>
            <w:tcW w:w="701" w:type="pct"/>
            <w:gridSpan w:val="2"/>
          </w:tcPr>
          <w:p w14:paraId="39A34EBD">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lang w:eastAsia="en-US"/>
              </w:rPr>
            </w:pPr>
            <w:bookmarkStart w:id="59" w:name="OLE_LINK212"/>
            <w:r>
              <w:rPr>
                <w:rFonts w:hint="default" w:ascii="Times New Roman" w:hAnsi="Times New Roman" w:cs="Times New Roman"/>
                <w:b/>
                <w:bCs/>
                <w:kern w:val="0"/>
                <w:szCs w:val="21"/>
                <w:lang w:eastAsia="en-US"/>
              </w:rPr>
              <w:t>10.1</w:t>
            </w:r>
            <w:bookmarkEnd w:id="59"/>
          </w:p>
        </w:tc>
        <w:tc>
          <w:tcPr>
            <w:tcW w:w="4298" w:type="pct"/>
          </w:tcPr>
          <w:p w14:paraId="6B0EB14E">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b/>
                <w:bCs/>
                <w:kern w:val="0"/>
                <w:szCs w:val="21"/>
                <w:lang w:eastAsia="en-US"/>
              </w:rPr>
              <w:t>部分材料特殊技术要求</w:t>
            </w:r>
          </w:p>
        </w:tc>
      </w:tr>
      <w:tr w14:paraId="1AD08D04">
        <w:tblPrEx>
          <w:tblCellMar>
            <w:top w:w="0" w:type="dxa"/>
            <w:left w:w="108" w:type="dxa"/>
            <w:bottom w:w="0" w:type="dxa"/>
            <w:right w:w="108" w:type="dxa"/>
          </w:tblCellMar>
        </w:tblPrEx>
        <w:tc>
          <w:tcPr>
            <w:tcW w:w="701" w:type="pct"/>
            <w:gridSpan w:val="2"/>
          </w:tcPr>
          <w:p w14:paraId="5030AF28">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Cs/>
                <w:kern w:val="0"/>
                <w:szCs w:val="21"/>
              </w:rPr>
            </w:pPr>
            <w:r>
              <w:rPr>
                <w:rFonts w:hint="default" w:ascii="Times New Roman" w:hAnsi="Times New Roman" w:cs="Times New Roman"/>
                <w:bCs/>
                <w:kern w:val="0"/>
                <w:szCs w:val="21"/>
              </w:rPr>
              <w:t>10.1.1</w:t>
            </w:r>
          </w:p>
        </w:tc>
        <w:tc>
          <w:tcPr>
            <w:tcW w:w="4298" w:type="pct"/>
          </w:tcPr>
          <w:p w14:paraId="403C0364">
            <w:pPr>
              <w:keepNext w:val="0"/>
              <w:keepLines w:val="0"/>
              <w:suppressLineNumbers w:val="0"/>
              <w:spacing w:before="0" w:beforeAutospacing="0" w:after="0" w:afterAutospacing="0" w:line="360" w:lineRule="auto"/>
              <w:ind w:left="0" w:right="0"/>
              <w:rPr>
                <w:rFonts w:hint="default" w:ascii="Times New Roman" w:hAnsi="Times New Roman" w:cs="Times New Roman"/>
                <w:kern w:val="0"/>
                <w:szCs w:val="21"/>
              </w:rPr>
            </w:pPr>
            <w:r>
              <w:rPr>
                <w:rFonts w:hint="default" w:ascii="Times New Roman" w:hAnsi="Times New Roman" w:cs="Times New Roman"/>
                <w:kern w:val="0"/>
                <w:szCs w:val="21"/>
              </w:rPr>
              <w:t>发包人依据工程特点，可以对承包人自行施工范围内的部分材料提出技术要求。材料技术要求中如果出现了参考品牌或规格型号，其目的是为了方便承包人直观和准确地把握相应材料的技术标准，不具有指定或唯一使用的意思表示，承包人应当参考所列品牌的材料，采购</w:t>
            </w:r>
            <w:r>
              <w:rPr>
                <w:rFonts w:hint="default" w:ascii="Times New Roman" w:hAnsi="Times New Roman" w:cs="Times New Roman"/>
                <w:kern w:val="0"/>
                <w:szCs w:val="21"/>
                <w:highlight w:val="none"/>
              </w:rPr>
              <w:t>相当于或高于所列品牌技术标准的材料。</w:t>
            </w:r>
          </w:p>
          <w:p w14:paraId="3690DDC2">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b/>
                <w:bCs/>
                <w:kern w:val="0"/>
                <w:szCs w:val="21"/>
                <w:lang w:eastAsia="zh-CN"/>
              </w:rPr>
            </w:pPr>
            <w:r>
              <w:rPr>
                <w:rFonts w:hint="default" w:ascii="Times New Roman" w:hAnsi="Times New Roman" w:cs="Times New Roman"/>
                <w:kern w:val="0"/>
                <w:szCs w:val="21"/>
              </w:rPr>
              <w:t>承包人自行施工范围内的部分材料相关技术要求：</w:t>
            </w:r>
            <w:r>
              <w:rPr>
                <w:rFonts w:hint="default" w:ascii="Times New Roman" w:hAnsi="Times New Roman" w:eastAsia="Times New Roman" w:cs="Times New Roman"/>
                <w:kern w:val="0"/>
                <w:szCs w:val="21"/>
                <w:u w:val="single"/>
                <w:lang w:eastAsia="en-US"/>
              </w:rPr>
              <w:t>承包人选择材料的生产厂家应符合发包人对材料档次的要求。如无说明，应选择国内一流品牌的高档产品或更高品质的产品。所有的生产厂商应具有良好商业声誉、质量保证和重点工程中应用的案例，应能够在设计、生产到最终现场安装过程中提供服务。</w:t>
            </w:r>
          </w:p>
        </w:tc>
      </w:tr>
      <w:tr w14:paraId="59F5C64B">
        <w:tblPrEx>
          <w:tblCellMar>
            <w:top w:w="0" w:type="dxa"/>
            <w:left w:w="108" w:type="dxa"/>
            <w:bottom w:w="0" w:type="dxa"/>
            <w:right w:w="108" w:type="dxa"/>
          </w:tblCellMar>
        </w:tblPrEx>
        <w:tc>
          <w:tcPr>
            <w:tcW w:w="701" w:type="pct"/>
            <w:gridSpan w:val="2"/>
          </w:tcPr>
          <w:p w14:paraId="22BB5044">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Cs/>
                <w:kern w:val="0"/>
                <w:szCs w:val="21"/>
              </w:rPr>
            </w:pPr>
            <w:r>
              <w:rPr>
                <w:rFonts w:hint="default" w:ascii="Times New Roman" w:hAnsi="Times New Roman" w:cs="Times New Roman"/>
                <w:bCs/>
                <w:kern w:val="0"/>
                <w:szCs w:val="21"/>
              </w:rPr>
              <w:t>10.1.2</w:t>
            </w:r>
          </w:p>
        </w:tc>
        <w:tc>
          <w:tcPr>
            <w:tcW w:w="4298" w:type="pct"/>
          </w:tcPr>
          <w:p w14:paraId="47B5E2F3">
            <w:pPr>
              <w:keepNext w:val="0"/>
              <w:keepLines w:val="0"/>
              <w:suppressLineNumbers w:val="0"/>
              <w:spacing w:before="0" w:beforeAutospacing="0" w:after="0" w:afterAutospacing="0" w:line="360" w:lineRule="auto"/>
              <w:ind w:left="0" w:right="0"/>
              <w:rPr>
                <w:rFonts w:hint="default" w:ascii="Times New Roman" w:hAnsi="Times New Roman" w:cs="Times New Roman"/>
                <w:kern w:val="0"/>
                <w:szCs w:val="21"/>
              </w:rPr>
            </w:pPr>
            <w:r>
              <w:rPr>
                <w:rFonts w:hint="default" w:ascii="Times New Roman" w:hAnsi="Times New Roman" w:cs="Times New Roman"/>
                <w:kern w:val="0"/>
                <w:szCs w:val="21"/>
              </w:rPr>
              <w:t>承包人自行施工范围内的材料选型允许的偏离：</w:t>
            </w:r>
          </w:p>
          <w:p w14:paraId="0FCFCB3D">
            <w:pPr>
              <w:keepNext w:val="0"/>
              <w:keepLines w:val="0"/>
              <w:suppressLineNumbers w:val="0"/>
              <w:spacing w:before="0" w:beforeAutospacing="0" w:after="0" w:afterAutospacing="0" w:line="360" w:lineRule="auto"/>
              <w:ind w:left="0" w:right="0"/>
              <w:rPr>
                <w:rFonts w:hint="eastAsia" w:ascii="Times New Roman" w:hAnsi="Times New Roman" w:cs="Times New Roman" w:eastAsiaTheme="minorEastAsia"/>
                <w:kern w:val="0"/>
                <w:szCs w:val="21"/>
                <w:u w:val="single"/>
                <w:lang w:eastAsia="zh-CN"/>
              </w:rPr>
            </w:pPr>
            <w:r>
              <w:rPr>
                <w:rFonts w:hint="default" w:ascii="Times New Roman" w:hAnsi="Times New Roman" w:cs="Times New Roman"/>
                <w:kern w:val="0"/>
                <w:szCs w:val="21"/>
                <w:u w:val="single"/>
              </w:rPr>
              <w:t>不允许偏离</w:t>
            </w:r>
            <w:r>
              <w:rPr>
                <w:rFonts w:hint="eastAsia" w:ascii="Times New Roman" w:hAnsi="Times New Roman" w:cs="Times New Roman"/>
                <w:kern w:val="0"/>
                <w:szCs w:val="21"/>
                <w:u w:val="single"/>
                <w:lang w:eastAsia="zh-CN"/>
              </w:rPr>
              <w:t>。</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085"/>
              <w:gridCol w:w="1413"/>
              <w:gridCol w:w="1761"/>
              <w:gridCol w:w="1056"/>
            </w:tblGrid>
            <w:tr w14:paraId="40B6F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5595660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kern w:val="0"/>
                      <w:szCs w:val="21"/>
                    </w:rPr>
                  </w:pPr>
                  <w:r>
                    <w:rPr>
                      <w:rFonts w:hint="default" w:ascii="Times New Roman" w:hAnsi="Times New Roman" w:cs="Times New Roman"/>
                      <w:kern w:val="0"/>
                      <w:szCs w:val="21"/>
                    </w:rPr>
                    <w:t>序号</w:t>
                  </w:r>
                </w:p>
              </w:tc>
              <w:tc>
                <w:tcPr>
                  <w:tcW w:w="2085" w:type="dxa"/>
                </w:tcPr>
                <w:p w14:paraId="450B7E5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kern w:val="0"/>
                      <w:szCs w:val="21"/>
                    </w:rPr>
                  </w:pPr>
                  <w:r>
                    <w:rPr>
                      <w:rFonts w:hint="default" w:ascii="Times New Roman" w:hAnsi="Times New Roman" w:cs="Times New Roman"/>
                      <w:kern w:val="0"/>
                      <w:szCs w:val="21"/>
                    </w:rPr>
                    <w:t>材料名称</w:t>
                  </w:r>
                </w:p>
              </w:tc>
              <w:tc>
                <w:tcPr>
                  <w:tcW w:w="1413" w:type="dxa"/>
                </w:tcPr>
                <w:p w14:paraId="4F402AB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kern w:val="0"/>
                      <w:szCs w:val="21"/>
                    </w:rPr>
                  </w:pPr>
                  <w:r>
                    <w:rPr>
                      <w:rFonts w:hint="default" w:ascii="Times New Roman" w:hAnsi="Times New Roman" w:cs="Times New Roman"/>
                      <w:kern w:val="0"/>
                      <w:szCs w:val="21"/>
                    </w:rPr>
                    <w:t>技术指标</w:t>
                  </w:r>
                </w:p>
              </w:tc>
              <w:tc>
                <w:tcPr>
                  <w:tcW w:w="1761" w:type="dxa"/>
                </w:tcPr>
                <w:p w14:paraId="1F71D73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kern w:val="0"/>
                      <w:szCs w:val="21"/>
                    </w:rPr>
                  </w:pPr>
                  <w:r>
                    <w:rPr>
                      <w:rFonts w:hint="default" w:ascii="Times New Roman" w:hAnsi="Times New Roman" w:cs="Times New Roman"/>
                      <w:kern w:val="0"/>
                      <w:szCs w:val="21"/>
                    </w:rPr>
                    <w:t>允许偏离范围</w:t>
                  </w:r>
                </w:p>
              </w:tc>
              <w:tc>
                <w:tcPr>
                  <w:tcW w:w="1056" w:type="dxa"/>
                </w:tcPr>
                <w:p w14:paraId="76F8C57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kern w:val="0"/>
                      <w:szCs w:val="21"/>
                    </w:rPr>
                  </w:pPr>
                  <w:r>
                    <w:rPr>
                      <w:rFonts w:hint="default" w:ascii="Times New Roman" w:hAnsi="Times New Roman" w:cs="Times New Roman"/>
                      <w:kern w:val="0"/>
                      <w:szCs w:val="21"/>
                    </w:rPr>
                    <w:t>备  注</w:t>
                  </w:r>
                </w:p>
              </w:tc>
            </w:tr>
            <w:tr w14:paraId="6721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top"/>
                </w:tcPr>
                <w:p w14:paraId="377D7B63">
                  <w:pPr>
                    <w:keepNext w:val="0"/>
                    <w:keepLines w:val="0"/>
                    <w:suppressLineNumbers w:val="0"/>
                    <w:autoSpaceDE w:val="0"/>
                    <w:autoSpaceDN w:val="0"/>
                    <w:spacing w:before="0" w:beforeAutospacing="0" w:after="0" w:afterAutospacing="0" w:line="360" w:lineRule="auto"/>
                    <w:ind w:left="0" w:right="0"/>
                    <w:jc w:val="center"/>
                    <w:rPr>
                      <w:rFonts w:hint="default" w:ascii="Times New Roman" w:hAnsi="Times New Roman" w:cs="Times New Roman"/>
                      <w:kern w:val="0"/>
                      <w:szCs w:val="21"/>
                    </w:rPr>
                  </w:pPr>
                  <w:r>
                    <w:rPr>
                      <w:rFonts w:hint="default" w:ascii="Times New Roman" w:hAnsi="Times New Roman" w:eastAsia="方正仿宋_GBK" w:cs="Times New Roman"/>
                      <w:b/>
                      <w:spacing w:val="-7"/>
                      <w:kern w:val="0"/>
                      <w:sz w:val="21"/>
                      <w:szCs w:val="21"/>
                      <w:lang w:val="zh-CN" w:bidi="zh-CN"/>
                    </w:rPr>
                    <w:t xml:space="preserve">1 </w:t>
                  </w:r>
                </w:p>
              </w:tc>
              <w:tc>
                <w:tcPr>
                  <w:tcW w:w="2085" w:type="dxa"/>
                  <w:vAlign w:val="top"/>
                </w:tcPr>
                <w:p w14:paraId="42959C1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kern w:val="0"/>
                      <w:szCs w:val="21"/>
                    </w:rPr>
                  </w:pPr>
                </w:p>
              </w:tc>
              <w:tc>
                <w:tcPr>
                  <w:tcW w:w="1413" w:type="dxa"/>
                  <w:vAlign w:val="top"/>
                </w:tcPr>
                <w:p w14:paraId="1E99689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kern w:val="0"/>
                      <w:szCs w:val="21"/>
                    </w:rPr>
                  </w:pPr>
                </w:p>
              </w:tc>
              <w:tc>
                <w:tcPr>
                  <w:tcW w:w="1761" w:type="dxa"/>
                  <w:vAlign w:val="top"/>
                </w:tcPr>
                <w:p w14:paraId="50ECFF5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kern w:val="0"/>
                      <w:szCs w:val="21"/>
                    </w:rPr>
                  </w:pPr>
                </w:p>
              </w:tc>
              <w:tc>
                <w:tcPr>
                  <w:tcW w:w="1056" w:type="dxa"/>
                  <w:vAlign w:val="top"/>
                </w:tcPr>
                <w:p w14:paraId="04F25DD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kern w:val="0"/>
                      <w:szCs w:val="21"/>
                    </w:rPr>
                  </w:pPr>
                </w:p>
              </w:tc>
            </w:tr>
            <w:tr w14:paraId="4757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1A42DA7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eastAsiaTheme="minorEastAsia"/>
                      <w:kern w:val="0"/>
                      <w:szCs w:val="21"/>
                      <w:lang w:val="en-US" w:eastAsia="zh-CN"/>
                    </w:rPr>
                  </w:pPr>
                  <w:r>
                    <w:rPr>
                      <w:rFonts w:hint="default" w:ascii="Times New Roman" w:hAnsi="Times New Roman" w:cs="Times New Roman"/>
                      <w:kern w:val="0"/>
                      <w:szCs w:val="21"/>
                      <w:lang w:val="en-US" w:eastAsia="zh-CN"/>
                    </w:rPr>
                    <w:t>2</w:t>
                  </w:r>
                </w:p>
              </w:tc>
              <w:tc>
                <w:tcPr>
                  <w:tcW w:w="2085" w:type="dxa"/>
                </w:tcPr>
                <w:p w14:paraId="22F2DB7E">
                  <w:pPr>
                    <w:keepNext w:val="0"/>
                    <w:keepLines w:val="0"/>
                    <w:suppressLineNumbers w:val="0"/>
                    <w:spacing w:before="0" w:beforeAutospacing="0" w:after="0" w:afterAutospacing="0" w:line="360" w:lineRule="auto"/>
                    <w:ind w:left="0" w:right="0"/>
                    <w:rPr>
                      <w:rFonts w:hint="default" w:ascii="Times New Roman" w:hAnsi="Times New Roman" w:cs="Times New Roman"/>
                      <w:kern w:val="0"/>
                      <w:szCs w:val="21"/>
                    </w:rPr>
                  </w:pPr>
                </w:p>
              </w:tc>
              <w:tc>
                <w:tcPr>
                  <w:tcW w:w="1413" w:type="dxa"/>
                </w:tcPr>
                <w:p w14:paraId="32E6E20D">
                  <w:pPr>
                    <w:keepNext w:val="0"/>
                    <w:keepLines w:val="0"/>
                    <w:suppressLineNumbers w:val="0"/>
                    <w:spacing w:before="0" w:beforeAutospacing="0" w:after="0" w:afterAutospacing="0" w:line="360" w:lineRule="auto"/>
                    <w:ind w:left="0" w:right="0"/>
                    <w:rPr>
                      <w:rFonts w:hint="default" w:ascii="Times New Roman" w:hAnsi="Times New Roman" w:cs="Times New Roman"/>
                      <w:kern w:val="0"/>
                      <w:szCs w:val="21"/>
                    </w:rPr>
                  </w:pPr>
                </w:p>
              </w:tc>
              <w:tc>
                <w:tcPr>
                  <w:tcW w:w="1761" w:type="dxa"/>
                </w:tcPr>
                <w:p w14:paraId="61A56697">
                  <w:pPr>
                    <w:keepNext w:val="0"/>
                    <w:keepLines w:val="0"/>
                    <w:suppressLineNumbers w:val="0"/>
                    <w:spacing w:before="0" w:beforeAutospacing="0" w:after="0" w:afterAutospacing="0" w:line="360" w:lineRule="auto"/>
                    <w:ind w:left="0" w:right="0"/>
                    <w:rPr>
                      <w:rFonts w:hint="default" w:ascii="Times New Roman" w:hAnsi="Times New Roman" w:cs="Times New Roman"/>
                      <w:kern w:val="0"/>
                      <w:szCs w:val="21"/>
                    </w:rPr>
                  </w:pPr>
                </w:p>
              </w:tc>
              <w:tc>
                <w:tcPr>
                  <w:tcW w:w="1056" w:type="dxa"/>
                </w:tcPr>
                <w:p w14:paraId="2BBE2C1C">
                  <w:pPr>
                    <w:keepNext w:val="0"/>
                    <w:keepLines w:val="0"/>
                    <w:suppressLineNumbers w:val="0"/>
                    <w:spacing w:before="0" w:beforeAutospacing="0" w:after="0" w:afterAutospacing="0" w:line="360" w:lineRule="auto"/>
                    <w:ind w:left="0" w:right="0"/>
                    <w:rPr>
                      <w:rFonts w:hint="default" w:ascii="Times New Roman" w:hAnsi="Times New Roman" w:cs="Times New Roman"/>
                      <w:kern w:val="0"/>
                      <w:szCs w:val="21"/>
                    </w:rPr>
                  </w:pPr>
                </w:p>
              </w:tc>
            </w:tr>
          </w:tbl>
          <w:p w14:paraId="3508AA15">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kern w:val="0"/>
                <w:szCs w:val="21"/>
              </w:rPr>
            </w:pPr>
          </w:p>
        </w:tc>
      </w:tr>
      <w:tr w14:paraId="26F57A68">
        <w:tblPrEx>
          <w:tblCellMar>
            <w:top w:w="0" w:type="dxa"/>
            <w:left w:w="108" w:type="dxa"/>
            <w:bottom w:w="0" w:type="dxa"/>
            <w:right w:w="108" w:type="dxa"/>
          </w:tblCellMar>
        </w:tblPrEx>
        <w:tc>
          <w:tcPr>
            <w:tcW w:w="701" w:type="pct"/>
            <w:gridSpan w:val="2"/>
          </w:tcPr>
          <w:p w14:paraId="21C2A585">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Cs/>
                <w:kern w:val="0"/>
                <w:szCs w:val="21"/>
              </w:rPr>
            </w:pPr>
            <w:r>
              <w:rPr>
                <w:rFonts w:hint="default" w:ascii="Times New Roman" w:hAnsi="Times New Roman" w:cs="Times New Roman"/>
                <w:bCs/>
                <w:kern w:val="0"/>
                <w:szCs w:val="21"/>
              </w:rPr>
              <w:t>10.1.3</w:t>
            </w:r>
          </w:p>
        </w:tc>
        <w:tc>
          <w:tcPr>
            <w:tcW w:w="4298" w:type="pct"/>
          </w:tcPr>
          <w:p w14:paraId="1F62D0CE">
            <w:pPr>
              <w:keepNext w:val="0"/>
              <w:keepLines w:val="0"/>
              <w:widowControl/>
              <w:suppressLineNumbers w:val="0"/>
              <w:spacing w:before="0" w:beforeAutospacing="0" w:after="0" w:afterAutospacing="0" w:line="360" w:lineRule="auto"/>
              <w:ind w:left="0" w:right="0"/>
              <w:jc w:val="left"/>
              <w:rPr>
                <w:rFonts w:hint="eastAsia" w:ascii="Times New Roman" w:hAnsi="Times New Roman" w:cs="Times New Roman" w:eastAsiaTheme="minorEastAsia"/>
                <w:b/>
                <w:bCs/>
                <w:kern w:val="0"/>
                <w:szCs w:val="21"/>
                <w:lang w:eastAsia="zh-CN"/>
              </w:rPr>
            </w:pPr>
            <w:bookmarkStart w:id="60" w:name="OLE_LINK209"/>
            <w:r>
              <w:rPr>
                <w:rFonts w:hint="default" w:ascii="Times New Roman" w:hAnsi="Times New Roman" w:cs="Times New Roman"/>
                <w:color w:val="000000"/>
                <w:szCs w:val="21"/>
              </w:rPr>
              <w:t>本工程施工现场所用混凝土或砂浆的供应方式为</w:t>
            </w:r>
            <w:bookmarkEnd w:id="60"/>
            <w:r>
              <w:rPr>
                <w:rFonts w:hint="default" w:ascii="Times New Roman" w:hAnsi="Times New Roman" w:cs="Times New Roman"/>
                <w:color w:val="000000"/>
                <w:szCs w:val="21"/>
                <w:lang w:eastAsia="zh-CN"/>
              </w:rPr>
              <w:t>：</w:t>
            </w:r>
            <w:r>
              <w:rPr>
                <w:rFonts w:hint="eastAsia" w:ascii="Times New Roman" w:hAnsi="Times New Roman" w:cs="Times New Roman"/>
                <w:color w:val="000000"/>
                <w:szCs w:val="21"/>
                <w:u w:val="single"/>
                <w:lang w:eastAsia="zh-CN"/>
              </w:rPr>
              <w:t>预拌。</w:t>
            </w:r>
          </w:p>
        </w:tc>
      </w:tr>
      <w:tr w14:paraId="4ED79E78">
        <w:tblPrEx>
          <w:tblCellMar>
            <w:top w:w="0" w:type="dxa"/>
            <w:left w:w="108" w:type="dxa"/>
            <w:bottom w:w="0" w:type="dxa"/>
            <w:right w:w="108" w:type="dxa"/>
          </w:tblCellMar>
        </w:tblPrEx>
        <w:tc>
          <w:tcPr>
            <w:tcW w:w="701" w:type="pct"/>
            <w:gridSpan w:val="2"/>
          </w:tcPr>
          <w:p w14:paraId="4DBB648A">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rPr>
            </w:pPr>
            <w:r>
              <w:rPr>
                <w:rFonts w:hint="default" w:ascii="Times New Roman" w:hAnsi="Times New Roman" w:cs="Times New Roman"/>
                <w:b/>
                <w:bCs/>
                <w:kern w:val="0"/>
                <w:szCs w:val="21"/>
                <w:lang w:eastAsia="en-US"/>
              </w:rPr>
              <w:t>10.</w:t>
            </w:r>
            <w:r>
              <w:rPr>
                <w:rFonts w:hint="default" w:ascii="Times New Roman" w:hAnsi="Times New Roman" w:cs="Times New Roman"/>
                <w:b/>
                <w:bCs/>
                <w:kern w:val="0"/>
                <w:szCs w:val="21"/>
              </w:rPr>
              <w:t>2</w:t>
            </w:r>
          </w:p>
        </w:tc>
        <w:tc>
          <w:tcPr>
            <w:tcW w:w="4298" w:type="pct"/>
          </w:tcPr>
          <w:p w14:paraId="4AFBC176">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color w:val="000000"/>
                <w:szCs w:val="21"/>
              </w:rPr>
            </w:pPr>
            <w:r>
              <w:rPr>
                <w:rFonts w:hint="default" w:ascii="Times New Roman" w:hAnsi="Times New Roman" w:cs="Times New Roman"/>
                <w:b/>
                <w:color w:val="000000"/>
                <w:szCs w:val="21"/>
              </w:rPr>
              <w:t>进口材料</w:t>
            </w:r>
          </w:p>
        </w:tc>
      </w:tr>
      <w:tr w14:paraId="4A8FD0AC">
        <w:tblPrEx>
          <w:tblCellMar>
            <w:top w:w="0" w:type="dxa"/>
            <w:left w:w="108" w:type="dxa"/>
            <w:bottom w:w="0" w:type="dxa"/>
            <w:right w:w="108" w:type="dxa"/>
          </w:tblCellMar>
        </w:tblPrEx>
        <w:tc>
          <w:tcPr>
            <w:tcW w:w="701" w:type="pct"/>
            <w:gridSpan w:val="2"/>
          </w:tcPr>
          <w:p w14:paraId="7F74EF1C">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rPr>
            </w:pPr>
            <w:r>
              <w:rPr>
                <w:rFonts w:hint="default" w:ascii="Times New Roman" w:hAnsi="Times New Roman" w:cs="Times New Roman"/>
                <w:b/>
                <w:bCs/>
                <w:kern w:val="0"/>
                <w:szCs w:val="21"/>
              </w:rPr>
              <w:t>10.2.1</w:t>
            </w:r>
          </w:p>
        </w:tc>
        <w:tc>
          <w:tcPr>
            <w:tcW w:w="4298" w:type="pct"/>
          </w:tcPr>
          <w:p w14:paraId="079A6705">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color w:val="000000"/>
                <w:szCs w:val="21"/>
              </w:rPr>
            </w:pPr>
            <w:r>
              <w:rPr>
                <w:rFonts w:hint="default" w:ascii="Times New Roman" w:hAnsi="Times New Roman" w:cs="Times New Roman"/>
                <w:color w:val="000000"/>
                <w:szCs w:val="21"/>
              </w:rPr>
              <w:t>本工程需要进口的材料：</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u w:val="single"/>
                <w:lang w:val="en-US" w:eastAsia="zh-CN"/>
              </w:rPr>
              <w:t>/</w:t>
            </w:r>
            <w:r>
              <w:rPr>
                <w:rFonts w:hint="default" w:ascii="Times New Roman" w:hAnsi="Times New Roman" w:cs="Times New Roman"/>
                <w:color w:val="000000"/>
                <w:szCs w:val="21"/>
                <w:u w:val="single"/>
              </w:rPr>
              <w:t xml:space="preserve">        </w:t>
            </w:r>
          </w:p>
        </w:tc>
      </w:tr>
      <w:tr w14:paraId="2010C8F0">
        <w:tblPrEx>
          <w:tblCellMar>
            <w:top w:w="0" w:type="dxa"/>
            <w:left w:w="108" w:type="dxa"/>
            <w:bottom w:w="0" w:type="dxa"/>
            <w:right w:w="108" w:type="dxa"/>
          </w:tblCellMar>
        </w:tblPrEx>
        <w:tc>
          <w:tcPr>
            <w:tcW w:w="701" w:type="pct"/>
            <w:gridSpan w:val="2"/>
          </w:tcPr>
          <w:p w14:paraId="0DC0EFEC">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rPr>
            </w:pPr>
            <w:r>
              <w:rPr>
                <w:rFonts w:hint="default" w:ascii="Times New Roman" w:hAnsi="Times New Roman" w:cs="Times New Roman"/>
                <w:b/>
                <w:bCs/>
                <w:kern w:val="0"/>
                <w:szCs w:val="21"/>
              </w:rPr>
              <w:t>10.2.2</w:t>
            </w:r>
          </w:p>
        </w:tc>
        <w:tc>
          <w:tcPr>
            <w:tcW w:w="4298" w:type="pct"/>
          </w:tcPr>
          <w:p w14:paraId="1A17C6E6">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color w:val="000000"/>
                <w:szCs w:val="21"/>
              </w:rPr>
            </w:pPr>
            <w:r>
              <w:rPr>
                <w:rFonts w:hint="default" w:ascii="Times New Roman" w:hAnsi="Times New Roman" w:cs="Times New Roman"/>
                <w:color w:val="000000"/>
                <w:szCs w:val="21"/>
              </w:rPr>
              <w:t>上述进口材料采购、进口、报关、清关、商检、境内运输（包括保险）、保管的责任以及费用承担方式划分：</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u w:val="single"/>
                <w:lang w:val="en-US" w:eastAsia="zh-CN"/>
              </w:rPr>
              <w:t>/</w:t>
            </w:r>
            <w:r>
              <w:rPr>
                <w:rFonts w:hint="default" w:ascii="Times New Roman" w:hAnsi="Times New Roman" w:cs="Times New Roman"/>
                <w:color w:val="000000"/>
                <w:szCs w:val="21"/>
                <w:u w:val="single"/>
              </w:rPr>
              <w:t xml:space="preserve">       </w:t>
            </w:r>
          </w:p>
        </w:tc>
      </w:tr>
      <w:tr w14:paraId="01F4A555">
        <w:tblPrEx>
          <w:tblCellMar>
            <w:top w:w="0" w:type="dxa"/>
            <w:left w:w="108" w:type="dxa"/>
            <w:bottom w:w="0" w:type="dxa"/>
            <w:right w:w="108" w:type="dxa"/>
          </w:tblCellMar>
        </w:tblPrEx>
        <w:tc>
          <w:tcPr>
            <w:tcW w:w="701" w:type="pct"/>
            <w:gridSpan w:val="2"/>
          </w:tcPr>
          <w:p w14:paraId="602F676B">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Cs/>
                <w:kern w:val="0"/>
                <w:szCs w:val="21"/>
              </w:rPr>
            </w:pPr>
            <w:r>
              <w:rPr>
                <w:rFonts w:hint="default" w:ascii="Times New Roman" w:hAnsi="Times New Roman" w:cs="Times New Roman"/>
                <w:color w:val="000000"/>
                <w:szCs w:val="21"/>
              </w:rPr>
              <w:t>10.3</w:t>
            </w:r>
          </w:p>
        </w:tc>
        <w:tc>
          <w:tcPr>
            <w:tcW w:w="4298" w:type="pct"/>
          </w:tcPr>
          <w:p w14:paraId="4AB52EFF">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color w:val="000000"/>
                <w:szCs w:val="21"/>
              </w:rPr>
            </w:pPr>
            <w:r>
              <w:rPr>
                <w:rFonts w:hint="default" w:ascii="Times New Roman" w:hAnsi="Times New Roman" w:cs="Times New Roman"/>
                <w:b/>
                <w:color w:val="000000"/>
                <w:szCs w:val="21"/>
              </w:rPr>
              <w:t>新技术、新工艺和新材料</w:t>
            </w:r>
          </w:p>
        </w:tc>
      </w:tr>
      <w:tr w14:paraId="2C15625E">
        <w:tblPrEx>
          <w:tblCellMar>
            <w:top w:w="0" w:type="dxa"/>
            <w:left w:w="108" w:type="dxa"/>
            <w:bottom w:w="0" w:type="dxa"/>
            <w:right w:w="108" w:type="dxa"/>
          </w:tblCellMar>
        </w:tblPrEx>
        <w:tc>
          <w:tcPr>
            <w:tcW w:w="701" w:type="pct"/>
            <w:gridSpan w:val="2"/>
          </w:tcPr>
          <w:p w14:paraId="4809A746">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color w:val="000000"/>
                <w:szCs w:val="21"/>
              </w:rPr>
            </w:pPr>
          </w:p>
        </w:tc>
        <w:tc>
          <w:tcPr>
            <w:tcW w:w="4298" w:type="pct"/>
          </w:tcPr>
          <w:p w14:paraId="7EB66D70">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color w:val="000000"/>
                <w:szCs w:val="21"/>
              </w:rPr>
            </w:pPr>
            <w:r>
              <w:rPr>
                <w:rFonts w:hint="default" w:ascii="Times New Roman" w:hAnsi="Times New Roman" w:cs="Times New Roman"/>
                <w:color w:val="000000"/>
                <w:szCs w:val="21"/>
              </w:rPr>
              <w:t>本市政府财政性资金及国有单位资金投资控股或占主导地位的建设工程，在技术指标符合设计要求及满足使用功能的前提下，承包人应当率先在指定工程部位选用建筑垃圾再生产品，其中市政、交通、园林、水务等市级工程，按照最新发布的《建筑垃圾废弃物再生产品主要种类及应用工程部位》要求，指定工程部位选择的建筑垃圾再生产品替代使用比例不得低于10%。</w:t>
            </w:r>
          </w:p>
          <w:p w14:paraId="75A57FF2">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color w:val="000000"/>
                <w:szCs w:val="21"/>
                <w:u w:val="single"/>
              </w:rPr>
            </w:pPr>
            <w:r>
              <w:rPr>
                <w:rFonts w:hint="default" w:ascii="Times New Roman" w:hAnsi="Times New Roman" w:cs="Times New Roman"/>
                <w:color w:val="000000"/>
                <w:szCs w:val="21"/>
              </w:rPr>
              <w:t>本工程涉及的新技术、新工艺和新材料及相应使用和操作说明：</w:t>
            </w: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u w:val="single"/>
                <w:lang w:val="en-US" w:eastAsia="zh-CN"/>
              </w:rPr>
              <w:t>/</w:t>
            </w:r>
            <w:r>
              <w:rPr>
                <w:rFonts w:hint="default" w:ascii="Times New Roman" w:hAnsi="Times New Roman" w:cs="Times New Roman"/>
                <w:color w:val="000000"/>
                <w:szCs w:val="21"/>
                <w:u w:val="single"/>
              </w:rPr>
              <w:t xml:space="preserve">              </w:t>
            </w:r>
          </w:p>
          <w:p w14:paraId="387249C0">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color w:val="000000"/>
                <w:szCs w:val="21"/>
              </w:rPr>
            </w:pPr>
            <w:r>
              <w:rPr>
                <w:rFonts w:hint="default" w:ascii="Times New Roman" w:hAnsi="Times New Roman" w:cs="Times New Roman"/>
                <w:color w:val="000000"/>
                <w:szCs w:val="21"/>
                <w:u w:val="single"/>
              </w:rPr>
              <w:t xml:space="preserve">                                                                    </w:t>
            </w:r>
            <w:r>
              <w:rPr>
                <w:rFonts w:hint="default" w:ascii="Times New Roman" w:hAnsi="Times New Roman" w:cs="Times New Roman"/>
                <w:color w:val="000000"/>
                <w:szCs w:val="21"/>
              </w:rPr>
              <w:t xml:space="preserve">      </w:t>
            </w:r>
          </w:p>
        </w:tc>
      </w:tr>
      <w:tr w14:paraId="5F1A041E">
        <w:tblPrEx>
          <w:tblCellMar>
            <w:top w:w="0" w:type="dxa"/>
            <w:left w:w="108" w:type="dxa"/>
            <w:bottom w:w="0" w:type="dxa"/>
            <w:right w:w="108" w:type="dxa"/>
          </w:tblCellMar>
        </w:tblPrEx>
        <w:tc>
          <w:tcPr>
            <w:tcW w:w="701" w:type="pct"/>
            <w:gridSpan w:val="2"/>
          </w:tcPr>
          <w:p w14:paraId="0B6C47F9">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rPr>
            </w:pPr>
            <w:r>
              <w:rPr>
                <w:rFonts w:hint="default" w:ascii="Times New Roman" w:hAnsi="Times New Roman" w:cs="Times New Roman"/>
                <w:b/>
                <w:bCs/>
                <w:kern w:val="0"/>
                <w:szCs w:val="21"/>
              </w:rPr>
              <w:t>10.4</w:t>
            </w:r>
          </w:p>
        </w:tc>
        <w:tc>
          <w:tcPr>
            <w:tcW w:w="4298" w:type="pct"/>
          </w:tcPr>
          <w:p w14:paraId="712168A8">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color w:val="000000"/>
                <w:szCs w:val="21"/>
              </w:rPr>
            </w:pPr>
            <w:r>
              <w:rPr>
                <w:rFonts w:hint="default" w:ascii="Times New Roman" w:hAnsi="Times New Roman" w:cs="Times New Roman"/>
                <w:b/>
                <w:color w:val="000000"/>
                <w:szCs w:val="21"/>
              </w:rPr>
              <w:t>其他特殊技术要求</w:t>
            </w:r>
          </w:p>
        </w:tc>
      </w:tr>
      <w:tr w14:paraId="38348F97">
        <w:tblPrEx>
          <w:tblCellMar>
            <w:top w:w="0" w:type="dxa"/>
            <w:left w:w="108" w:type="dxa"/>
            <w:bottom w:w="0" w:type="dxa"/>
            <w:right w:w="108" w:type="dxa"/>
          </w:tblCellMar>
        </w:tblPrEx>
        <w:tc>
          <w:tcPr>
            <w:tcW w:w="701" w:type="pct"/>
            <w:gridSpan w:val="2"/>
          </w:tcPr>
          <w:p w14:paraId="2FA9586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p>
        </w:tc>
        <w:tc>
          <w:tcPr>
            <w:tcW w:w="4298" w:type="pct"/>
          </w:tcPr>
          <w:p w14:paraId="741F5E8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lang w:val="en-US" w:eastAsia="zh-CN"/>
              </w:rPr>
              <w:t>本工程的特殊技术要求：</w:t>
            </w:r>
            <w:r>
              <w:rPr>
                <w:rFonts w:hint="default" w:ascii="Times New Roman" w:hAnsi="Times New Roman" w:cs="Times New Roman"/>
                <w:kern w:val="0"/>
                <w:szCs w:val="21"/>
                <w:u w:val="single"/>
                <w:lang w:val="en-US" w:eastAsia="zh-CN"/>
              </w:rPr>
              <w:t xml:space="preserve">    /                         </w:t>
            </w:r>
          </w:p>
        </w:tc>
      </w:tr>
      <w:tr w14:paraId="774C672F">
        <w:tblPrEx>
          <w:tblCellMar>
            <w:top w:w="0" w:type="dxa"/>
            <w:left w:w="108" w:type="dxa"/>
            <w:bottom w:w="0" w:type="dxa"/>
            <w:right w:w="108" w:type="dxa"/>
          </w:tblCellMar>
        </w:tblPrEx>
        <w:tc>
          <w:tcPr>
            <w:tcW w:w="5000" w:type="pct"/>
            <w:gridSpan w:val="3"/>
          </w:tcPr>
          <w:p w14:paraId="52694017">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bookmarkStart w:id="61" w:name="_Toc429569610"/>
            <w:bookmarkStart w:id="62" w:name="_Toc453744832"/>
            <w:r>
              <w:rPr>
                <w:rFonts w:hint="default" w:ascii="Times New Roman" w:hAnsi="Times New Roman" w:cs="Times New Roman"/>
                <w:b/>
                <w:bCs/>
                <w:kern w:val="0"/>
                <w:szCs w:val="21"/>
                <w:lang w:eastAsia="en-US"/>
              </w:rPr>
              <w:t>11. 进度报告和进度例会</w:t>
            </w:r>
            <w:bookmarkEnd w:id="61"/>
            <w:bookmarkEnd w:id="62"/>
          </w:p>
        </w:tc>
      </w:tr>
      <w:tr w14:paraId="5D157D3B">
        <w:tblPrEx>
          <w:tblCellMar>
            <w:top w:w="0" w:type="dxa"/>
            <w:left w:w="108" w:type="dxa"/>
            <w:bottom w:w="0" w:type="dxa"/>
            <w:right w:w="108" w:type="dxa"/>
          </w:tblCellMar>
        </w:tblPrEx>
        <w:tc>
          <w:tcPr>
            <w:tcW w:w="701" w:type="pct"/>
            <w:gridSpan w:val="2"/>
          </w:tcPr>
          <w:p w14:paraId="39C2DD98">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11.1</w:t>
            </w:r>
          </w:p>
        </w:tc>
        <w:tc>
          <w:tcPr>
            <w:tcW w:w="4298" w:type="pct"/>
          </w:tcPr>
          <w:p w14:paraId="34EA5176">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进度报告</w:t>
            </w:r>
          </w:p>
        </w:tc>
      </w:tr>
      <w:tr w14:paraId="375B64E0">
        <w:tblPrEx>
          <w:tblCellMar>
            <w:top w:w="0" w:type="dxa"/>
            <w:left w:w="108" w:type="dxa"/>
            <w:bottom w:w="0" w:type="dxa"/>
            <w:right w:w="108" w:type="dxa"/>
          </w:tblCellMar>
        </w:tblPrEx>
        <w:tc>
          <w:tcPr>
            <w:tcW w:w="701" w:type="pct"/>
            <w:gridSpan w:val="2"/>
          </w:tcPr>
          <w:p w14:paraId="3193FAF2">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11.1.1</w:t>
            </w:r>
          </w:p>
        </w:tc>
        <w:tc>
          <w:tcPr>
            <w:tcW w:w="4298" w:type="pct"/>
          </w:tcPr>
          <w:p w14:paraId="20E24AB3">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施工过程中，承包人应向监理人指定的代表呈递一份每日的日进度报表、每周的周进度报表和每月的月进度报表。除非监理人同意，日进度报表应在次日上午九点前递交，周进度报表应在次周的周一上午九时前递交，月进度报表应随合同条款第17.3.2项约定的进度付款申请单一并递交。</w:t>
            </w:r>
          </w:p>
        </w:tc>
      </w:tr>
      <w:tr w14:paraId="450C29B0">
        <w:tblPrEx>
          <w:tblCellMar>
            <w:top w:w="0" w:type="dxa"/>
            <w:left w:w="108" w:type="dxa"/>
            <w:bottom w:w="0" w:type="dxa"/>
            <w:right w:w="108" w:type="dxa"/>
          </w:tblCellMar>
        </w:tblPrEx>
        <w:tc>
          <w:tcPr>
            <w:tcW w:w="701" w:type="pct"/>
            <w:gridSpan w:val="2"/>
          </w:tcPr>
          <w:p w14:paraId="0DC62FD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11.1.2</w:t>
            </w:r>
          </w:p>
        </w:tc>
        <w:tc>
          <w:tcPr>
            <w:tcW w:w="4298" w:type="pct"/>
          </w:tcPr>
          <w:p w14:paraId="29B8FC42">
            <w:pPr>
              <w:keepNext w:val="0"/>
              <w:keepLines w:val="0"/>
              <w:suppressLineNumbers w:val="0"/>
              <w:spacing w:before="0" w:beforeAutospacing="0" w:after="0" w:afterAutospacing="0" w:line="360" w:lineRule="auto"/>
              <w:ind w:left="0" w:right="0"/>
              <w:rPr>
                <w:rFonts w:hint="default" w:ascii="Times New Roman" w:hAnsi="Times New Roman" w:cs="Times New Roman"/>
                <w:szCs w:val="21"/>
              </w:rPr>
            </w:pPr>
            <w:r>
              <w:rPr>
                <w:rFonts w:hint="default" w:ascii="Times New Roman" w:hAnsi="Times New Roman" w:cs="Times New Roman"/>
                <w:szCs w:val="21"/>
              </w:rPr>
              <w:t>日和周进度报表的内容应至少包括每日在现场工作的技术管理人员数量、各工种技术工人和非技术工人数量、后勤人员数量、参观现场的人员数量，包括分包人人员数量；还应包括所使用的各种主要机械设备和车辆的型号、数量和台班，工作的区段，以及工程进度情况、天气情况记录、停工、</w:t>
            </w:r>
            <w:bookmarkStart w:id="63" w:name="_Hlk114657521"/>
            <w:r>
              <w:rPr>
                <w:rFonts w:hint="default" w:ascii="Times New Roman" w:hAnsi="Times New Roman" w:cs="Times New Roman"/>
                <w:szCs w:val="21"/>
              </w:rPr>
              <w:t>窝工、</w:t>
            </w:r>
            <w:bookmarkEnd w:id="63"/>
            <w:r>
              <w:rPr>
                <w:rFonts w:hint="default" w:ascii="Times New Roman" w:hAnsi="Times New Roman" w:cs="Times New Roman"/>
                <w:szCs w:val="21"/>
              </w:rPr>
              <w:t>质量和安全事故等特别事项说明；此外，应附上每日进场材料、物品或设备的分类汇总表、用于次日或次周的工程进度计划等。</w:t>
            </w:r>
            <w:bookmarkStart w:id="64" w:name="_Hlk114657527"/>
            <w:r>
              <w:rPr>
                <w:rFonts w:hint="default" w:ascii="Times New Roman" w:hAnsi="Times New Roman" w:cs="Times New Roman"/>
                <w:szCs w:val="21"/>
              </w:rPr>
              <w:t>如以日进度报表等作为进度管理同期记录的，可以辅以必要的影像资料，合同双方应当根据相关影像资料，汇总形成周进度报表。</w:t>
            </w:r>
            <w:bookmarkEnd w:id="64"/>
          </w:p>
        </w:tc>
      </w:tr>
      <w:tr w14:paraId="691512AC">
        <w:tblPrEx>
          <w:tblCellMar>
            <w:top w:w="0" w:type="dxa"/>
            <w:left w:w="108" w:type="dxa"/>
            <w:bottom w:w="0" w:type="dxa"/>
            <w:right w:w="108" w:type="dxa"/>
          </w:tblCellMar>
        </w:tblPrEx>
        <w:tc>
          <w:tcPr>
            <w:tcW w:w="701" w:type="pct"/>
            <w:gridSpan w:val="2"/>
          </w:tcPr>
          <w:p w14:paraId="20C758E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11.1.3</w:t>
            </w:r>
          </w:p>
        </w:tc>
        <w:tc>
          <w:tcPr>
            <w:tcW w:w="4298" w:type="pct"/>
          </w:tcPr>
          <w:p w14:paraId="2141F45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月进度报表应当反映月完成工程量和累计完成工程量（包括永久工程和临时工程）、材料实际进货、消耗和库存量、现场施工设备的投运数量和运行状况、工程设备的到货情况、劳动力数量（本月及预计未来三个月劳动力的数量）、当前影响施工进度计划的因素和采取的改进措施、进度计划调整及其说明、质量事故和质量缺陷处理纪录、质量状况评价、安全施工措施计划实施情况、安全事故以及人员伤亡和财产损失情况（如果有）、环境保护措施实施和文明施工措施实施情况。</w:t>
            </w:r>
          </w:p>
        </w:tc>
      </w:tr>
      <w:tr w14:paraId="529E256A">
        <w:tblPrEx>
          <w:tblCellMar>
            <w:top w:w="0" w:type="dxa"/>
            <w:left w:w="108" w:type="dxa"/>
            <w:bottom w:w="0" w:type="dxa"/>
            <w:right w:w="108" w:type="dxa"/>
          </w:tblCellMar>
        </w:tblPrEx>
        <w:tc>
          <w:tcPr>
            <w:tcW w:w="701" w:type="pct"/>
            <w:gridSpan w:val="2"/>
          </w:tcPr>
          <w:p w14:paraId="5328AF8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11.1.4</w:t>
            </w:r>
          </w:p>
        </w:tc>
        <w:tc>
          <w:tcPr>
            <w:tcW w:w="4298" w:type="pct"/>
          </w:tcPr>
          <w:p w14:paraId="2E4FF45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月进度报告还应附有一组充分显示工程形象进度的定点摄影照片。照片应当在经监理人批准的不同位置定期拍摄，每张照片都应标上相应的拍摄日期和简要文字说明，且应用经发包人和监理人批准的标准或格式装裱后呈交。</w:t>
            </w:r>
          </w:p>
        </w:tc>
      </w:tr>
      <w:tr w14:paraId="5DBE3A3D">
        <w:tblPrEx>
          <w:tblCellMar>
            <w:top w:w="0" w:type="dxa"/>
            <w:left w:w="108" w:type="dxa"/>
            <w:bottom w:w="0" w:type="dxa"/>
            <w:right w:w="108" w:type="dxa"/>
          </w:tblCellMar>
        </w:tblPrEx>
        <w:tc>
          <w:tcPr>
            <w:tcW w:w="701" w:type="pct"/>
            <w:gridSpan w:val="2"/>
          </w:tcPr>
          <w:p w14:paraId="72F753E3">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11.1.5</w:t>
            </w:r>
          </w:p>
        </w:tc>
        <w:tc>
          <w:tcPr>
            <w:tcW w:w="4298" w:type="pct"/>
          </w:tcPr>
          <w:p w14:paraId="0F1E929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bookmarkStart w:id="65" w:name="OLE_LINK224"/>
            <w:r>
              <w:rPr>
                <w:rFonts w:hint="default" w:ascii="Times New Roman" w:hAnsi="Times New Roman" w:cs="Times New Roman"/>
                <w:kern w:val="0"/>
                <w:szCs w:val="21"/>
              </w:rPr>
              <w:t>各个进度报表的格式和内容应经过监理人的审批</w:t>
            </w:r>
            <w:bookmarkStart w:id="66" w:name="_Hlk114657539"/>
            <w:r>
              <w:rPr>
                <w:rFonts w:hint="default" w:ascii="Times New Roman" w:hAnsi="Times New Roman" w:cs="Times New Roman"/>
                <w:kern w:val="0"/>
                <w:szCs w:val="21"/>
              </w:rPr>
              <w:t>，</w:t>
            </w:r>
            <w:bookmarkStart w:id="67" w:name="_Hlk113554404"/>
            <w:bookmarkStart w:id="68" w:name="_Hlk112836170"/>
            <w:r>
              <w:rPr>
                <w:rFonts w:hint="default" w:ascii="Times New Roman" w:hAnsi="Times New Roman" w:cs="Times New Roman"/>
                <w:kern w:val="0"/>
                <w:szCs w:val="21"/>
              </w:rPr>
              <w:t>除技术标准和要求专用部分对签认另有要求外，发包人和（或）监理人应当在收到进度报表后</w:t>
            </w:r>
            <w:bookmarkEnd w:id="67"/>
            <w:r>
              <w:rPr>
                <w:rFonts w:hint="default" w:ascii="Times New Roman" w:hAnsi="Times New Roman" w:cs="Times New Roman"/>
                <w:kern w:val="0"/>
                <w:szCs w:val="21"/>
              </w:rPr>
              <w:t>3个工作日内予以核实签认</w:t>
            </w:r>
            <w:bookmarkEnd w:id="68"/>
            <w:r>
              <w:rPr>
                <w:rFonts w:hint="default" w:ascii="Times New Roman" w:hAnsi="Times New Roman" w:cs="Times New Roman"/>
                <w:kern w:val="0"/>
                <w:szCs w:val="21"/>
              </w:rPr>
              <w:t>，逾期未签认的视同认可。</w:t>
            </w:r>
            <w:bookmarkEnd w:id="66"/>
            <w:r>
              <w:rPr>
                <w:rFonts w:hint="default" w:ascii="Times New Roman" w:hAnsi="Times New Roman" w:cs="Times New Roman"/>
                <w:kern w:val="0"/>
                <w:szCs w:val="21"/>
              </w:rPr>
              <w:t>进度报表应如实填写，由承包人授权代表签名，并报监理人的指定代表签名确认后再行分发。</w:t>
            </w:r>
            <w:bookmarkEnd w:id="65"/>
          </w:p>
          <w:p w14:paraId="28993686">
            <w:pPr>
              <w:keepNext w:val="0"/>
              <w:keepLines w:val="0"/>
              <w:suppressLineNumbers w:val="0"/>
              <w:spacing w:before="0" w:beforeAutospacing="0" w:after="0" w:afterAutospacing="0" w:line="360" w:lineRule="auto"/>
              <w:ind w:left="0" w:right="0"/>
              <w:rPr>
                <w:rFonts w:hint="default" w:ascii="Times New Roman" w:hAnsi="Times New Roman" w:cs="Times New Roman"/>
                <w:kern w:val="0"/>
                <w:szCs w:val="21"/>
              </w:rPr>
            </w:pPr>
            <w:r>
              <w:rPr>
                <w:rFonts w:hint="default" w:ascii="Times New Roman" w:hAnsi="Times New Roman" w:cs="Times New Roman"/>
                <w:kern w:val="0"/>
                <w:szCs w:val="21"/>
              </w:rPr>
              <w:t>发包人和（或）监理人在收到进度报表后的签认要求：</w:t>
            </w:r>
            <w:r>
              <w:rPr>
                <w:rFonts w:hint="default" w:ascii="Times New Roman" w:hAnsi="Times New Roman" w:cs="Times New Roman"/>
                <w:kern w:val="0"/>
                <w:szCs w:val="21"/>
                <w:u w:val="single"/>
              </w:rPr>
              <w:t>符合相关规范</w:t>
            </w:r>
            <w:r>
              <w:rPr>
                <w:rFonts w:hint="eastAsia" w:ascii="Times New Roman" w:hAnsi="Times New Roman" w:cs="Times New Roman"/>
                <w:kern w:val="0"/>
                <w:szCs w:val="21"/>
                <w:u w:val="single"/>
                <w:lang w:eastAsia="zh-CN"/>
              </w:rPr>
              <w:t>。</w:t>
            </w:r>
          </w:p>
        </w:tc>
      </w:tr>
      <w:tr w14:paraId="0BB6ABC2">
        <w:tblPrEx>
          <w:tblCellMar>
            <w:top w:w="0" w:type="dxa"/>
            <w:left w:w="108" w:type="dxa"/>
            <w:bottom w:w="0" w:type="dxa"/>
            <w:right w:w="108" w:type="dxa"/>
          </w:tblCellMar>
        </w:tblPrEx>
        <w:tc>
          <w:tcPr>
            <w:tcW w:w="701" w:type="pct"/>
            <w:gridSpan w:val="2"/>
          </w:tcPr>
          <w:p w14:paraId="2A6EA17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11.1.6</w:t>
            </w:r>
          </w:p>
        </w:tc>
        <w:tc>
          <w:tcPr>
            <w:tcW w:w="4298" w:type="pct"/>
          </w:tcPr>
          <w:p w14:paraId="04F00B5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如果监理人认为必要，进度报告和进度照片应同时以存储在磁盘或光盘中的数据文件的形式递交给发包人和监理人。数据文件采用的应用软件及其版本应经过监理人的审批。</w:t>
            </w:r>
          </w:p>
        </w:tc>
      </w:tr>
      <w:tr w14:paraId="78CFDDBC">
        <w:tblPrEx>
          <w:tblCellMar>
            <w:top w:w="0" w:type="dxa"/>
            <w:left w:w="108" w:type="dxa"/>
            <w:bottom w:w="0" w:type="dxa"/>
            <w:right w:w="108" w:type="dxa"/>
          </w:tblCellMar>
        </w:tblPrEx>
        <w:tc>
          <w:tcPr>
            <w:tcW w:w="701" w:type="pct"/>
            <w:gridSpan w:val="2"/>
          </w:tcPr>
          <w:p w14:paraId="667D8EB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11.1.7</w:t>
            </w:r>
          </w:p>
        </w:tc>
        <w:tc>
          <w:tcPr>
            <w:tcW w:w="4298" w:type="pct"/>
          </w:tcPr>
          <w:p w14:paraId="2C89F44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eastAsiaTheme="minorEastAsia"/>
                <w:kern w:val="0"/>
                <w:szCs w:val="21"/>
                <w:lang w:val="en-US" w:eastAsia="zh-CN"/>
              </w:rPr>
            </w:pPr>
            <w:bookmarkStart w:id="69" w:name="_Toc453744833"/>
            <w:r>
              <w:rPr>
                <w:rFonts w:hint="default" w:ascii="Times New Roman" w:hAnsi="Times New Roman" w:cs="Times New Roman"/>
                <w:kern w:val="0"/>
                <w:szCs w:val="21"/>
              </w:rPr>
              <w:t>有关进度报告的其他要求：</w:t>
            </w:r>
            <w:bookmarkEnd w:id="69"/>
            <w:r>
              <w:rPr>
                <w:rFonts w:hint="eastAsia" w:ascii="Times New Roman" w:hAnsi="Times New Roman" w:cs="Times New Roman"/>
                <w:kern w:val="0"/>
                <w:szCs w:val="21"/>
                <w:u w:val="single"/>
                <w:lang w:val="en-US" w:eastAsia="zh-CN"/>
              </w:rPr>
              <w:t>无。</w:t>
            </w:r>
          </w:p>
        </w:tc>
      </w:tr>
      <w:tr w14:paraId="0CAC3760">
        <w:tblPrEx>
          <w:tblCellMar>
            <w:top w:w="0" w:type="dxa"/>
            <w:left w:w="108" w:type="dxa"/>
            <w:bottom w:w="0" w:type="dxa"/>
            <w:right w:w="108" w:type="dxa"/>
          </w:tblCellMar>
        </w:tblPrEx>
        <w:tc>
          <w:tcPr>
            <w:tcW w:w="701" w:type="pct"/>
            <w:gridSpan w:val="2"/>
          </w:tcPr>
          <w:p w14:paraId="5879097E">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11.2</w:t>
            </w:r>
          </w:p>
        </w:tc>
        <w:tc>
          <w:tcPr>
            <w:tcW w:w="4298" w:type="pct"/>
          </w:tcPr>
          <w:p w14:paraId="60AC7AD1">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进度例会</w:t>
            </w:r>
          </w:p>
        </w:tc>
      </w:tr>
      <w:tr w14:paraId="083398CF">
        <w:tblPrEx>
          <w:tblCellMar>
            <w:top w:w="0" w:type="dxa"/>
            <w:left w:w="108" w:type="dxa"/>
            <w:bottom w:w="0" w:type="dxa"/>
            <w:right w:w="108" w:type="dxa"/>
          </w:tblCellMar>
        </w:tblPrEx>
        <w:tc>
          <w:tcPr>
            <w:tcW w:w="701" w:type="pct"/>
            <w:gridSpan w:val="2"/>
          </w:tcPr>
          <w:p w14:paraId="241FA82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11.2.1</w:t>
            </w:r>
          </w:p>
        </w:tc>
        <w:tc>
          <w:tcPr>
            <w:tcW w:w="4298" w:type="pct"/>
          </w:tcPr>
          <w:p w14:paraId="1B667BD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监理人将主持召开有发包人、承包人、独立承包人和主要分包人等与本工程建设有关各方出席的每周一次的进度例会。必要时，监理人可随时召集所有上述各方或其中部分单位参加的会议。承包人应保证能代表其当场作出决定的高级管理人员出席会议。</w:t>
            </w:r>
          </w:p>
        </w:tc>
      </w:tr>
      <w:tr w14:paraId="64E53091">
        <w:tblPrEx>
          <w:tblCellMar>
            <w:top w:w="0" w:type="dxa"/>
            <w:left w:w="108" w:type="dxa"/>
            <w:bottom w:w="0" w:type="dxa"/>
            <w:right w:w="108" w:type="dxa"/>
          </w:tblCellMar>
        </w:tblPrEx>
        <w:tc>
          <w:tcPr>
            <w:tcW w:w="701" w:type="pct"/>
            <w:gridSpan w:val="2"/>
          </w:tcPr>
          <w:p w14:paraId="13DE430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11.2.2</w:t>
            </w:r>
          </w:p>
        </w:tc>
        <w:tc>
          <w:tcPr>
            <w:tcW w:w="4298" w:type="pct"/>
          </w:tcPr>
          <w:p w14:paraId="0C119F0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进度例会的内容将涉及合同管理、进度协调和工程管理的各个方面，由监理人准备的会议议题将随会议通知在会议召开前至少24小时发给各参会方。</w:t>
            </w:r>
          </w:p>
        </w:tc>
      </w:tr>
      <w:tr w14:paraId="5A7E6724">
        <w:tblPrEx>
          <w:tblCellMar>
            <w:top w:w="0" w:type="dxa"/>
            <w:left w:w="108" w:type="dxa"/>
            <w:bottom w:w="0" w:type="dxa"/>
            <w:right w:w="108" w:type="dxa"/>
          </w:tblCellMar>
        </w:tblPrEx>
        <w:tc>
          <w:tcPr>
            <w:tcW w:w="701" w:type="pct"/>
            <w:gridSpan w:val="2"/>
          </w:tcPr>
          <w:p w14:paraId="0750994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11.2.3</w:t>
            </w:r>
          </w:p>
        </w:tc>
        <w:tc>
          <w:tcPr>
            <w:tcW w:w="4298" w:type="pct"/>
          </w:tcPr>
          <w:p w14:paraId="678C8F5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监理人应当做好会议记录，并在会议结束时由与会各方签字确认。监理人应根据会议记录整理出会议纪要，并在相应会议后24小时内分发给出席会议的各方。会议纪要应当如实反映会议记录的内容，包括任何决定、存在的问题、责任方、有关工作的时间目标等等。各方在收到会议纪要后24小时内给予签字确认，如有任何异议，应将有关异议以书面形式通知监理人，由监理人与有异议一方或各方共同核对会议记录，有异议的一方或者各方对与会议记录内容一致的会议纪要必须给予签字确认，否则监理人可以用会议记录作为会议纪要。经参会各方签字认可的会议纪要对各方有合同约束力。</w:t>
            </w:r>
          </w:p>
        </w:tc>
      </w:tr>
      <w:tr w14:paraId="03BC11B5">
        <w:tblPrEx>
          <w:tblCellMar>
            <w:top w:w="0" w:type="dxa"/>
            <w:left w:w="108" w:type="dxa"/>
            <w:bottom w:w="0" w:type="dxa"/>
            <w:right w:w="108" w:type="dxa"/>
          </w:tblCellMar>
        </w:tblPrEx>
        <w:tc>
          <w:tcPr>
            <w:tcW w:w="701" w:type="pct"/>
            <w:gridSpan w:val="2"/>
          </w:tcPr>
          <w:p w14:paraId="717B906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11.2.4</w:t>
            </w:r>
          </w:p>
        </w:tc>
        <w:tc>
          <w:tcPr>
            <w:tcW w:w="4298" w:type="pct"/>
          </w:tcPr>
          <w:p w14:paraId="01D61B7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bookmarkStart w:id="70" w:name="_Toc453744834"/>
            <w:r>
              <w:rPr>
                <w:rFonts w:hint="default" w:ascii="Times New Roman" w:hAnsi="Times New Roman" w:cs="Times New Roman"/>
                <w:kern w:val="0"/>
                <w:szCs w:val="21"/>
              </w:rPr>
              <w:t>有关进度例会的其他要求：</w:t>
            </w:r>
            <w:bookmarkEnd w:id="70"/>
            <w:r>
              <w:rPr>
                <w:rFonts w:hint="default" w:ascii="Times New Roman" w:hAnsi="Times New Roman" w:cs="Times New Roman"/>
                <w:kern w:val="0"/>
                <w:szCs w:val="21"/>
                <w:u w:val="single"/>
              </w:rPr>
              <w:t xml:space="preserve">    </w:t>
            </w:r>
            <w:r>
              <w:rPr>
                <w:rFonts w:hint="default" w:ascii="Times New Roman" w:hAnsi="Times New Roman" w:cs="Times New Roman"/>
                <w:kern w:val="0"/>
                <w:szCs w:val="21"/>
                <w:u w:val="single"/>
                <w:lang w:val="en-US" w:eastAsia="zh-CN"/>
              </w:rPr>
              <w:t>/</w:t>
            </w:r>
            <w:r>
              <w:rPr>
                <w:rFonts w:hint="default" w:ascii="Times New Roman" w:hAnsi="Times New Roman" w:cs="Times New Roman"/>
                <w:kern w:val="0"/>
                <w:szCs w:val="21"/>
                <w:u w:val="single"/>
              </w:rPr>
              <w:t xml:space="preserve">            </w:t>
            </w:r>
          </w:p>
        </w:tc>
      </w:tr>
      <w:tr w14:paraId="144B49FE">
        <w:tblPrEx>
          <w:tblCellMar>
            <w:top w:w="0" w:type="dxa"/>
            <w:left w:w="108" w:type="dxa"/>
            <w:bottom w:w="0" w:type="dxa"/>
            <w:right w:w="108" w:type="dxa"/>
          </w:tblCellMar>
        </w:tblPrEx>
        <w:tc>
          <w:tcPr>
            <w:tcW w:w="5000" w:type="pct"/>
            <w:gridSpan w:val="3"/>
          </w:tcPr>
          <w:p w14:paraId="6DF83C06">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bookmarkStart w:id="71" w:name="_Toc429569611"/>
            <w:bookmarkStart w:id="72" w:name="_Toc453744835"/>
            <w:r>
              <w:rPr>
                <w:rFonts w:hint="default" w:ascii="Times New Roman" w:hAnsi="Times New Roman" w:cs="Times New Roman"/>
                <w:b/>
                <w:bCs/>
                <w:kern w:val="0"/>
                <w:szCs w:val="21"/>
                <w:lang w:eastAsia="en-US"/>
              </w:rPr>
              <w:t>12. 试验和检验</w:t>
            </w:r>
            <w:bookmarkEnd w:id="71"/>
            <w:bookmarkEnd w:id="72"/>
          </w:p>
        </w:tc>
      </w:tr>
      <w:tr w14:paraId="5B1A9FB7">
        <w:tblPrEx>
          <w:tblCellMar>
            <w:top w:w="0" w:type="dxa"/>
            <w:left w:w="108" w:type="dxa"/>
            <w:bottom w:w="0" w:type="dxa"/>
            <w:right w:w="108" w:type="dxa"/>
          </w:tblCellMar>
        </w:tblPrEx>
        <w:tc>
          <w:tcPr>
            <w:tcW w:w="701" w:type="pct"/>
            <w:gridSpan w:val="2"/>
          </w:tcPr>
          <w:p w14:paraId="76F45814">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kern w:val="0"/>
                <w:szCs w:val="21"/>
                <w:lang w:eastAsia="en-US"/>
              </w:rPr>
              <w:t>12.1</w:t>
            </w:r>
          </w:p>
        </w:tc>
        <w:tc>
          <w:tcPr>
            <w:tcW w:w="4298" w:type="pct"/>
          </w:tcPr>
          <w:p w14:paraId="51C7BDB4">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rPr>
            </w:pPr>
            <w:bookmarkStart w:id="73" w:name="OLE_LINK226"/>
            <w:r>
              <w:rPr>
                <w:rFonts w:hint="default" w:ascii="Times New Roman" w:hAnsi="Times New Roman" w:cs="Times New Roman"/>
                <w:kern w:val="0"/>
                <w:szCs w:val="21"/>
              </w:rPr>
              <w:t>发包人委托具有相应资质的检测单位，按相关规定对见证取样的建筑材料、建筑构配件和设备、预拌混凝土、混凝土预制构件和工程实体质量、使用功能以及约定的其他检测内容进行检测。承包人应在监理人的监督下，进行现场取样、封样，并送检测单位进行检测。</w:t>
            </w:r>
            <w:bookmarkEnd w:id="73"/>
          </w:p>
          <w:p w14:paraId="1DD7DFE3">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本工程发包人委托检测单位进行试验和检验的其他材料和工艺：</w:t>
            </w:r>
            <w:r>
              <w:rPr>
                <w:rFonts w:hint="default" w:ascii="Times New Roman" w:hAnsi="Times New Roman" w:cs="Times New Roman"/>
                <w:kern w:val="0"/>
                <w:szCs w:val="21"/>
                <w:u w:val="single"/>
              </w:rPr>
              <w:t xml:space="preserve">    /            </w:t>
            </w:r>
          </w:p>
        </w:tc>
      </w:tr>
      <w:tr w14:paraId="2553BC0F">
        <w:tblPrEx>
          <w:tblCellMar>
            <w:top w:w="0" w:type="dxa"/>
            <w:left w:w="108" w:type="dxa"/>
            <w:bottom w:w="0" w:type="dxa"/>
            <w:right w:w="108" w:type="dxa"/>
          </w:tblCellMar>
        </w:tblPrEx>
        <w:tc>
          <w:tcPr>
            <w:tcW w:w="701" w:type="pct"/>
            <w:gridSpan w:val="2"/>
          </w:tcPr>
          <w:p w14:paraId="34B8EB1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12.2</w:t>
            </w:r>
          </w:p>
        </w:tc>
        <w:tc>
          <w:tcPr>
            <w:tcW w:w="4298" w:type="pct"/>
          </w:tcPr>
          <w:p w14:paraId="247B1BE1">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除第12.1款约定的由发包人委托检测内容外，承包人应当按照工程施工验收规范和标准的规定和合同条款第14条的约定，对用于永久工程的主要材料、半成品、成品、建筑构配件等进行试验和检验。监理人可以根据工程需要，指示承包人进行其他现场材料和工艺的试验和检验。</w:t>
            </w:r>
          </w:p>
        </w:tc>
      </w:tr>
      <w:tr w14:paraId="20EBA39F">
        <w:tblPrEx>
          <w:tblCellMar>
            <w:top w:w="0" w:type="dxa"/>
            <w:left w:w="108" w:type="dxa"/>
            <w:bottom w:w="0" w:type="dxa"/>
            <w:right w:w="108" w:type="dxa"/>
          </w:tblCellMar>
        </w:tblPrEx>
        <w:tc>
          <w:tcPr>
            <w:tcW w:w="701" w:type="pct"/>
            <w:gridSpan w:val="2"/>
          </w:tcPr>
          <w:p w14:paraId="2C25A55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lang w:eastAsia="en-US"/>
              </w:rPr>
              <w:t>12.</w:t>
            </w:r>
            <w:r>
              <w:rPr>
                <w:rFonts w:hint="default" w:ascii="Times New Roman" w:hAnsi="Times New Roman" w:cs="Times New Roman"/>
                <w:kern w:val="0"/>
                <w:szCs w:val="21"/>
              </w:rPr>
              <w:t>3</w:t>
            </w:r>
          </w:p>
        </w:tc>
        <w:tc>
          <w:tcPr>
            <w:tcW w:w="4298" w:type="pct"/>
          </w:tcPr>
          <w:p w14:paraId="496A22A0">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eastAsiaTheme="minorEastAsia"/>
                <w:kern w:val="0"/>
                <w:szCs w:val="21"/>
                <w:lang w:val="en-US" w:eastAsia="zh-CN"/>
              </w:rPr>
            </w:pPr>
            <w:r>
              <w:rPr>
                <w:rFonts w:hint="default" w:ascii="Times New Roman" w:hAnsi="Times New Roman" w:cs="Times New Roman"/>
                <w:kern w:val="0"/>
                <w:szCs w:val="21"/>
              </w:rPr>
              <w:t>本工程需要承包人进行试验和检验的材料和工艺如下：</w:t>
            </w:r>
            <w:r>
              <w:rPr>
                <w:rFonts w:hint="eastAsia" w:ascii="Times New Roman" w:hAnsi="Times New Roman" w:cs="Times New Roman"/>
                <w:kern w:val="0"/>
                <w:szCs w:val="21"/>
                <w:u w:val="single"/>
                <w:lang w:val="en-US" w:eastAsia="zh-CN"/>
              </w:rPr>
              <w:t xml:space="preserve">     /      </w:t>
            </w:r>
          </w:p>
        </w:tc>
      </w:tr>
      <w:tr w14:paraId="781C9069">
        <w:tblPrEx>
          <w:tblCellMar>
            <w:top w:w="0" w:type="dxa"/>
            <w:left w:w="108" w:type="dxa"/>
            <w:bottom w:w="0" w:type="dxa"/>
            <w:right w:w="108" w:type="dxa"/>
          </w:tblCellMar>
        </w:tblPrEx>
        <w:tc>
          <w:tcPr>
            <w:tcW w:w="701" w:type="pct"/>
            <w:gridSpan w:val="2"/>
          </w:tcPr>
          <w:p w14:paraId="63AADEDF">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lang w:eastAsia="en-US"/>
              </w:rPr>
              <w:t>12.</w:t>
            </w:r>
            <w:r>
              <w:rPr>
                <w:rFonts w:hint="default" w:ascii="Times New Roman" w:hAnsi="Times New Roman" w:cs="Times New Roman"/>
                <w:kern w:val="0"/>
                <w:szCs w:val="21"/>
              </w:rPr>
              <w:t>4</w:t>
            </w:r>
          </w:p>
        </w:tc>
        <w:tc>
          <w:tcPr>
            <w:tcW w:w="4298" w:type="pct"/>
          </w:tcPr>
          <w:p w14:paraId="7BAA3A7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eastAsiaTheme="minorEastAsia"/>
                <w:kern w:val="0"/>
                <w:szCs w:val="21"/>
                <w:lang w:val="en-US" w:eastAsia="zh-CN"/>
              </w:rPr>
            </w:pPr>
            <w:r>
              <w:rPr>
                <w:rFonts w:hint="default" w:ascii="Times New Roman" w:hAnsi="Times New Roman" w:cs="Times New Roman"/>
                <w:kern w:val="0"/>
                <w:szCs w:val="21"/>
              </w:rPr>
              <w:t>本工程需要由监理人和承包人共同进行试验和检验的材料和工艺如下</w:t>
            </w:r>
            <w:r>
              <w:rPr>
                <w:rFonts w:hint="default" w:ascii="Times New Roman" w:hAnsi="Times New Roman" w:cs="Times New Roman"/>
                <w:kern w:val="0"/>
                <w:szCs w:val="21"/>
                <w:lang w:eastAsia="zh-CN"/>
              </w:rPr>
              <w:t>：</w:t>
            </w:r>
            <w:r>
              <w:rPr>
                <w:rFonts w:hint="eastAsia" w:ascii="Times New Roman" w:hAnsi="Times New Roman" w:cs="Times New Roman"/>
                <w:kern w:val="0"/>
                <w:szCs w:val="21"/>
                <w:u w:val="single"/>
                <w:lang w:val="en-US" w:eastAsia="zh-CN"/>
              </w:rPr>
              <w:t xml:space="preserve">   /  </w:t>
            </w:r>
          </w:p>
        </w:tc>
      </w:tr>
      <w:tr w14:paraId="51E5E135">
        <w:tblPrEx>
          <w:tblCellMar>
            <w:top w:w="0" w:type="dxa"/>
            <w:left w:w="108" w:type="dxa"/>
            <w:bottom w:w="0" w:type="dxa"/>
            <w:right w:w="108" w:type="dxa"/>
          </w:tblCellMar>
        </w:tblPrEx>
        <w:tc>
          <w:tcPr>
            <w:tcW w:w="701" w:type="pct"/>
            <w:gridSpan w:val="2"/>
          </w:tcPr>
          <w:p w14:paraId="3AD0C78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lang w:eastAsia="en-US"/>
              </w:rPr>
              <w:t>12.</w:t>
            </w:r>
            <w:r>
              <w:rPr>
                <w:rFonts w:hint="default" w:ascii="Times New Roman" w:hAnsi="Times New Roman" w:cs="Times New Roman"/>
                <w:kern w:val="0"/>
                <w:szCs w:val="21"/>
              </w:rPr>
              <w:t>5</w:t>
            </w:r>
          </w:p>
        </w:tc>
        <w:tc>
          <w:tcPr>
            <w:tcW w:w="4298" w:type="pct"/>
          </w:tcPr>
          <w:p w14:paraId="5DA0220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本条上</w:t>
            </w:r>
            <w:bookmarkStart w:id="74" w:name="OLE_LINK166"/>
            <w:r>
              <w:rPr>
                <w:rFonts w:hint="default" w:ascii="Times New Roman" w:hAnsi="Times New Roman" w:cs="Times New Roman"/>
                <w:kern w:val="0"/>
                <w:szCs w:val="21"/>
              </w:rPr>
              <w:t>述约定需要进行检验的材料和工艺在经过检验并获得监理人批准以前，不得用于任何</w:t>
            </w:r>
            <w:bookmarkEnd w:id="74"/>
            <w:r>
              <w:rPr>
                <w:rFonts w:hint="default" w:ascii="Times New Roman" w:hAnsi="Times New Roman" w:cs="Times New Roman"/>
                <w:kern w:val="0"/>
                <w:szCs w:val="21"/>
              </w:rPr>
              <w:t>永久工程。</w:t>
            </w:r>
          </w:p>
        </w:tc>
      </w:tr>
      <w:tr w14:paraId="6926D16E">
        <w:tblPrEx>
          <w:tblCellMar>
            <w:top w:w="0" w:type="dxa"/>
            <w:left w:w="108" w:type="dxa"/>
            <w:bottom w:w="0" w:type="dxa"/>
            <w:right w:w="108" w:type="dxa"/>
          </w:tblCellMar>
        </w:tblPrEx>
        <w:tc>
          <w:tcPr>
            <w:tcW w:w="701" w:type="pct"/>
            <w:gridSpan w:val="2"/>
          </w:tcPr>
          <w:p w14:paraId="3D54F00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lang w:eastAsia="en-US"/>
              </w:rPr>
              <w:t>12.</w:t>
            </w:r>
            <w:r>
              <w:rPr>
                <w:rFonts w:hint="default" w:ascii="Times New Roman" w:hAnsi="Times New Roman" w:cs="Times New Roman"/>
                <w:kern w:val="0"/>
                <w:szCs w:val="21"/>
              </w:rPr>
              <w:t>6</w:t>
            </w:r>
          </w:p>
        </w:tc>
        <w:tc>
          <w:tcPr>
            <w:tcW w:w="4298" w:type="pct"/>
          </w:tcPr>
          <w:p w14:paraId="05E176D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为任何材料和工艺的检查、检测和检验提供劳务、电力、燃料、备用品、设备和仪器以及必要的协助。监理人及其任何授权人员应能够在任何时候进入现场及正在为工程制造、装配、准备材料的车间和场所进行任何必要的检查。无论这些车间和场所是否属于承包人，承包人都应提供一切便利，并协助其取得相应的权力和（或）许可。</w:t>
            </w:r>
          </w:p>
        </w:tc>
      </w:tr>
      <w:tr w14:paraId="6752993C">
        <w:tblPrEx>
          <w:tblCellMar>
            <w:top w:w="0" w:type="dxa"/>
            <w:left w:w="108" w:type="dxa"/>
            <w:bottom w:w="0" w:type="dxa"/>
            <w:right w:w="108" w:type="dxa"/>
          </w:tblCellMar>
        </w:tblPrEx>
        <w:tc>
          <w:tcPr>
            <w:tcW w:w="701" w:type="pct"/>
            <w:gridSpan w:val="2"/>
          </w:tcPr>
          <w:p w14:paraId="2B2F5D0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lang w:eastAsia="en-US"/>
              </w:rPr>
              <w:t>12.</w:t>
            </w:r>
            <w:r>
              <w:rPr>
                <w:rFonts w:hint="default" w:ascii="Times New Roman" w:hAnsi="Times New Roman" w:cs="Times New Roman"/>
                <w:kern w:val="0"/>
                <w:szCs w:val="21"/>
              </w:rPr>
              <w:t>7</w:t>
            </w:r>
          </w:p>
        </w:tc>
        <w:tc>
          <w:tcPr>
            <w:tcW w:w="4298" w:type="pct"/>
          </w:tcPr>
          <w:p w14:paraId="117503A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如果检查、检测、检验或试验的结果表明，材料和工艺有缺陷或不符合合同约定，监理人和发包人可拒收此类材料和工艺，并应立即通知承包人同时说明理由。承包人应立即修复上述缺陷并保证其符合合同约定。若监理人或发包人要求对此类材料、设计或工艺重新进行检验，则此类检验应按相同条款和条件重新进行。如果此类拒收和重新检验致使发包人产生了额外费用，则此类费用应由承包人支付给发包人，或从发包人应支付给承包人的款项中扣除。</w:t>
            </w:r>
          </w:p>
        </w:tc>
      </w:tr>
      <w:tr w14:paraId="1E5D8C45">
        <w:tblPrEx>
          <w:tblCellMar>
            <w:top w:w="0" w:type="dxa"/>
            <w:left w:w="108" w:type="dxa"/>
            <w:bottom w:w="0" w:type="dxa"/>
            <w:right w:w="108" w:type="dxa"/>
          </w:tblCellMar>
        </w:tblPrEx>
        <w:tc>
          <w:tcPr>
            <w:tcW w:w="701" w:type="pct"/>
            <w:gridSpan w:val="2"/>
          </w:tcPr>
          <w:p w14:paraId="53A567B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lang w:eastAsia="en-US"/>
              </w:rPr>
              <w:t>12.</w:t>
            </w:r>
            <w:r>
              <w:rPr>
                <w:rFonts w:hint="default" w:ascii="Times New Roman" w:hAnsi="Times New Roman" w:cs="Times New Roman"/>
                <w:kern w:val="0"/>
                <w:szCs w:val="21"/>
              </w:rPr>
              <w:t>8</w:t>
            </w:r>
          </w:p>
        </w:tc>
        <w:tc>
          <w:tcPr>
            <w:tcW w:w="4298" w:type="pct"/>
          </w:tcPr>
          <w:p w14:paraId="7FEC734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承包人应在监理人的监督下，对涉及结构安全的试块、试件以及有关材料进行现场取样，并送质量检测单位进行检测。</w:t>
            </w:r>
          </w:p>
          <w:p w14:paraId="39123EC3">
            <w:pPr>
              <w:keepNext w:val="0"/>
              <w:keepLines w:val="0"/>
              <w:widowControl/>
              <w:suppressLineNumbers w:val="0"/>
              <w:spacing w:before="0" w:beforeAutospacing="0" w:after="156" w:afterLines="50" w:afterAutospacing="0" w:line="360" w:lineRule="auto"/>
              <w:ind w:left="0" w:right="0"/>
              <w:jc w:val="left"/>
              <w:rPr>
                <w:rFonts w:hint="eastAsia" w:ascii="Times New Roman" w:hAnsi="Times New Roman" w:cs="Times New Roman" w:eastAsiaTheme="minorEastAsia"/>
                <w:kern w:val="0"/>
                <w:szCs w:val="21"/>
                <w:lang w:val="en-US" w:eastAsia="zh-CN"/>
              </w:rPr>
            </w:pPr>
            <w:r>
              <w:rPr>
                <w:rFonts w:hint="default" w:ascii="Times New Roman" w:hAnsi="Times New Roman" w:cs="Times New Roman"/>
                <w:kern w:val="0"/>
                <w:szCs w:val="21"/>
              </w:rPr>
              <w:t>涉及结构安全的试块、试件以及有关材料检测的质量检测单位：</w:t>
            </w:r>
            <w:r>
              <w:rPr>
                <w:rFonts w:hint="default" w:ascii="Times New Roman" w:hAnsi="Times New Roman" w:cs="Times New Roman"/>
                <w:kern w:val="0"/>
                <w:szCs w:val="21"/>
                <w:u w:val="single"/>
              </w:rPr>
              <w:t>发包人和监理人认可的</w:t>
            </w:r>
            <w:r>
              <w:rPr>
                <w:rFonts w:hint="eastAsia" w:ascii="Times New Roman" w:hAnsi="Times New Roman" w:cs="Times New Roman"/>
                <w:kern w:val="0"/>
                <w:szCs w:val="21"/>
                <w:u w:val="single"/>
                <w:lang w:eastAsia="zh-CN"/>
              </w:rPr>
              <w:t>。</w:t>
            </w:r>
          </w:p>
        </w:tc>
      </w:tr>
      <w:tr w14:paraId="779B6ECC">
        <w:tblPrEx>
          <w:tblCellMar>
            <w:top w:w="0" w:type="dxa"/>
            <w:left w:w="108" w:type="dxa"/>
            <w:bottom w:w="0" w:type="dxa"/>
            <w:right w:w="108" w:type="dxa"/>
          </w:tblCellMar>
        </w:tblPrEx>
        <w:tc>
          <w:tcPr>
            <w:tcW w:w="701" w:type="pct"/>
            <w:gridSpan w:val="2"/>
          </w:tcPr>
          <w:p w14:paraId="621F739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lang w:eastAsia="en-US"/>
              </w:rPr>
              <w:t>12.</w:t>
            </w:r>
            <w:r>
              <w:rPr>
                <w:rFonts w:hint="default" w:ascii="Times New Roman" w:hAnsi="Times New Roman" w:cs="Times New Roman"/>
                <w:kern w:val="0"/>
                <w:szCs w:val="21"/>
              </w:rPr>
              <w:t>9</w:t>
            </w:r>
          </w:p>
        </w:tc>
        <w:tc>
          <w:tcPr>
            <w:tcW w:w="4298" w:type="pct"/>
          </w:tcPr>
          <w:p w14:paraId="2AA8BE94">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除合同另有约定外，承包人应负担除第12.1款发包人支付给委托检测单位的费用外，本合同项下的所有材料和工艺检验的费用。</w:t>
            </w:r>
          </w:p>
        </w:tc>
      </w:tr>
      <w:tr w14:paraId="5299FA01">
        <w:tblPrEx>
          <w:tblCellMar>
            <w:top w:w="0" w:type="dxa"/>
            <w:left w:w="108" w:type="dxa"/>
            <w:bottom w:w="0" w:type="dxa"/>
            <w:right w:w="108" w:type="dxa"/>
          </w:tblCellMar>
        </w:tblPrEx>
        <w:tc>
          <w:tcPr>
            <w:tcW w:w="5000" w:type="pct"/>
            <w:gridSpan w:val="3"/>
          </w:tcPr>
          <w:p w14:paraId="6DE842CA">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bookmarkStart w:id="75" w:name="_Toc429569612"/>
            <w:bookmarkStart w:id="76" w:name="_Toc453744836"/>
            <w:r>
              <w:rPr>
                <w:rFonts w:hint="default" w:ascii="Times New Roman" w:hAnsi="Times New Roman" w:cs="Times New Roman"/>
                <w:b/>
                <w:bCs/>
                <w:kern w:val="0"/>
                <w:szCs w:val="21"/>
                <w:lang w:eastAsia="en-US"/>
              </w:rPr>
              <w:t>13. 计日工</w:t>
            </w:r>
            <w:bookmarkEnd w:id="75"/>
            <w:bookmarkEnd w:id="76"/>
          </w:p>
        </w:tc>
      </w:tr>
      <w:tr w14:paraId="7A7140BD">
        <w:tblPrEx>
          <w:tblCellMar>
            <w:top w:w="0" w:type="dxa"/>
            <w:left w:w="108" w:type="dxa"/>
            <w:bottom w:w="0" w:type="dxa"/>
            <w:right w:w="108" w:type="dxa"/>
          </w:tblCellMar>
        </w:tblPrEx>
        <w:tc>
          <w:tcPr>
            <w:tcW w:w="701" w:type="pct"/>
            <w:gridSpan w:val="2"/>
          </w:tcPr>
          <w:p w14:paraId="58E99AA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13.1</w:t>
            </w:r>
          </w:p>
        </w:tc>
        <w:tc>
          <w:tcPr>
            <w:tcW w:w="4298" w:type="pct"/>
          </w:tcPr>
          <w:p w14:paraId="4146921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合同条款第15.7款约定的计日工，一般适用于合同约定之外的或者因变更而产生的、工程量清单中没有设立相应项目或者即便有相应项目但因工作条件发生变化而无法适用的额外工作，尤其是那些时间不允许事先商定价格的额外工作。计日工在发包人认为必要时，由监理人按合同条款第15.7.1项约定通知承包人实施。</w:t>
            </w:r>
          </w:p>
        </w:tc>
      </w:tr>
      <w:tr w14:paraId="448C344D">
        <w:tblPrEx>
          <w:tblCellMar>
            <w:top w:w="0" w:type="dxa"/>
            <w:left w:w="108" w:type="dxa"/>
            <w:bottom w:w="0" w:type="dxa"/>
            <w:right w:w="108" w:type="dxa"/>
          </w:tblCellMar>
        </w:tblPrEx>
        <w:tc>
          <w:tcPr>
            <w:tcW w:w="701" w:type="pct"/>
            <w:gridSpan w:val="2"/>
          </w:tcPr>
          <w:p w14:paraId="7E4E759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13.2</w:t>
            </w:r>
          </w:p>
        </w:tc>
        <w:tc>
          <w:tcPr>
            <w:tcW w:w="4298" w:type="pct"/>
          </w:tcPr>
          <w:p w14:paraId="6609D631">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在工程实际开工后14天内，承包人应当按通用合同条款第15.7.2项约定的计日工报表内容，准备一份计日工日报表的格式，报送监理人审批，监理人应当在收到之日后7天内给予批复或提出修改意见。</w:t>
            </w:r>
          </w:p>
        </w:tc>
      </w:tr>
      <w:tr w14:paraId="6E0F4909">
        <w:tblPrEx>
          <w:tblCellMar>
            <w:top w:w="0" w:type="dxa"/>
            <w:left w:w="108" w:type="dxa"/>
            <w:bottom w:w="0" w:type="dxa"/>
            <w:right w:w="108" w:type="dxa"/>
          </w:tblCellMar>
        </w:tblPrEx>
        <w:tc>
          <w:tcPr>
            <w:tcW w:w="701" w:type="pct"/>
            <w:gridSpan w:val="2"/>
          </w:tcPr>
          <w:p w14:paraId="6E866DE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13.3</w:t>
            </w:r>
          </w:p>
        </w:tc>
        <w:tc>
          <w:tcPr>
            <w:tcW w:w="4298" w:type="pct"/>
          </w:tcPr>
          <w:p w14:paraId="67CE485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按计日工实施相关变更的过程中，承包人应当按经监理人批准的计日工日报表格式，每天提交计日工报表和有关凭证，报送监理人审批，监理人应当在收到相关报表和凭证后24小时内给予批复。</w:t>
            </w:r>
          </w:p>
        </w:tc>
      </w:tr>
      <w:tr w14:paraId="0F301205">
        <w:tblPrEx>
          <w:tblCellMar>
            <w:top w:w="0" w:type="dxa"/>
            <w:left w:w="108" w:type="dxa"/>
            <w:bottom w:w="0" w:type="dxa"/>
            <w:right w:w="108" w:type="dxa"/>
          </w:tblCellMar>
        </w:tblPrEx>
        <w:tc>
          <w:tcPr>
            <w:tcW w:w="701" w:type="pct"/>
            <w:gridSpan w:val="2"/>
          </w:tcPr>
          <w:p w14:paraId="7575159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13.4</w:t>
            </w:r>
          </w:p>
        </w:tc>
        <w:tc>
          <w:tcPr>
            <w:tcW w:w="4298" w:type="pct"/>
          </w:tcPr>
          <w:p w14:paraId="7E2CA9CC">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计日工劳务按工日（8小时）计量，单次4小时以内按0.5个工日，单次4小时至8小时按1个工日，加班时间按照国家劳动法律法规的规定办理。实施计日工的劳务人员仅应包括直接从事计日工工作的工人和班组长（如果有），不应包括工长及其以上管理人员。</w:t>
            </w:r>
          </w:p>
        </w:tc>
      </w:tr>
      <w:tr w14:paraId="23E2DF0A">
        <w:tblPrEx>
          <w:tblCellMar>
            <w:top w:w="0" w:type="dxa"/>
            <w:left w:w="108" w:type="dxa"/>
            <w:bottom w:w="0" w:type="dxa"/>
            <w:right w:w="108" w:type="dxa"/>
          </w:tblCellMar>
        </w:tblPrEx>
        <w:tc>
          <w:tcPr>
            <w:tcW w:w="701" w:type="pct"/>
            <w:gridSpan w:val="2"/>
          </w:tcPr>
          <w:p w14:paraId="3EC6DE6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13.5</w:t>
            </w:r>
          </w:p>
        </w:tc>
        <w:tc>
          <w:tcPr>
            <w:tcW w:w="4298" w:type="pct"/>
          </w:tcPr>
          <w:p w14:paraId="26A548A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合同清单计日工材料表中未列出的材料，实际发生于计日工时，其价格按照经监理人事先审批的材料运到现场的价格，和有关材料采购的发票票面价格（运到现场价）中的较低者结算，另计一个在计日工材料表中填写的包括承包人企业管理费、利润在内的一个固定百分比，增值税另计。</w:t>
            </w:r>
          </w:p>
        </w:tc>
      </w:tr>
      <w:tr w14:paraId="1D5089BD">
        <w:tblPrEx>
          <w:tblCellMar>
            <w:top w:w="0" w:type="dxa"/>
            <w:left w:w="108" w:type="dxa"/>
            <w:bottom w:w="0" w:type="dxa"/>
            <w:right w:w="108" w:type="dxa"/>
          </w:tblCellMar>
        </w:tblPrEx>
        <w:tc>
          <w:tcPr>
            <w:tcW w:w="701" w:type="pct"/>
            <w:gridSpan w:val="2"/>
          </w:tcPr>
          <w:p w14:paraId="6C74DA6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13.6</w:t>
            </w:r>
          </w:p>
        </w:tc>
        <w:tc>
          <w:tcPr>
            <w:tcW w:w="4298" w:type="pct"/>
          </w:tcPr>
          <w:p w14:paraId="2030DA3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施工机械按台班计量（8小时），单次4小时以内按0.5个台班，单次4小时至8小时按1个台班，操作人员加班时间按照国家劳动法律法规的规定办理。计日工如果需要使用场外施工机械，台班费用和进出场费用按市场平均价格，由承包人事后报监理人审批。</w:t>
            </w:r>
          </w:p>
        </w:tc>
      </w:tr>
      <w:tr w14:paraId="594C77C2">
        <w:tblPrEx>
          <w:tblCellMar>
            <w:top w:w="0" w:type="dxa"/>
            <w:left w:w="108" w:type="dxa"/>
            <w:bottom w:w="0" w:type="dxa"/>
            <w:right w:w="108" w:type="dxa"/>
          </w:tblCellMar>
        </w:tblPrEx>
        <w:tc>
          <w:tcPr>
            <w:tcW w:w="701" w:type="pct"/>
            <w:gridSpan w:val="2"/>
          </w:tcPr>
          <w:p w14:paraId="6AD4DA9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13.7</w:t>
            </w:r>
          </w:p>
        </w:tc>
        <w:tc>
          <w:tcPr>
            <w:tcW w:w="4298" w:type="pct"/>
          </w:tcPr>
          <w:p w14:paraId="7ED30FC5">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rPr>
              <w:t>关于计日工的其他约定：</w:t>
            </w:r>
            <w:r>
              <w:rPr>
                <w:rFonts w:hint="default" w:ascii="Times New Roman" w:hAnsi="Times New Roman" w:cs="Times New Roman"/>
                <w:kern w:val="0"/>
                <w:szCs w:val="21"/>
                <w:u w:val="single"/>
              </w:rPr>
              <w:t xml:space="preserve">       </w:t>
            </w:r>
            <w:r>
              <w:rPr>
                <w:rFonts w:hint="default" w:ascii="Times New Roman" w:hAnsi="Times New Roman" w:cs="Times New Roman"/>
                <w:kern w:val="0"/>
                <w:szCs w:val="21"/>
                <w:u w:val="single"/>
                <w:lang w:val="en-US" w:eastAsia="zh-CN"/>
              </w:rPr>
              <w:t>/</w:t>
            </w:r>
            <w:r>
              <w:rPr>
                <w:rFonts w:hint="default" w:ascii="Times New Roman" w:hAnsi="Times New Roman" w:cs="Times New Roman"/>
                <w:kern w:val="0"/>
                <w:szCs w:val="21"/>
                <w:u w:val="single"/>
              </w:rPr>
              <w:t xml:space="preserve">       </w:t>
            </w:r>
          </w:p>
        </w:tc>
      </w:tr>
      <w:tr w14:paraId="006A2613">
        <w:tblPrEx>
          <w:tblCellMar>
            <w:top w:w="0" w:type="dxa"/>
            <w:left w:w="108" w:type="dxa"/>
            <w:bottom w:w="0" w:type="dxa"/>
            <w:right w:w="108" w:type="dxa"/>
          </w:tblCellMar>
        </w:tblPrEx>
        <w:tc>
          <w:tcPr>
            <w:tcW w:w="5000" w:type="pct"/>
            <w:gridSpan w:val="3"/>
          </w:tcPr>
          <w:p w14:paraId="4129AD8F">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bookmarkStart w:id="77" w:name="_Toc453744837"/>
            <w:bookmarkStart w:id="78" w:name="_Toc429569613"/>
            <w:r>
              <w:rPr>
                <w:rFonts w:hint="default" w:ascii="Times New Roman" w:hAnsi="Times New Roman" w:cs="Times New Roman"/>
                <w:b/>
                <w:bCs/>
                <w:kern w:val="0"/>
                <w:szCs w:val="21"/>
                <w:lang w:eastAsia="en-US"/>
              </w:rPr>
              <w:t>14. 计量与支付</w:t>
            </w:r>
            <w:bookmarkEnd w:id="77"/>
            <w:bookmarkEnd w:id="78"/>
          </w:p>
        </w:tc>
      </w:tr>
      <w:tr w14:paraId="6CBD23D1">
        <w:tblPrEx>
          <w:tblCellMar>
            <w:top w:w="0" w:type="dxa"/>
            <w:left w:w="108" w:type="dxa"/>
            <w:bottom w:w="0" w:type="dxa"/>
            <w:right w:w="108" w:type="dxa"/>
          </w:tblCellMar>
        </w:tblPrEx>
        <w:tc>
          <w:tcPr>
            <w:tcW w:w="701" w:type="pct"/>
            <w:gridSpan w:val="2"/>
          </w:tcPr>
          <w:p w14:paraId="36A64C1D">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14.1</w:t>
            </w:r>
          </w:p>
        </w:tc>
        <w:tc>
          <w:tcPr>
            <w:tcW w:w="4298" w:type="pct"/>
          </w:tcPr>
          <w:p w14:paraId="6991D164">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付款申请单</w:t>
            </w:r>
          </w:p>
        </w:tc>
      </w:tr>
      <w:tr w14:paraId="23F32CBA">
        <w:tblPrEx>
          <w:tblCellMar>
            <w:top w:w="0" w:type="dxa"/>
            <w:left w:w="108" w:type="dxa"/>
            <w:bottom w:w="0" w:type="dxa"/>
            <w:right w:w="108" w:type="dxa"/>
          </w:tblCellMar>
        </w:tblPrEx>
        <w:tc>
          <w:tcPr>
            <w:tcW w:w="701" w:type="pct"/>
            <w:gridSpan w:val="2"/>
          </w:tcPr>
          <w:p w14:paraId="5129E152">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14.1.1</w:t>
            </w:r>
          </w:p>
        </w:tc>
        <w:tc>
          <w:tcPr>
            <w:tcW w:w="4298" w:type="pct"/>
          </w:tcPr>
          <w:p w14:paraId="17213650">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在工程实际开工后14天内，承包人应当按照合同条款第17条的约定，准备一份已完工程量报表、进度付款申请单和计量文件的格式等报送监理人，监理人应当在收到承包人报送的格式后7天内给予批复或者提出修改意见。</w:t>
            </w:r>
          </w:p>
        </w:tc>
      </w:tr>
      <w:tr w14:paraId="31C329FD">
        <w:tblPrEx>
          <w:tblCellMar>
            <w:top w:w="0" w:type="dxa"/>
            <w:left w:w="108" w:type="dxa"/>
            <w:bottom w:w="0" w:type="dxa"/>
            <w:right w:w="108" w:type="dxa"/>
          </w:tblCellMar>
        </w:tblPrEx>
        <w:tc>
          <w:tcPr>
            <w:tcW w:w="701" w:type="pct"/>
            <w:gridSpan w:val="2"/>
          </w:tcPr>
          <w:p w14:paraId="4A31585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14.1.2</w:t>
            </w:r>
          </w:p>
        </w:tc>
        <w:tc>
          <w:tcPr>
            <w:tcW w:w="4298" w:type="pct"/>
          </w:tcPr>
          <w:p w14:paraId="6DA72F1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根据合同条款第17.1款和第17.3款， 承包人应当在合同约定的每个付款周期末，对当期完成的各项工程量进行计量和计价，并按照第17.3.2项的约定，对当期应增加和扣减的各类款项进行梳理和汇总，按经监理人批准的格式和合同条款约定的份数和内容准备并向监理人递交进度付款申请单，并将进度付款申请单连同已完工程量报表、有关计量资料以及能够证明其进度付款申请单中所索要款项符合合同约定的各个支持性文件同时报送监理人审批。</w:t>
            </w:r>
          </w:p>
        </w:tc>
      </w:tr>
      <w:tr w14:paraId="0984AE77">
        <w:tblPrEx>
          <w:tblCellMar>
            <w:top w:w="0" w:type="dxa"/>
            <w:left w:w="108" w:type="dxa"/>
            <w:bottom w:w="0" w:type="dxa"/>
            <w:right w:w="108" w:type="dxa"/>
          </w:tblCellMar>
        </w:tblPrEx>
        <w:tc>
          <w:tcPr>
            <w:tcW w:w="701" w:type="pct"/>
            <w:gridSpan w:val="2"/>
          </w:tcPr>
          <w:p w14:paraId="70729DE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14.1.3</w:t>
            </w:r>
          </w:p>
        </w:tc>
        <w:tc>
          <w:tcPr>
            <w:tcW w:w="4298" w:type="pct"/>
          </w:tcPr>
          <w:p w14:paraId="564023E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竣工付款申请单的内容按合同条款第17.5.1（1）目的约定。采用单价合同形式的，竣工付款申请单应当附上按合同条款第17.1.4（5）目确定的结算工程量和最近一次进度付款和竣工付款之间完成的各子目的工程量计量文件。采用总价合同形式的，签约合同价所基于的工程量就是相应的竣工结算工程量，但是，变更应按合同约定进行计量和计价。</w:t>
            </w:r>
          </w:p>
        </w:tc>
      </w:tr>
      <w:tr w14:paraId="76ECEE8B">
        <w:tblPrEx>
          <w:tblCellMar>
            <w:top w:w="0" w:type="dxa"/>
            <w:left w:w="108" w:type="dxa"/>
            <w:bottom w:w="0" w:type="dxa"/>
            <w:right w:w="108" w:type="dxa"/>
          </w:tblCellMar>
        </w:tblPrEx>
        <w:tc>
          <w:tcPr>
            <w:tcW w:w="701" w:type="pct"/>
            <w:gridSpan w:val="2"/>
          </w:tcPr>
          <w:p w14:paraId="22D8150E">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14.1.4</w:t>
            </w:r>
          </w:p>
        </w:tc>
        <w:tc>
          <w:tcPr>
            <w:tcW w:w="4298" w:type="pct"/>
          </w:tcPr>
          <w:p w14:paraId="7766D47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竣工结算总价（合同价格）应当按以下内容梳理：</w:t>
            </w:r>
          </w:p>
          <w:p w14:paraId="2A6690BF">
            <w:pPr>
              <w:keepNext w:val="0"/>
              <w:keepLines w:val="0"/>
              <w:widowControl/>
              <w:numPr>
                <w:ilvl w:val="0"/>
                <w:numId w:val="3"/>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签约合同价；</w:t>
            </w:r>
          </w:p>
          <w:p w14:paraId="2FAD08DC">
            <w:pPr>
              <w:keepNext w:val="0"/>
              <w:keepLines w:val="0"/>
              <w:widowControl/>
              <w:numPr>
                <w:ilvl w:val="0"/>
                <w:numId w:val="3"/>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工程量清单缺陷调整价款；</w:t>
            </w:r>
          </w:p>
          <w:p w14:paraId="6D8C0943">
            <w:pPr>
              <w:keepNext w:val="0"/>
              <w:keepLines w:val="0"/>
              <w:widowControl/>
              <w:numPr>
                <w:ilvl w:val="0"/>
                <w:numId w:val="3"/>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应当扣减的项目：</w:t>
            </w:r>
          </w:p>
          <w:p w14:paraId="1711D029">
            <w:pPr>
              <w:keepNext w:val="0"/>
              <w:keepLines w:val="0"/>
              <w:widowControl/>
              <w:numPr>
                <w:ilvl w:val="1"/>
                <w:numId w:val="3"/>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所有暂列金额；</w:t>
            </w:r>
          </w:p>
          <w:p w14:paraId="40DD63F4">
            <w:pPr>
              <w:keepNext w:val="0"/>
              <w:keepLines w:val="0"/>
              <w:widowControl/>
              <w:numPr>
                <w:ilvl w:val="1"/>
                <w:numId w:val="3"/>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所有暂估价；</w:t>
            </w:r>
          </w:p>
          <w:p w14:paraId="072DDC12">
            <w:pPr>
              <w:keepNext w:val="0"/>
              <w:keepLines w:val="0"/>
              <w:widowControl/>
              <w:numPr>
                <w:ilvl w:val="1"/>
                <w:numId w:val="3"/>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根据合同条款第15条应扣减的变更金额；</w:t>
            </w:r>
          </w:p>
          <w:p w14:paraId="310FDE0C">
            <w:pPr>
              <w:keepNext w:val="0"/>
              <w:keepLines w:val="0"/>
              <w:widowControl/>
              <w:numPr>
                <w:ilvl w:val="1"/>
                <w:numId w:val="3"/>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根据合同条款第16条应扣减的价格调整（下调部分）；</w:t>
            </w:r>
          </w:p>
          <w:p w14:paraId="63450E7A">
            <w:pPr>
              <w:keepNext w:val="0"/>
              <w:keepLines w:val="0"/>
              <w:widowControl/>
              <w:numPr>
                <w:ilvl w:val="1"/>
                <w:numId w:val="3"/>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根据合同条款第23.4款应扣减的发包人索赔金额；</w:t>
            </w:r>
          </w:p>
          <w:p w14:paraId="191A625B">
            <w:pPr>
              <w:keepNext w:val="0"/>
              <w:keepLines w:val="0"/>
              <w:widowControl/>
              <w:numPr>
                <w:ilvl w:val="1"/>
                <w:numId w:val="3"/>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甩项工程的合同价值（如果有）；</w:t>
            </w:r>
          </w:p>
          <w:p w14:paraId="2BEAAB83">
            <w:pPr>
              <w:keepNext w:val="0"/>
              <w:keepLines w:val="0"/>
              <w:widowControl/>
              <w:numPr>
                <w:ilvl w:val="1"/>
                <w:numId w:val="3"/>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根据合同约定发包人应扣减的其他金额。</w:t>
            </w:r>
          </w:p>
          <w:p w14:paraId="75C3C664">
            <w:pPr>
              <w:keepNext w:val="0"/>
              <w:keepLines w:val="0"/>
              <w:widowControl/>
              <w:numPr>
                <w:ilvl w:val="0"/>
                <w:numId w:val="3"/>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应当增加的项目：</w:t>
            </w:r>
          </w:p>
        </w:tc>
      </w:tr>
      <w:tr w14:paraId="113B6E69">
        <w:tblPrEx>
          <w:tblCellMar>
            <w:top w:w="0" w:type="dxa"/>
            <w:left w:w="108" w:type="dxa"/>
            <w:bottom w:w="0" w:type="dxa"/>
            <w:right w:w="108" w:type="dxa"/>
          </w:tblCellMar>
        </w:tblPrEx>
        <w:tc>
          <w:tcPr>
            <w:tcW w:w="574" w:type="pct"/>
          </w:tcPr>
          <w:p w14:paraId="60BE9BD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p>
        </w:tc>
        <w:tc>
          <w:tcPr>
            <w:tcW w:w="4425" w:type="pct"/>
            <w:gridSpan w:val="2"/>
          </w:tcPr>
          <w:p w14:paraId="35D7169B">
            <w:pPr>
              <w:keepNext w:val="0"/>
              <w:keepLines w:val="0"/>
              <w:widowControl/>
              <w:numPr>
                <w:ilvl w:val="1"/>
                <w:numId w:val="3"/>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实际发生的暂列金额（包括计日工）；</w:t>
            </w:r>
          </w:p>
          <w:p w14:paraId="2DF7FFC8">
            <w:pPr>
              <w:keepNext w:val="0"/>
              <w:keepLines w:val="0"/>
              <w:widowControl/>
              <w:numPr>
                <w:ilvl w:val="1"/>
                <w:numId w:val="3"/>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实际发生的暂估价；</w:t>
            </w:r>
          </w:p>
          <w:p w14:paraId="294E0125">
            <w:pPr>
              <w:keepNext w:val="0"/>
              <w:keepLines w:val="0"/>
              <w:widowControl/>
              <w:numPr>
                <w:ilvl w:val="1"/>
                <w:numId w:val="3"/>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根据合同条款第15条应增加的变更金额；</w:t>
            </w:r>
          </w:p>
          <w:p w14:paraId="35E339A6">
            <w:pPr>
              <w:keepNext w:val="0"/>
              <w:keepLines w:val="0"/>
              <w:widowControl/>
              <w:numPr>
                <w:ilvl w:val="1"/>
                <w:numId w:val="3"/>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根据合同条款第16条应增加的价格调整（上调部分）；</w:t>
            </w:r>
          </w:p>
          <w:p w14:paraId="18440EA3">
            <w:pPr>
              <w:keepNext w:val="0"/>
              <w:keepLines w:val="0"/>
              <w:widowControl/>
              <w:numPr>
                <w:ilvl w:val="1"/>
                <w:numId w:val="3"/>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根据合同条款第23.1款应增加的承包人索赔金额；</w:t>
            </w:r>
          </w:p>
          <w:p w14:paraId="0E87258F">
            <w:pPr>
              <w:keepNext w:val="0"/>
              <w:keepLines w:val="0"/>
              <w:widowControl/>
              <w:numPr>
                <w:ilvl w:val="1"/>
                <w:numId w:val="3"/>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根据合同约定承包人应当得到的其他金额。</w:t>
            </w:r>
          </w:p>
          <w:p w14:paraId="156B134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（5）增值税差额部分。</w:t>
            </w:r>
          </w:p>
        </w:tc>
      </w:tr>
      <w:tr w14:paraId="6010FD80">
        <w:tblPrEx>
          <w:tblCellMar>
            <w:top w:w="0" w:type="dxa"/>
            <w:left w:w="108" w:type="dxa"/>
            <w:bottom w:w="0" w:type="dxa"/>
            <w:right w:w="108" w:type="dxa"/>
          </w:tblCellMar>
        </w:tblPrEx>
        <w:tc>
          <w:tcPr>
            <w:tcW w:w="701" w:type="pct"/>
            <w:gridSpan w:val="2"/>
          </w:tcPr>
          <w:p w14:paraId="004B241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14.1.5</w:t>
            </w:r>
          </w:p>
        </w:tc>
        <w:tc>
          <w:tcPr>
            <w:tcW w:w="4298" w:type="pct"/>
          </w:tcPr>
          <w:p w14:paraId="7A78B62F">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最终结清申请单的应付金额应当按下列内容梳理：</w:t>
            </w:r>
          </w:p>
          <w:p w14:paraId="1356223B">
            <w:pPr>
              <w:keepNext w:val="0"/>
              <w:keepLines w:val="0"/>
              <w:widowControl/>
              <w:numPr>
                <w:ilvl w:val="0"/>
                <w:numId w:val="4"/>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按合同约定扣留的质量保证金</w:t>
            </w:r>
          </w:p>
          <w:p w14:paraId="0D547804">
            <w:pPr>
              <w:keepNext w:val="0"/>
              <w:keepLines w:val="0"/>
              <w:widowControl/>
              <w:numPr>
                <w:ilvl w:val="0"/>
                <w:numId w:val="4"/>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应当扣除的金额：</w:t>
            </w:r>
          </w:p>
          <w:p w14:paraId="2CAABC05">
            <w:pPr>
              <w:keepNext w:val="0"/>
              <w:keepLines w:val="0"/>
              <w:widowControl/>
              <w:numPr>
                <w:ilvl w:val="1"/>
                <w:numId w:val="4"/>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按通用合同条款17.4.3项约定扣留的质量保证金；</w:t>
            </w:r>
          </w:p>
          <w:p w14:paraId="254901E3">
            <w:pPr>
              <w:keepNext w:val="0"/>
              <w:keepLines w:val="0"/>
              <w:widowControl/>
              <w:numPr>
                <w:ilvl w:val="1"/>
                <w:numId w:val="4"/>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按通用合同条款19.2.4项约定扣除的质量保证金；</w:t>
            </w:r>
          </w:p>
          <w:p w14:paraId="453F3F34">
            <w:pPr>
              <w:keepNext w:val="0"/>
              <w:keepLines w:val="0"/>
              <w:widowControl/>
              <w:numPr>
                <w:ilvl w:val="1"/>
                <w:numId w:val="4"/>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根据合同条款第23.4款应扣减的缺陷责任期内发生的发包人索赔金额；</w:t>
            </w:r>
          </w:p>
          <w:p w14:paraId="018D6A79">
            <w:pPr>
              <w:keepNext w:val="0"/>
              <w:keepLines w:val="0"/>
              <w:widowControl/>
              <w:numPr>
                <w:ilvl w:val="1"/>
                <w:numId w:val="4"/>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根据合同约定应扣减的其他金额。</w:t>
            </w:r>
          </w:p>
          <w:p w14:paraId="1B2D6927">
            <w:pPr>
              <w:keepNext w:val="0"/>
              <w:keepLines w:val="0"/>
              <w:widowControl/>
              <w:numPr>
                <w:ilvl w:val="0"/>
                <w:numId w:val="4"/>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应当增加的金额：</w:t>
            </w:r>
          </w:p>
          <w:p w14:paraId="6BE63A2B">
            <w:pPr>
              <w:keepNext w:val="0"/>
              <w:keepLines w:val="0"/>
              <w:widowControl/>
              <w:numPr>
                <w:ilvl w:val="1"/>
                <w:numId w:val="4"/>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已完且符合合同约定的甩项工程的价值；</w:t>
            </w:r>
          </w:p>
          <w:p w14:paraId="2C4D6498">
            <w:pPr>
              <w:keepNext w:val="0"/>
              <w:keepLines w:val="0"/>
              <w:widowControl/>
              <w:numPr>
                <w:ilvl w:val="1"/>
                <w:numId w:val="4"/>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按通用合同条款19.2.3项约定由承包人修复的发包人原因造成的缺陷的价值；</w:t>
            </w:r>
          </w:p>
          <w:p w14:paraId="1F6914D5">
            <w:pPr>
              <w:keepNext w:val="0"/>
              <w:keepLines w:val="0"/>
              <w:widowControl/>
              <w:numPr>
                <w:ilvl w:val="1"/>
                <w:numId w:val="4"/>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根据合同条款第23.1款应增加的缺陷责任期内发生的承包人索赔金额；</w:t>
            </w:r>
          </w:p>
          <w:p w14:paraId="3467C455">
            <w:pPr>
              <w:keepNext w:val="0"/>
              <w:keepLines w:val="0"/>
              <w:widowControl/>
              <w:numPr>
                <w:ilvl w:val="1"/>
                <w:numId w:val="4"/>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根据合同约定承包人应当得到的其他金额。</w:t>
            </w:r>
          </w:p>
          <w:p w14:paraId="5F29AC94">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最终结清应当由发包人和承包人按照“多退少补”的原则办理。</w:t>
            </w:r>
          </w:p>
        </w:tc>
      </w:tr>
      <w:tr w14:paraId="34F6BECA">
        <w:tblPrEx>
          <w:tblCellMar>
            <w:top w:w="0" w:type="dxa"/>
            <w:left w:w="108" w:type="dxa"/>
            <w:bottom w:w="0" w:type="dxa"/>
            <w:right w:w="108" w:type="dxa"/>
          </w:tblCellMar>
        </w:tblPrEx>
        <w:tc>
          <w:tcPr>
            <w:tcW w:w="701" w:type="pct"/>
            <w:gridSpan w:val="2"/>
          </w:tcPr>
          <w:p w14:paraId="52E17060">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14.1.6</w:t>
            </w:r>
          </w:p>
        </w:tc>
        <w:tc>
          <w:tcPr>
            <w:tcW w:w="4298" w:type="pct"/>
          </w:tcPr>
          <w:p w14:paraId="077A25F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竣工付款申请单和最终结清申请单应当比照进度付款申请单的格式准备，并提供相关证明材料。</w:t>
            </w:r>
          </w:p>
        </w:tc>
      </w:tr>
      <w:tr w14:paraId="37123A52">
        <w:tblPrEx>
          <w:tblCellMar>
            <w:top w:w="0" w:type="dxa"/>
            <w:left w:w="108" w:type="dxa"/>
            <w:bottom w:w="0" w:type="dxa"/>
            <w:right w:w="108" w:type="dxa"/>
          </w:tblCellMar>
        </w:tblPrEx>
        <w:tc>
          <w:tcPr>
            <w:tcW w:w="701" w:type="pct"/>
            <w:gridSpan w:val="2"/>
          </w:tcPr>
          <w:p w14:paraId="6EF2426F">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14.2</w:t>
            </w:r>
          </w:p>
        </w:tc>
        <w:tc>
          <w:tcPr>
            <w:tcW w:w="4298" w:type="pct"/>
          </w:tcPr>
          <w:p w14:paraId="06EADB55">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其他约定</w:t>
            </w:r>
          </w:p>
        </w:tc>
      </w:tr>
      <w:tr w14:paraId="1459B1F7">
        <w:tblPrEx>
          <w:tblCellMar>
            <w:top w:w="0" w:type="dxa"/>
            <w:left w:w="108" w:type="dxa"/>
            <w:bottom w:w="0" w:type="dxa"/>
            <w:right w:w="108" w:type="dxa"/>
          </w:tblCellMar>
        </w:tblPrEx>
        <w:tc>
          <w:tcPr>
            <w:tcW w:w="701" w:type="pct"/>
            <w:gridSpan w:val="2"/>
          </w:tcPr>
          <w:p w14:paraId="145E543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p>
        </w:tc>
        <w:tc>
          <w:tcPr>
            <w:tcW w:w="4298" w:type="pct"/>
          </w:tcPr>
          <w:p w14:paraId="5B704E3D">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eastAsiaTheme="minorEastAsia"/>
                <w:kern w:val="0"/>
                <w:szCs w:val="21"/>
                <w:lang w:val="en-US" w:eastAsia="zh-CN"/>
              </w:rPr>
            </w:pPr>
            <w:r>
              <w:rPr>
                <w:rFonts w:hint="default" w:ascii="Times New Roman" w:hAnsi="Times New Roman" w:cs="Times New Roman"/>
                <w:kern w:val="0"/>
                <w:szCs w:val="21"/>
                <w:lang w:eastAsia="en-US"/>
              </w:rPr>
              <w:t>其他约定内容：</w:t>
            </w:r>
            <w:r>
              <w:rPr>
                <w:rFonts w:hint="default" w:ascii="Times New Roman" w:hAnsi="Times New Roman" w:cs="Times New Roman"/>
                <w:kern w:val="0"/>
                <w:szCs w:val="21"/>
                <w:u w:val="single"/>
                <w:lang w:eastAsia="en-US"/>
              </w:rPr>
              <w:t xml:space="preserve"> </w:t>
            </w:r>
            <w:r>
              <w:rPr>
                <w:rFonts w:hint="eastAsia" w:ascii="Times New Roman" w:hAnsi="Times New Roman" w:cs="Times New Roman"/>
                <w:kern w:val="0"/>
                <w:szCs w:val="21"/>
                <w:u w:val="single"/>
                <w:lang w:val="en-US" w:eastAsia="zh-CN"/>
              </w:rPr>
              <w:t xml:space="preserve">       /          </w:t>
            </w:r>
          </w:p>
        </w:tc>
      </w:tr>
      <w:tr w14:paraId="06A75570">
        <w:tblPrEx>
          <w:tblCellMar>
            <w:top w:w="0" w:type="dxa"/>
            <w:left w:w="108" w:type="dxa"/>
            <w:bottom w:w="0" w:type="dxa"/>
            <w:right w:w="108" w:type="dxa"/>
          </w:tblCellMar>
        </w:tblPrEx>
        <w:tc>
          <w:tcPr>
            <w:tcW w:w="5000" w:type="pct"/>
            <w:gridSpan w:val="3"/>
          </w:tcPr>
          <w:p w14:paraId="2DFFC0FF">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bookmarkStart w:id="79" w:name="_Toc453744838"/>
            <w:bookmarkStart w:id="80" w:name="_Toc429569614"/>
            <w:r>
              <w:rPr>
                <w:rFonts w:hint="default" w:ascii="Times New Roman" w:hAnsi="Times New Roman" w:cs="Times New Roman"/>
                <w:b/>
                <w:bCs/>
                <w:kern w:val="0"/>
                <w:szCs w:val="21"/>
                <w:lang w:eastAsia="en-US"/>
              </w:rPr>
              <w:t>15. 竣工验收和工程移交</w:t>
            </w:r>
            <w:bookmarkEnd w:id="79"/>
            <w:bookmarkEnd w:id="80"/>
          </w:p>
        </w:tc>
      </w:tr>
      <w:tr w14:paraId="7415254B">
        <w:tblPrEx>
          <w:tblCellMar>
            <w:top w:w="0" w:type="dxa"/>
            <w:left w:w="108" w:type="dxa"/>
            <w:bottom w:w="0" w:type="dxa"/>
            <w:right w:w="108" w:type="dxa"/>
          </w:tblCellMar>
        </w:tblPrEx>
        <w:tc>
          <w:tcPr>
            <w:tcW w:w="701" w:type="pct"/>
            <w:gridSpan w:val="2"/>
          </w:tcPr>
          <w:p w14:paraId="6606B5E8">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15.1</w:t>
            </w:r>
          </w:p>
        </w:tc>
        <w:tc>
          <w:tcPr>
            <w:tcW w:w="4298" w:type="pct"/>
          </w:tcPr>
          <w:p w14:paraId="00831252">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竣工验收前的清理</w:t>
            </w:r>
          </w:p>
        </w:tc>
      </w:tr>
      <w:tr w14:paraId="05A29719">
        <w:tblPrEx>
          <w:tblCellMar>
            <w:top w:w="0" w:type="dxa"/>
            <w:left w:w="108" w:type="dxa"/>
            <w:bottom w:w="0" w:type="dxa"/>
            <w:right w:w="108" w:type="dxa"/>
          </w:tblCellMar>
        </w:tblPrEx>
        <w:tc>
          <w:tcPr>
            <w:tcW w:w="701" w:type="pct"/>
            <w:gridSpan w:val="2"/>
          </w:tcPr>
          <w:p w14:paraId="11B40AE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15.1.1</w:t>
            </w:r>
          </w:p>
        </w:tc>
        <w:tc>
          <w:tcPr>
            <w:tcW w:w="4298" w:type="pct"/>
          </w:tcPr>
          <w:p w14:paraId="47F4CE2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在向监理人提交竣工验收申请报告前，承包人应当完成竣工验收前的清理工作，包括但不限于：</w:t>
            </w:r>
          </w:p>
        </w:tc>
      </w:tr>
      <w:tr w14:paraId="4A53E6C9">
        <w:tblPrEx>
          <w:tblCellMar>
            <w:top w:w="0" w:type="dxa"/>
            <w:left w:w="108" w:type="dxa"/>
            <w:bottom w:w="0" w:type="dxa"/>
            <w:right w:w="108" w:type="dxa"/>
          </w:tblCellMar>
        </w:tblPrEx>
        <w:tc>
          <w:tcPr>
            <w:tcW w:w="701" w:type="pct"/>
            <w:gridSpan w:val="2"/>
          </w:tcPr>
          <w:p w14:paraId="01DD654D">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rPr>
            </w:pPr>
          </w:p>
        </w:tc>
        <w:tc>
          <w:tcPr>
            <w:tcW w:w="4298" w:type="pct"/>
          </w:tcPr>
          <w:p w14:paraId="5D2B69B0">
            <w:pPr>
              <w:keepNext w:val="0"/>
              <w:keepLines w:val="0"/>
              <w:widowControl/>
              <w:numPr>
                <w:ilvl w:val="0"/>
                <w:numId w:val="5"/>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从永久工程内清除所有剩余材料、杂物、垃圾等等；</w:t>
            </w:r>
          </w:p>
          <w:p w14:paraId="3AED1EA5">
            <w:pPr>
              <w:keepNext w:val="0"/>
              <w:keepLines w:val="0"/>
              <w:widowControl/>
              <w:numPr>
                <w:ilvl w:val="0"/>
                <w:numId w:val="5"/>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清洗工程的所有地面、墙面、楼面、路面等表面；</w:t>
            </w:r>
          </w:p>
          <w:p w14:paraId="1CF7A84D">
            <w:pPr>
              <w:keepNext w:val="0"/>
              <w:keepLines w:val="0"/>
              <w:widowControl/>
              <w:numPr>
                <w:ilvl w:val="0"/>
                <w:numId w:val="5"/>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清洗和擦洗所有玻璃、磁砖、石材和所有金属面；</w:t>
            </w:r>
          </w:p>
          <w:p w14:paraId="140FE2E9">
            <w:pPr>
              <w:keepNext w:val="0"/>
              <w:keepLines w:val="0"/>
              <w:widowControl/>
              <w:numPr>
                <w:ilvl w:val="0"/>
                <w:numId w:val="5"/>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修缮所有损坏、清除所有污迹、替换所有需更换的材料；</w:t>
            </w:r>
          </w:p>
          <w:p w14:paraId="4032F133">
            <w:pPr>
              <w:keepNext w:val="0"/>
              <w:keepLines w:val="0"/>
              <w:widowControl/>
              <w:numPr>
                <w:ilvl w:val="0"/>
                <w:numId w:val="5"/>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所有表面完成约定的装修和装饰；</w:t>
            </w:r>
          </w:p>
          <w:p w14:paraId="03B5559F">
            <w:pPr>
              <w:keepNext w:val="0"/>
              <w:keepLines w:val="0"/>
              <w:widowControl/>
              <w:numPr>
                <w:ilvl w:val="0"/>
                <w:numId w:val="5"/>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检查和调试所有的门、窗、抽屉等以确保他们开启的顺畅；</w:t>
            </w:r>
          </w:p>
          <w:p w14:paraId="6C9393A5">
            <w:pPr>
              <w:keepNext w:val="0"/>
              <w:keepLines w:val="0"/>
              <w:widowControl/>
              <w:numPr>
                <w:ilvl w:val="0"/>
                <w:numId w:val="5"/>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检查和调试所有的五金件并上油；</w:t>
            </w:r>
          </w:p>
          <w:p w14:paraId="64A1B228">
            <w:pPr>
              <w:keepNext w:val="0"/>
              <w:keepLines w:val="0"/>
              <w:widowControl/>
              <w:numPr>
                <w:ilvl w:val="0"/>
                <w:numId w:val="5"/>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检查、测试和确保所有服务系统、设施和设备达到良好的运行状态和效果；</w:t>
            </w:r>
          </w:p>
          <w:p w14:paraId="6607B80C">
            <w:pPr>
              <w:keepNext w:val="0"/>
              <w:keepLines w:val="0"/>
              <w:widowControl/>
              <w:numPr>
                <w:ilvl w:val="0"/>
                <w:numId w:val="5"/>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所有钥匙（如果有）贴上标签并固定到钥匙排上随时可以交给监理人。</w:t>
            </w:r>
          </w:p>
        </w:tc>
      </w:tr>
      <w:tr w14:paraId="4406D914">
        <w:tblPrEx>
          <w:tblCellMar>
            <w:top w:w="0" w:type="dxa"/>
            <w:left w:w="108" w:type="dxa"/>
            <w:bottom w:w="0" w:type="dxa"/>
            <w:right w:w="108" w:type="dxa"/>
          </w:tblCellMar>
        </w:tblPrEx>
        <w:tc>
          <w:tcPr>
            <w:tcW w:w="701" w:type="pct"/>
            <w:gridSpan w:val="2"/>
          </w:tcPr>
          <w:p w14:paraId="062A9BE1">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15.1.2</w:t>
            </w:r>
          </w:p>
        </w:tc>
        <w:tc>
          <w:tcPr>
            <w:tcW w:w="4298" w:type="pct"/>
          </w:tcPr>
          <w:p w14:paraId="73A2A1CA">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清理工作所需费用由承包人承担。</w:t>
            </w:r>
          </w:p>
        </w:tc>
      </w:tr>
      <w:tr w14:paraId="4F0440C4">
        <w:tblPrEx>
          <w:tblCellMar>
            <w:top w:w="0" w:type="dxa"/>
            <w:left w:w="108" w:type="dxa"/>
            <w:bottom w:w="0" w:type="dxa"/>
            <w:right w:w="108" w:type="dxa"/>
          </w:tblCellMar>
        </w:tblPrEx>
        <w:tc>
          <w:tcPr>
            <w:tcW w:w="701" w:type="pct"/>
            <w:gridSpan w:val="2"/>
          </w:tcPr>
          <w:p w14:paraId="739F8B2D">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15.2</w:t>
            </w:r>
          </w:p>
        </w:tc>
        <w:tc>
          <w:tcPr>
            <w:tcW w:w="4298" w:type="pct"/>
          </w:tcPr>
          <w:p w14:paraId="35E887FD">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竣工验收申请报告</w:t>
            </w:r>
          </w:p>
        </w:tc>
      </w:tr>
      <w:tr w14:paraId="41057725">
        <w:tblPrEx>
          <w:tblCellMar>
            <w:top w:w="0" w:type="dxa"/>
            <w:left w:w="108" w:type="dxa"/>
            <w:bottom w:w="0" w:type="dxa"/>
            <w:right w:w="108" w:type="dxa"/>
          </w:tblCellMar>
        </w:tblPrEx>
        <w:tc>
          <w:tcPr>
            <w:tcW w:w="701" w:type="pct"/>
            <w:gridSpan w:val="2"/>
          </w:tcPr>
          <w:p w14:paraId="5B9DD5F5">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15.2.1</w:t>
            </w:r>
          </w:p>
        </w:tc>
        <w:tc>
          <w:tcPr>
            <w:tcW w:w="4298" w:type="pct"/>
          </w:tcPr>
          <w:p w14:paraId="3F8F7FE9">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竣工验收申请报告，也称竣工验收报告，是承包人完成合同约定的工作内容后，按照国家有关施工质量验收标准的规定，经其自行检查，证明已经完成合同工作内容并符合合同约定，达到竣工验收标准，而向监理人或发包人提交的请求发包人组织进行合同工程竣工验收的一份书面申请函，合同约定的竣工验收资料和其他文件一般作为竣工验收申请报告的附件，是竣工验收申请报告的组成部分。</w:t>
            </w:r>
          </w:p>
        </w:tc>
      </w:tr>
      <w:tr w14:paraId="588B264A">
        <w:tblPrEx>
          <w:tblCellMar>
            <w:top w:w="0" w:type="dxa"/>
            <w:left w:w="108" w:type="dxa"/>
            <w:bottom w:w="0" w:type="dxa"/>
            <w:right w:w="108" w:type="dxa"/>
          </w:tblCellMar>
        </w:tblPrEx>
        <w:tc>
          <w:tcPr>
            <w:tcW w:w="701" w:type="pct"/>
            <w:gridSpan w:val="2"/>
          </w:tcPr>
          <w:p w14:paraId="61C11F25">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15.2.2</w:t>
            </w:r>
          </w:p>
        </w:tc>
        <w:tc>
          <w:tcPr>
            <w:tcW w:w="4298" w:type="pct"/>
          </w:tcPr>
          <w:p w14:paraId="24D969F8">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竣工验收申请报告一般应当包括工程概况说明，承包范围，分包工程情况，主要材料供应情况，采用的主要施工方法，新材料、新技术和新工艺采用情况，自检质量情况等的说明。竣工验收申请报告的格式和应当包括的内容应事先经过监理人的审批。</w:t>
            </w:r>
          </w:p>
        </w:tc>
      </w:tr>
      <w:tr w14:paraId="39B81966">
        <w:tblPrEx>
          <w:tblCellMar>
            <w:top w:w="0" w:type="dxa"/>
            <w:left w:w="108" w:type="dxa"/>
            <w:bottom w:w="0" w:type="dxa"/>
            <w:right w:w="108" w:type="dxa"/>
          </w:tblCellMar>
        </w:tblPrEx>
        <w:tc>
          <w:tcPr>
            <w:tcW w:w="701" w:type="pct"/>
            <w:gridSpan w:val="2"/>
          </w:tcPr>
          <w:p w14:paraId="4F7A3292">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15.2.3</w:t>
            </w:r>
          </w:p>
        </w:tc>
        <w:tc>
          <w:tcPr>
            <w:tcW w:w="4298" w:type="pct"/>
          </w:tcPr>
          <w:p w14:paraId="46FF9C1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竣工验收申请报告应当按通用合同条款第18.2款附上下列内容：</w:t>
            </w:r>
          </w:p>
          <w:p w14:paraId="522EB4F3">
            <w:pPr>
              <w:keepNext w:val="0"/>
              <w:keepLines w:val="0"/>
              <w:widowControl/>
              <w:numPr>
                <w:ilvl w:val="0"/>
                <w:numId w:val="6"/>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承包人的自行检查和评定记录文件，即除监理人同意列入缺陷责任期内完成的尾工（甩项）工程和缺陷修补工作外，合同范围内的全部单位工程以及有关工作，包括合同要求的试验、试运行以及检验和验收均已完成，并符合合同要求；</w:t>
            </w:r>
          </w:p>
          <w:p w14:paraId="5156549F">
            <w:pPr>
              <w:keepNext w:val="0"/>
              <w:keepLines w:val="0"/>
              <w:widowControl/>
              <w:numPr>
                <w:ilvl w:val="0"/>
                <w:numId w:val="6"/>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 xml:space="preserve">按专用合同条款第18.2（2）目约定的内容和份数整理的符合要求的竣工资料； </w:t>
            </w:r>
          </w:p>
          <w:p w14:paraId="3942E49F">
            <w:pPr>
              <w:keepNext w:val="0"/>
              <w:keepLines w:val="0"/>
              <w:widowControl/>
              <w:numPr>
                <w:ilvl w:val="0"/>
                <w:numId w:val="6"/>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按监理人的要求编制了在缺陷责任期内完成的尾工（甩项）工程和缺陷修补工作清单以及相应施工计划；</w:t>
            </w:r>
          </w:p>
          <w:p w14:paraId="6E18D60C">
            <w:pPr>
              <w:keepNext w:val="0"/>
              <w:keepLines w:val="0"/>
              <w:widowControl/>
              <w:numPr>
                <w:ilvl w:val="0"/>
                <w:numId w:val="6"/>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监理人要求在竣工验收前应完成的其他工作的证明材料；</w:t>
            </w:r>
          </w:p>
          <w:p w14:paraId="2A2ADCAE">
            <w:pPr>
              <w:keepNext w:val="0"/>
              <w:keepLines w:val="0"/>
              <w:widowControl/>
              <w:numPr>
                <w:ilvl w:val="0"/>
                <w:numId w:val="6"/>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监理人要求提交的竣工验收资料清单；</w:t>
            </w:r>
          </w:p>
          <w:p w14:paraId="0E0C3917">
            <w:pPr>
              <w:keepNext w:val="0"/>
              <w:keepLines w:val="0"/>
              <w:widowControl/>
              <w:numPr>
                <w:ilvl w:val="0"/>
                <w:numId w:val="6"/>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通用合同条款第18.4.1项约定的单位工程竣工验收成果和结论文件（如果有）；</w:t>
            </w:r>
          </w:p>
          <w:p w14:paraId="22C14FD4">
            <w:pPr>
              <w:keepNext w:val="0"/>
              <w:keepLines w:val="0"/>
              <w:widowControl/>
              <w:numPr>
                <w:ilvl w:val="0"/>
                <w:numId w:val="6"/>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专用合同条款第19.7款约定的质量保修书（此前已经提交的不再提交）；</w:t>
            </w:r>
          </w:p>
          <w:p w14:paraId="3982C4C4">
            <w:pPr>
              <w:keepNext w:val="0"/>
              <w:keepLines w:val="0"/>
              <w:widowControl/>
              <w:numPr>
                <w:ilvl w:val="0"/>
                <w:numId w:val="6"/>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lang w:eastAsia="en-US"/>
              </w:rPr>
            </w:pPr>
            <w:r>
              <w:rPr>
                <w:rFonts w:hint="default" w:ascii="Times New Roman" w:hAnsi="Times New Roman" w:cs="Times New Roman"/>
                <w:kern w:val="0"/>
                <w:szCs w:val="21"/>
                <w:lang w:eastAsia="en-US"/>
              </w:rPr>
              <w:t>其他：</w:t>
            </w:r>
            <w:r>
              <w:rPr>
                <w:rFonts w:hint="default" w:ascii="Times New Roman" w:hAnsi="Times New Roman" w:cs="Times New Roman"/>
                <w:kern w:val="0"/>
                <w:szCs w:val="21"/>
                <w:u w:val="single"/>
                <w:lang w:eastAsia="en-US"/>
              </w:rPr>
              <w:t xml:space="preserve">     </w:t>
            </w:r>
            <w:r>
              <w:rPr>
                <w:rFonts w:hint="default" w:ascii="Times New Roman" w:hAnsi="Times New Roman" w:cs="Times New Roman"/>
                <w:kern w:val="0"/>
                <w:szCs w:val="21"/>
                <w:u w:val="single"/>
                <w:lang w:val="en-US" w:eastAsia="zh-CN"/>
              </w:rPr>
              <w:t>/</w:t>
            </w:r>
            <w:r>
              <w:rPr>
                <w:rFonts w:hint="default" w:ascii="Times New Roman" w:hAnsi="Times New Roman" w:cs="Times New Roman"/>
                <w:kern w:val="0"/>
                <w:szCs w:val="21"/>
                <w:u w:val="single"/>
                <w:lang w:eastAsia="en-US"/>
              </w:rPr>
              <w:t xml:space="preserve">     </w:t>
            </w:r>
          </w:p>
        </w:tc>
      </w:tr>
      <w:tr w14:paraId="7FADEA4D">
        <w:tblPrEx>
          <w:tblCellMar>
            <w:top w:w="0" w:type="dxa"/>
            <w:left w:w="108" w:type="dxa"/>
            <w:bottom w:w="0" w:type="dxa"/>
            <w:right w:w="108" w:type="dxa"/>
          </w:tblCellMar>
        </w:tblPrEx>
        <w:tc>
          <w:tcPr>
            <w:tcW w:w="701" w:type="pct"/>
            <w:gridSpan w:val="2"/>
          </w:tcPr>
          <w:p w14:paraId="14CF7763">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15.3</w:t>
            </w:r>
          </w:p>
        </w:tc>
        <w:tc>
          <w:tcPr>
            <w:tcW w:w="4298" w:type="pct"/>
          </w:tcPr>
          <w:p w14:paraId="60983884">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r>
              <w:rPr>
                <w:rFonts w:hint="default" w:ascii="Times New Roman" w:hAnsi="Times New Roman" w:cs="Times New Roman"/>
                <w:b/>
                <w:bCs/>
                <w:kern w:val="0"/>
                <w:szCs w:val="21"/>
                <w:lang w:eastAsia="en-US"/>
              </w:rPr>
              <w:t>竣工清场</w:t>
            </w:r>
          </w:p>
        </w:tc>
      </w:tr>
      <w:tr w14:paraId="04FA0B86">
        <w:tblPrEx>
          <w:tblCellMar>
            <w:top w:w="0" w:type="dxa"/>
            <w:left w:w="108" w:type="dxa"/>
            <w:bottom w:w="0" w:type="dxa"/>
            <w:right w:w="108" w:type="dxa"/>
          </w:tblCellMar>
        </w:tblPrEx>
        <w:tc>
          <w:tcPr>
            <w:tcW w:w="701" w:type="pct"/>
            <w:gridSpan w:val="2"/>
          </w:tcPr>
          <w:p w14:paraId="720200F8">
            <w:pPr>
              <w:keepNext w:val="0"/>
              <w:keepLines w:val="0"/>
              <w:widowControl/>
              <w:suppressLineNumbers w:val="0"/>
              <w:adjustRightInd w:val="0"/>
              <w:spacing w:before="0" w:beforeAutospacing="0" w:after="156" w:afterLines="50" w:afterAutospacing="0" w:line="360" w:lineRule="auto"/>
              <w:ind w:left="0" w:right="0"/>
              <w:jc w:val="left"/>
              <w:rPr>
                <w:rFonts w:hint="default" w:ascii="Times New Roman" w:hAnsi="Times New Roman" w:cs="Times New Roman"/>
                <w:bCs/>
                <w:kern w:val="0"/>
                <w:szCs w:val="21"/>
                <w:lang w:eastAsia="en-US"/>
              </w:rPr>
            </w:pPr>
            <w:r>
              <w:rPr>
                <w:rFonts w:hint="default" w:ascii="Times New Roman" w:hAnsi="Times New Roman" w:cs="Times New Roman"/>
                <w:bCs/>
                <w:kern w:val="0"/>
                <w:szCs w:val="21"/>
                <w:lang w:eastAsia="en-US"/>
              </w:rPr>
              <w:t>15.3.1</w:t>
            </w:r>
          </w:p>
        </w:tc>
        <w:tc>
          <w:tcPr>
            <w:tcW w:w="4298" w:type="pct"/>
          </w:tcPr>
          <w:p w14:paraId="762DD546">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rPr>
            </w:pPr>
            <w:r>
              <w:rPr>
                <w:rFonts w:hint="default" w:ascii="Times New Roman" w:hAnsi="Times New Roman" w:cs="Times New Roman"/>
                <w:kern w:val="0"/>
                <w:szCs w:val="21"/>
              </w:rPr>
              <w:t>监理人颁发（出具）工程接收证书后，承包人应在56天内按以下要求对施工场地（现场）进行清理：</w:t>
            </w:r>
          </w:p>
          <w:p w14:paraId="2DD35B45">
            <w:pPr>
              <w:keepNext w:val="0"/>
              <w:keepLines w:val="0"/>
              <w:widowControl/>
              <w:numPr>
                <w:ilvl w:val="0"/>
                <w:numId w:val="7"/>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从施工场地（现场）清除所有杂物和垃圾等等；</w:t>
            </w:r>
          </w:p>
          <w:p w14:paraId="7C1E881A">
            <w:pPr>
              <w:keepNext w:val="0"/>
              <w:keepLines w:val="0"/>
              <w:widowControl/>
              <w:numPr>
                <w:ilvl w:val="0"/>
                <w:numId w:val="7"/>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从施工场地现场拆除所有的临时工程和临时设施并恢复地面原状，但经监理人批准的护坡桩、锚杆、塔吊基础和无法拆除的埋入式模板等无法拆除的临时设施除外；</w:t>
            </w:r>
          </w:p>
          <w:p w14:paraId="6824B1DD">
            <w:pPr>
              <w:keepNext w:val="0"/>
              <w:keepLines w:val="0"/>
              <w:widowControl/>
              <w:numPr>
                <w:ilvl w:val="0"/>
                <w:numId w:val="7"/>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撤离所有承包人施工设备和剩余材料（经监理人同意需在缺陷责任期内继续使用的除外）；</w:t>
            </w:r>
          </w:p>
          <w:p w14:paraId="228518C3">
            <w:pPr>
              <w:keepNext w:val="0"/>
              <w:keepLines w:val="0"/>
              <w:widowControl/>
              <w:numPr>
                <w:ilvl w:val="0"/>
                <w:numId w:val="7"/>
              </w:numPr>
              <w:suppressLineNumbers w:val="0"/>
              <w:spacing w:before="0" w:beforeAutospacing="0" w:after="156" w:afterLines="50" w:afterAutospacing="0" w:line="360" w:lineRule="auto"/>
              <w:ind w:right="0"/>
              <w:jc w:val="left"/>
              <w:rPr>
                <w:rFonts w:hint="default" w:ascii="Times New Roman" w:hAnsi="Times New Roman" w:cs="Times New Roman"/>
                <w:kern w:val="0"/>
                <w:szCs w:val="21"/>
              </w:rPr>
            </w:pPr>
            <w:r>
              <w:rPr>
                <w:rFonts w:hint="default" w:ascii="Times New Roman" w:hAnsi="Times New Roman" w:cs="Times New Roman"/>
                <w:kern w:val="0"/>
                <w:szCs w:val="21"/>
              </w:rPr>
              <w:t>监理人指示的其他清场工作。</w:t>
            </w:r>
          </w:p>
        </w:tc>
      </w:tr>
      <w:tr w14:paraId="2A55AE4B">
        <w:tblPrEx>
          <w:tblCellMar>
            <w:top w:w="0" w:type="dxa"/>
            <w:left w:w="108" w:type="dxa"/>
            <w:bottom w:w="0" w:type="dxa"/>
            <w:right w:w="108" w:type="dxa"/>
          </w:tblCellMar>
        </w:tblPrEx>
        <w:tc>
          <w:tcPr>
            <w:tcW w:w="5000" w:type="pct"/>
            <w:gridSpan w:val="3"/>
          </w:tcPr>
          <w:p w14:paraId="0E9E614A">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kern w:val="0"/>
                <w:szCs w:val="21"/>
                <w:lang w:eastAsia="en-US"/>
              </w:rPr>
            </w:pPr>
            <w:bookmarkStart w:id="81" w:name="_Toc429569615"/>
            <w:bookmarkStart w:id="82" w:name="_Toc453744839"/>
            <w:r>
              <w:rPr>
                <w:rFonts w:hint="default" w:ascii="Times New Roman" w:hAnsi="Times New Roman" w:cs="Times New Roman"/>
                <w:b/>
                <w:bCs/>
                <w:kern w:val="0"/>
                <w:szCs w:val="21"/>
                <w:lang w:eastAsia="en-US"/>
              </w:rPr>
              <w:t xml:space="preserve">16. </w:t>
            </w:r>
            <w:r>
              <w:rPr>
                <w:rFonts w:hint="default" w:ascii="Times New Roman" w:hAnsi="Times New Roman" w:cs="Times New Roman"/>
                <w:b/>
                <w:bCs/>
                <w:kern w:val="0"/>
                <w:szCs w:val="21"/>
              </w:rPr>
              <w:t>需要补充的</w:t>
            </w:r>
            <w:r>
              <w:rPr>
                <w:rFonts w:hint="default" w:ascii="Times New Roman" w:hAnsi="Times New Roman" w:cs="Times New Roman"/>
                <w:b/>
                <w:bCs/>
                <w:kern w:val="0"/>
                <w:szCs w:val="21"/>
                <w:lang w:eastAsia="en-US"/>
              </w:rPr>
              <w:t>其他要求</w:t>
            </w:r>
            <w:bookmarkEnd w:id="81"/>
            <w:bookmarkEnd w:id="82"/>
          </w:p>
        </w:tc>
      </w:tr>
      <w:tr w14:paraId="7341A695">
        <w:tblPrEx>
          <w:tblCellMar>
            <w:top w:w="0" w:type="dxa"/>
            <w:left w:w="108" w:type="dxa"/>
            <w:bottom w:w="0" w:type="dxa"/>
            <w:right w:w="108" w:type="dxa"/>
          </w:tblCellMar>
        </w:tblPrEx>
        <w:tc>
          <w:tcPr>
            <w:tcW w:w="701" w:type="pct"/>
            <w:gridSpan w:val="2"/>
          </w:tcPr>
          <w:p w14:paraId="1FFB062B">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p>
        </w:tc>
        <w:tc>
          <w:tcPr>
            <w:tcW w:w="4298" w:type="pct"/>
          </w:tcPr>
          <w:p w14:paraId="445A8C92">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imes New Roman" w:hAnsi="Times New Roman" w:cs="Times New Roman"/>
                <w:kern w:val="0"/>
                <w:szCs w:val="21"/>
                <w:u w:val="single"/>
                <w:lang w:eastAsia="en-US"/>
              </w:rPr>
            </w:pPr>
          </w:p>
          <w:p w14:paraId="4C765721">
            <w:pPr>
              <w:keepNext w:val="0"/>
              <w:keepLines w:val="0"/>
              <w:numPr>
                <w:ilvl w:val="0"/>
                <w:numId w:val="0"/>
              </w:numPr>
              <w:suppressLineNumbers w:val="0"/>
              <w:adjustRightInd w:val="0"/>
              <w:snapToGrid w:val="0"/>
              <w:spacing w:before="0" w:beforeAutospacing="0" w:after="0" w:afterAutospacing="0" w:line="360" w:lineRule="auto"/>
              <w:ind w:left="0" w:right="0" w:rightChars="0"/>
              <w:rPr>
                <w:rFonts w:hint="eastAsia" w:ascii="Times New Roman" w:hAnsi="Times New Roman" w:cs="Times New Roman" w:eastAsiaTheme="minorEastAsia"/>
                <w:kern w:val="0"/>
                <w:szCs w:val="21"/>
                <w:u w:val="single"/>
                <w:lang w:eastAsia="zh-CN"/>
              </w:rPr>
            </w:pPr>
            <w:r>
              <w:rPr>
                <w:rFonts w:hint="eastAsia" w:ascii="Times New Roman" w:hAnsi="Times New Roman" w:cs="Times New Roman"/>
                <w:kern w:val="0"/>
                <w:szCs w:val="21"/>
                <w:u w:val="none"/>
                <w:lang w:eastAsia="zh-CN"/>
              </w:rPr>
              <w:t>需要补充的其他要求：</w:t>
            </w:r>
            <w:r>
              <w:rPr>
                <w:rFonts w:hint="eastAsia" w:ascii="Times New Roman" w:hAnsi="Times New Roman" w:cs="Times New Roman"/>
                <w:kern w:val="0"/>
                <w:szCs w:val="21"/>
                <w:u w:val="single"/>
                <w:lang w:eastAsia="zh-CN"/>
              </w:rPr>
              <w:t>成</w:t>
            </w:r>
            <w:r>
              <w:rPr>
                <w:rFonts w:hint="eastAsia" w:ascii="Times New Roman" w:hAnsi="Times New Roman" w:cs="Times New Roman"/>
                <w:kern w:val="0"/>
                <w:szCs w:val="21"/>
                <w:highlight w:val="none"/>
                <w:u w:val="single"/>
                <w:lang w:eastAsia="zh-CN"/>
              </w:rPr>
              <w:t>交供应商如为京外单位</w:t>
            </w:r>
            <w:r>
              <w:rPr>
                <w:rFonts w:hint="eastAsia" w:ascii="Times New Roman" w:hAnsi="Times New Roman" w:cs="Times New Roman"/>
                <w:kern w:val="0"/>
                <w:szCs w:val="21"/>
                <w:u w:val="single"/>
                <w:lang w:eastAsia="zh-CN"/>
              </w:rPr>
              <w:t>，须在投标阶段办理具备有效进京备案许可。（需在响应文件中提供有效进京备案证明材料）</w:t>
            </w:r>
          </w:p>
        </w:tc>
      </w:tr>
      <w:tr w14:paraId="7CF0375A">
        <w:tblPrEx>
          <w:tblCellMar>
            <w:top w:w="0" w:type="dxa"/>
            <w:left w:w="108" w:type="dxa"/>
            <w:bottom w:w="0" w:type="dxa"/>
            <w:right w:w="108" w:type="dxa"/>
          </w:tblCellMar>
        </w:tblPrEx>
        <w:tc>
          <w:tcPr>
            <w:tcW w:w="701" w:type="pct"/>
            <w:gridSpan w:val="2"/>
          </w:tcPr>
          <w:p w14:paraId="35D0B3D7">
            <w:pPr>
              <w:keepNext w:val="0"/>
              <w:keepLines w:val="0"/>
              <w:widowControl/>
              <w:suppressLineNumbers w:val="0"/>
              <w:spacing w:before="0" w:beforeAutospacing="0" w:after="156" w:afterLines="50" w:afterAutospacing="0" w:line="360" w:lineRule="auto"/>
              <w:ind w:left="0" w:right="0"/>
              <w:jc w:val="left"/>
              <w:rPr>
                <w:rFonts w:hint="default" w:ascii="Times New Roman" w:hAnsi="Times New Roman" w:cs="Times New Roman"/>
                <w:kern w:val="0"/>
                <w:szCs w:val="21"/>
                <w:lang w:eastAsia="en-US"/>
              </w:rPr>
            </w:pPr>
          </w:p>
        </w:tc>
        <w:tc>
          <w:tcPr>
            <w:tcW w:w="4298" w:type="pct"/>
          </w:tcPr>
          <w:p w14:paraId="3EFA53FE">
            <w:pPr>
              <w:keepNext w:val="0"/>
              <w:keepLines w:val="0"/>
              <w:numPr>
                <w:ilvl w:val="0"/>
                <w:numId w:val="0"/>
              </w:numPr>
              <w:suppressLineNumbers w:val="0"/>
              <w:adjustRightInd w:val="0"/>
              <w:snapToGrid w:val="0"/>
              <w:spacing w:before="0" w:beforeAutospacing="0" w:after="0" w:afterAutospacing="0" w:line="360" w:lineRule="auto"/>
              <w:ind w:left="0" w:right="0" w:rightChars="0"/>
              <w:rPr>
                <w:rFonts w:hint="eastAsia" w:ascii="Times New Roman" w:hAnsi="Times New Roman" w:cs="Times New Roman"/>
                <w:kern w:val="0"/>
                <w:szCs w:val="21"/>
                <w:u w:val="none"/>
                <w:lang w:eastAsia="zh-CN"/>
              </w:rPr>
            </w:pPr>
          </w:p>
        </w:tc>
      </w:tr>
    </w:tbl>
    <w:p w14:paraId="43206405">
      <w:pPr>
        <w:widowControl/>
        <w:spacing w:after="156" w:afterLines="50"/>
        <w:jc w:val="left"/>
        <w:rPr>
          <w:rFonts w:ascii="Times New Roman" w:hAnsi="Times New Roman"/>
          <w:kern w:val="0"/>
          <w:szCs w:val="21"/>
          <w:lang w:eastAsia="en-US"/>
        </w:rPr>
      </w:pPr>
      <w:bookmarkStart w:id="86" w:name="_GoBack"/>
      <w:bookmarkEnd w:id="86"/>
    </w:p>
    <w:p w14:paraId="133913D7">
      <w:pPr>
        <w:widowControl/>
        <w:spacing w:after="156" w:afterLines="50"/>
        <w:jc w:val="left"/>
        <w:rPr>
          <w:kern w:val="0"/>
          <w:szCs w:val="21"/>
          <w:lang w:eastAsia="en-US"/>
        </w:rPr>
      </w:pPr>
    </w:p>
    <w:p w14:paraId="3AC32A9E">
      <w:pPr>
        <w:widowControl/>
        <w:spacing w:after="156" w:afterLines="50"/>
        <w:jc w:val="left"/>
        <w:rPr>
          <w:rFonts w:hint="eastAsia" w:ascii="宋体" w:hAnsi="宋体" w:cs="Arial" w:eastAsiaTheme="minorEastAsia"/>
          <w:b/>
          <w:bCs/>
          <w:color w:val="000000"/>
          <w:kern w:val="0"/>
          <w:szCs w:val="21"/>
          <w:lang w:eastAsia="zh-CN"/>
        </w:rPr>
      </w:pPr>
      <w:bookmarkStart w:id="83" w:name="_Toc453744846"/>
      <w:bookmarkStart w:id="84" w:name="_Toc342296569"/>
      <w:r>
        <w:rPr>
          <w:rFonts w:hint="eastAsia" w:ascii="宋体" w:hAnsi="宋体" w:cs="Arial"/>
          <w:b/>
          <w:bCs/>
          <w:color w:val="000000"/>
          <w:kern w:val="0"/>
          <w:szCs w:val="21"/>
        </w:rPr>
        <w:t>附件</w:t>
      </w:r>
      <w:r>
        <w:rPr>
          <w:rFonts w:hint="eastAsia" w:ascii="宋体" w:hAnsi="宋体" w:cs="Arial"/>
          <w:b/>
          <w:bCs/>
          <w:color w:val="000000"/>
          <w:kern w:val="0"/>
          <w:szCs w:val="21"/>
          <w:lang w:val="en-US" w:eastAsia="zh-CN"/>
        </w:rPr>
        <w:t>A</w:t>
      </w:r>
      <w:r>
        <w:rPr>
          <w:rFonts w:hint="eastAsia" w:ascii="宋体" w:hAnsi="宋体" w:cs="Arial"/>
          <w:b/>
          <w:bCs/>
          <w:color w:val="000000"/>
          <w:kern w:val="0"/>
          <w:szCs w:val="21"/>
        </w:rPr>
        <w:t>：</w:t>
      </w:r>
      <w:bookmarkStart w:id="85" w:name="OLE_LINK7"/>
      <w:r>
        <w:rPr>
          <w:rFonts w:hint="eastAsia" w:ascii="宋体" w:hAnsi="宋体" w:cs="Arial"/>
          <w:b/>
          <w:bCs/>
          <w:color w:val="000000"/>
          <w:kern w:val="0"/>
          <w:szCs w:val="21"/>
        </w:rPr>
        <w:t>施工场地(现场)现状平面图</w:t>
      </w:r>
      <w:bookmarkEnd w:id="83"/>
      <w:bookmarkEnd w:id="84"/>
      <w:r>
        <w:rPr>
          <w:rFonts w:hint="eastAsia" w:ascii="宋体" w:hAnsi="宋体" w:cs="Arial"/>
          <w:b/>
          <w:bCs/>
          <w:color w:val="000000"/>
          <w:kern w:val="0"/>
          <w:szCs w:val="21"/>
          <w:lang w:eastAsia="zh-CN"/>
        </w:rPr>
        <w:t>（本项目不提供）</w:t>
      </w:r>
    </w:p>
    <w:bookmarkEnd w:id="85"/>
    <w:p w14:paraId="653B4D25">
      <w:pPr>
        <w:widowControl/>
        <w:spacing w:after="156" w:afterLines="50"/>
        <w:jc w:val="left"/>
        <w:rPr>
          <w:rFonts w:ascii="Times New Roman" w:hAnsi="Times New Roman"/>
          <w:color w:val="000000"/>
          <w:kern w:val="0"/>
          <w:szCs w:val="21"/>
        </w:rPr>
      </w:pPr>
    </w:p>
    <w:p w14:paraId="56B32ECC">
      <w:pPr>
        <w:widowControl/>
        <w:spacing w:after="156" w:afterLines="50"/>
        <w:jc w:val="left"/>
        <w:rPr>
          <w:color w:val="000000"/>
          <w:kern w:val="0"/>
          <w:szCs w:val="21"/>
        </w:rPr>
      </w:pPr>
      <w:r>
        <w:rPr>
          <w:rFonts w:hint="eastAsia" w:ascii="黑体" w:eastAsia="黑体"/>
          <w:color w:val="000000"/>
          <w:kern w:val="0"/>
          <w:szCs w:val="21"/>
        </w:rPr>
        <w:t>说明：</w:t>
      </w:r>
      <w:r>
        <w:rPr>
          <w:rFonts w:hint="eastAsia"/>
          <w:color w:val="000000"/>
          <w:kern w:val="0"/>
          <w:szCs w:val="21"/>
        </w:rPr>
        <w:t>该图由招标人准备，并作为招标文件本章的组成内容提供给投标人。图中应当标示本章第一节第</w:t>
      </w:r>
      <w:r>
        <w:rPr>
          <w:color w:val="000000"/>
          <w:kern w:val="0"/>
          <w:szCs w:val="21"/>
        </w:rPr>
        <w:t>1.2.1</w:t>
      </w:r>
      <w:r>
        <w:rPr>
          <w:rFonts w:hint="eastAsia"/>
          <w:color w:val="000000"/>
          <w:kern w:val="0"/>
          <w:szCs w:val="21"/>
        </w:rPr>
        <w:t>项规定的内容，并做必要的文字说明。</w:t>
      </w:r>
      <w:r>
        <w:rPr>
          <w:rFonts w:hint="eastAsia"/>
          <w:b/>
          <w:color w:val="000000"/>
          <w:kern w:val="0"/>
          <w:szCs w:val="21"/>
        </w:rPr>
        <w:t>若招标人未提供平面图，由投标人根据现有施工图纸及现场踏勘情况自行绘制。</w:t>
      </w:r>
    </w:p>
    <w:p w14:paraId="3761C32C">
      <w:pPr>
        <w:rPr>
          <w:szCs w:val="21"/>
        </w:rPr>
      </w:pPr>
    </w:p>
    <w:p w14:paraId="6CBBE55E">
      <w:pPr>
        <w:rPr>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 w:name="MathJax_Vector">
    <w:panose1 w:val="02000603000000000000"/>
    <w:charset w:val="00"/>
    <w:family w:val="auto"/>
    <w:pitch w:val="default"/>
    <w:sig w:usb0="00000001" w:usb1="0000002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BB7657"/>
    <w:multiLevelType w:val="multilevel"/>
    <w:tmpl w:val="06BB7657"/>
    <w:lvl w:ilvl="0" w:tentative="0">
      <w:start w:val="1"/>
      <w:numFmt w:val="decimal"/>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A3F28A4"/>
    <w:multiLevelType w:val="multilevel"/>
    <w:tmpl w:val="1A3F28A4"/>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780"/>
        </w:tabs>
        <w:ind w:left="780" w:hanging="36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72A1672"/>
    <w:multiLevelType w:val="multilevel"/>
    <w:tmpl w:val="372A1672"/>
    <w:lvl w:ilvl="0" w:tentative="0">
      <w:start w:val="1"/>
      <w:numFmt w:val="decimal"/>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4D9B6DD5"/>
    <w:multiLevelType w:val="multilevel"/>
    <w:tmpl w:val="4D9B6DD5"/>
    <w:lvl w:ilvl="0" w:tentative="0">
      <w:start w:val="1"/>
      <w:numFmt w:val="decimal"/>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53047527"/>
    <w:multiLevelType w:val="multilevel"/>
    <w:tmpl w:val="53047527"/>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780"/>
        </w:tabs>
        <w:ind w:left="780" w:hanging="36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BD21615"/>
    <w:multiLevelType w:val="multilevel"/>
    <w:tmpl w:val="6BD21615"/>
    <w:lvl w:ilvl="0" w:tentative="0">
      <w:start w:val="1"/>
      <w:numFmt w:val="decimal"/>
      <w:lvlText w:val="（%1）"/>
      <w:lvlJc w:val="left"/>
      <w:pPr>
        <w:tabs>
          <w:tab w:val="left" w:pos="1125"/>
        </w:tabs>
        <w:ind w:left="1125" w:hanging="720"/>
      </w:pPr>
    </w:lvl>
    <w:lvl w:ilvl="1" w:tentative="0">
      <w:start w:val="1"/>
      <w:numFmt w:val="lowerLetter"/>
      <w:lvlText w:val="%2)"/>
      <w:lvlJc w:val="left"/>
      <w:pPr>
        <w:tabs>
          <w:tab w:val="left" w:pos="1245"/>
        </w:tabs>
        <w:ind w:left="1245" w:hanging="420"/>
      </w:pPr>
    </w:lvl>
    <w:lvl w:ilvl="2" w:tentative="0">
      <w:start w:val="1"/>
      <w:numFmt w:val="lowerRoman"/>
      <w:lvlText w:val="%3."/>
      <w:lvlJc w:val="right"/>
      <w:pPr>
        <w:tabs>
          <w:tab w:val="left" w:pos="1665"/>
        </w:tabs>
        <w:ind w:left="1665" w:hanging="420"/>
      </w:pPr>
    </w:lvl>
    <w:lvl w:ilvl="3" w:tentative="0">
      <w:start w:val="1"/>
      <w:numFmt w:val="decimal"/>
      <w:lvlText w:val="%4."/>
      <w:lvlJc w:val="left"/>
      <w:pPr>
        <w:tabs>
          <w:tab w:val="left" w:pos="2085"/>
        </w:tabs>
        <w:ind w:left="2085" w:hanging="420"/>
      </w:pPr>
    </w:lvl>
    <w:lvl w:ilvl="4" w:tentative="0">
      <w:start w:val="1"/>
      <w:numFmt w:val="lowerLetter"/>
      <w:lvlText w:val="%5)"/>
      <w:lvlJc w:val="left"/>
      <w:pPr>
        <w:tabs>
          <w:tab w:val="left" w:pos="2505"/>
        </w:tabs>
        <w:ind w:left="2505" w:hanging="420"/>
      </w:pPr>
    </w:lvl>
    <w:lvl w:ilvl="5" w:tentative="0">
      <w:start w:val="1"/>
      <w:numFmt w:val="lowerRoman"/>
      <w:lvlText w:val="%6."/>
      <w:lvlJc w:val="right"/>
      <w:pPr>
        <w:tabs>
          <w:tab w:val="left" w:pos="2925"/>
        </w:tabs>
        <w:ind w:left="2925" w:hanging="420"/>
      </w:pPr>
    </w:lvl>
    <w:lvl w:ilvl="6" w:tentative="0">
      <w:start w:val="1"/>
      <w:numFmt w:val="decimal"/>
      <w:lvlText w:val="%7."/>
      <w:lvlJc w:val="left"/>
      <w:pPr>
        <w:tabs>
          <w:tab w:val="left" w:pos="3345"/>
        </w:tabs>
        <w:ind w:left="3345" w:hanging="420"/>
      </w:pPr>
    </w:lvl>
    <w:lvl w:ilvl="7" w:tentative="0">
      <w:start w:val="1"/>
      <w:numFmt w:val="lowerLetter"/>
      <w:lvlText w:val="%8)"/>
      <w:lvlJc w:val="left"/>
      <w:pPr>
        <w:tabs>
          <w:tab w:val="left" w:pos="3765"/>
        </w:tabs>
        <w:ind w:left="3765" w:hanging="420"/>
      </w:pPr>
    </w:lvl>
    <w:lvl w:ilvl="8" w:tentative="0">
      <w:start w:val="1"/>
      <w:numFmt w:val="lowerRoman"/>
      <w:lvlText w:val="%9."/>
      <w:lvlJc w:val="right"/>
      <w:pPr>
        <w:tabs>
          <w:tab w:val="left" w:pos="4185"/>
        </w:tabs>
        <w:ind w:left="4185" w:hanging="420"/>
      </w:pPr>
    </w:lvl>
  </w:abstractNum>
  <w:abstractNum w:abstractNumId="6">
    <w:nsid w:val="6CEB3CC8"/>
    <w:multiLevelType w:val="multilevel"/>
    <w:tmpl w:val="6CEB3CC8"/>
    <w:lvl w:ilvl="0" w:tentative="0">
      <w:start w:val="1"/>
      <w:numFmt w:val="decimal"/>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0"/>
  <w:bordersDoNotSurroundFooter w:val="0"/>
  <w:documentProtection w:enforcement="0"/>
  <w:defaultTabStop w:val="420"/>
  <w:displayHorizontalDrawingGridEvery w:val="0"/>
  <w:displayVerticalDrawingGridEvery w:val="2"/>
  <w:characterSpacingControl w:val="doNotCompress"/>
  <w:compat>
    <w:balanceSingleByteDoubleByteWidth/>
    <w:ulTrailSpace/>
    <w:doNotExpandShiftReturn/>
    <w:adjustLineHeightInTable/>
    <w:doNotWrapTextWithPunct/>
    <w:doNotUseEastAsianBreakRules/>
    <w:useFELayout/>
    <w:compatSetting w:name="compatibilityMode" w:uri="http://schemas.microsoft.com/office/word" w:val="12"/>
  </w:compat>
  <w:rsids>
    <w:rsidRoot w:val="00172A27"/>
    <w:rsid w:val="00310490"/>
    <w:rsid w:val="00427670"/>
    <w:rsid w:val="004C44E1"/>
    <w:rsid w:val="00604ACC"/>
    <w:rsid w:val="006B654D"/>
    <w:rsid w:val="009D2ED6"/>
    <w:rsid w:val="00A43B15"/>
    <w:rsid w:val="00D87985"/>
    <w:rsid w:val="00F14567"/>
    <w:rsid w:val="021A4CF6"/>
    <w:rsid w:val="0305345B"/>
    <w:rsid w:val="061E65E2"/>
    <w:rsid w:val="09383E5F"/>
    <w:rsid w:val="09C15C02"/>
    <w:rsid w:val="0BE3000C"/>
    <w:rsid w:val="0BEA58E4"/>
    <w:rsid w:val="0C2B3807"/>
    <w:rsid w:val="0C6B7C86"/>
    <w:rsid w:val="0C7D89F9"/>
    <w:rsid w:val="0D5154EF"/>
    <w:rsid w:val="0D712139"/>
    <w:rsid w:val="0E5B0C0E"/>
    <w:rsid w:val="0E92705A"/>
    <w:rsid w:val="0ECE0400"/>
    <w:rsid w:val="0FA37AF9"/>
    <w:rsid w:val="0FFFE1B8"/>
    <w:rsid w:val="10C06D1D"/>
    <w:rsid w:val="11000F55"/>
    <w:rsid w:val="125A4E46"/>
    <w:rsid w:val="13B23A46"/>
    <w:rsid w:val="13CB0483"/>
    <w:rsid w:val="15E359E7"/>
    <w:rsid w:val="16573339"/>
    <w:rsid w:val="169700E8"/>
    <w:rsid w:val="16A668AC"/>
    <w:rsid w:val="17AAD063"/>
    <w:rsid w:val="18A60DE5"/>
    <w:rsid w:val="1AAB4490"/>
    <w:rsid w:val="1B8F4D7F"/>
    <w:rsid w:val="1E34479D"/>
    <w:rsid w:val="1E7FCFB6"/>
    <w:rsid w:val="1EFFCF70"/>
    <w:rsid w:val="1F4E7AE0"/>
    <w:rsid w:val="1F505606"/>
    <w:rsid w:val="1FC771C7"/>
    <w:rsid w:val="1FFB1A16"/>
    <w:rsid w:val="1FFDB4D8"/>
    <w:rsid w:val="20E06E5E"/>
    <w:rsid w:val="2121472A"/>
    <w:rsid w:val="21B15AB9"/>
    <w:rsid w:val="22B42350"/>
    <w:rsid w:val="25FC04CA"/>
    <w:rsid w:val="28AB9432"/>
    <w:rsid w:val="297E3D87"/>
    <w:rsid w:val="29D05CC2"/>
    <w:rsid w:val="2AD37D8A"/>
    <w:rsid w:val="2B7F98B3"/>
    <w:rsid w:val="2C550700"/>
    <w:rsid w:val="2C864631"/>
    <w:rsid w:val="2DD37B2E"/>
    <w:rsid w:val="2DFB342B"/>
    <w:rsid w:val="2F4F1437"/>
    <w:rsid w:val="2FD32404"/>
    <w:rsid w:val="2FD951A4"/>
    <w:rsid w:val="2FEF6776"/>
    <w:rsid w:val="2FEFC145"/>
    <w:rsid w:val="315C19F5"/>
    <w:rsid w:val="32A27B35"/>
    <w:rsid w:val="32DA195F"/>
    <w:rsid w:val="3376006C"/>
    <w:rsid w:val="347E8F03"/>
    <w:rsid w:val="34F211E2"/>
    <w:rsid w:val="36E55BE6"/>
    <w:rsid w:val="377BB79E"/>
    <w:rsid w:val="39B40835"/>
    <w:rsid w:val="39B7669F"/>
    <w:rsid w:val="3B87E260"/>
    <w:rsid w:val="3BF3E955"/>
    <w:rsid w:val="3C7B7D0F"/>
    <w:rsid w:val="3DF02037"/>
    <w:rsid w:val="3DF67593"/>
    <w:rsid w:val="3DFFA4B5"/>
    <w:rsid w:val="3EC686BF"/>
    <w:rsid w:val="3F5F3D5E"/>
    <w:rsid w:val="3FBEA914"/>
    <w:rsid w:val="3FD71FF5"/>
    <w:rsid w:val="3FEF0D52"/>
    <w:rsid w:val="3FF78E79"/>
    <w:rsid w:val="3FF7EF52"/>
    <w:rsid w:val="3FFE8CA5"/>
    <w:rsid w:val="3FFEB326"/>
    <w:rsid w:val="3FFF69AC"/>
    <w:rsid w:val="403329D0"/>
    <w:rsid w:val="404720B2"/>
    <w:rsid w:val="40F65B7A"/>
    <w:rsid w:val="4105404B"/>
    <w:rsid w:val="412545E9"/>
    <w:rsid w:val="41A76EB0"/>
    <w:rsid w:val="41D852BC"/>
    <w:rsid w:val="438E5BE7"/>
    <w:rsid w:val="43D96E8D"/>
    <w:rsid w:val="43DFC763"/>
    <w:rsid w:val="45FD17ED"/>
    <w:rsid w:val="496113A7"/>
    <w:rsid w:val="4A7DD626"/>
    <w:rsid w:val="4AFA125D"/>
    <w:rsid w:val="4B75001F"/>
    <w:rsid w:val="4BFF45EF"/>
    <w:rsid w:val="4D564E3E"/>
    <w:rsid w:val="4E7F3778"/>
    <w:rsid w:val="4EB06ADE"/>
    <w:rsid w:val="4F7F0251"/>
    <w:rsid w:val="4FBE2082"/>
    <w:rsid w:val="4FE77D1C"/>
    <w:rsid w:val="4FF707D2"/>
    <w:rsid w:val="51E25CE3"/>
    <w:rsid w:val="539D41F3"/>
    <w:rsid w:val="5486329D"/>
    <w:rsid w:val="56FB0520"/>
    <w:rsid w:val="56FF8333"/>
    <w:rsid w:val="57FF50B5"/>
    <w:rsid w:val="58FFBF04"/>
    <w:rsid w:val="59AA358A"/>
    <w:rsid w:val="59DB3C9E"/>
    <w:rsid w:val="59FBC8C3"/>
    <w:rsid w:val="5A4C63EF"/>
    <w:rsid w:val="5B3A6B8F"/>
    <w:rsid w:val="5BDB06D5"/>
    <w:rsid w:val="5BFFB794"/>
    <w:rsid w:val="5C7B8DC0"/>
    <w:rsid w:val="5DF96F34"/>
    <w:rsid w:val="5DFD5F83"/>
    <w:rsid w:val="5EFFA34C"/>
    <w:rsid w:val="5F2416E8"/>
    <w:rsid w:val="5F6F795F"/>
    <w:rsid w:val="5FAF070F"/>
    <w:rsid w:val="5FAF51D1"/>
    <w:rsid w:val="5FCD355B"/>
    <w:rsid w:val="5FEF1508"/>
    <w:rsid w:val="5FEFFDE5"/>
    <w:rsid w:val="5FF13CC0"/>
    <w:rsid w:val="5FF35915"/>
    <w:rsid w:val="5FFFCB06"/>
    <w:rsid w:val="61FFDB4A"/>
    <w:rsid w:val="633754CA"/>
    <w:rsid w:val="647BF06C"/>
    <w:rsid w:val="64C80D68"/>
    <w:rsid w:val="64E738E4"/>
    <w:rsid w:val="65F72F95"/>
    <w:rsid w:val="661A06AB"/>
    <w:rsid w:val="67CAD658"/>
    <w:rsid w:val="67EC4701"/>
    <w:rsid w:val="67F31B12"/>
    <w:rsid w:val="67FF9352"/>
    <w:rsid w:val="681A3874"/>
    <w:rsid w:val="688A6494"/>
    <w:rsid w:val="68975621"/>
    <w:rsid w:val="69BFC43C"/>
    <w:rsid w:val="6AEF34F2"/>
    <w:rsid w:val="6BE77C32"/>
    <w:rsid w:val="6BFEB7D4"/>
    <w:rsid w:val="6CA43E69"/>
    <w:rsid w:val="6D225FD8"/>
    <w:rsid w:val="6D7ECD0C"/>
    <w:rsid w:val="6D9FCF10"/>
    <w:rsid w:val="6E164425"/>
    <w:rsid w:val="6E3E83E1"/>
    <w:rsid w:val="6F5A4AFB"/>
    <w:rsid w:val="6F938766"/>
    <w:rsid w:val="6FEF2DF4"/>
    <w:rsid w:val="71DB20DB"/>
    <w:rsid w:val="72141A90"/>
    <w:rsid w:val="7272C8D2"/>
    <w:rsid w:val="73B77106"/>
    <w:rsid w:val="73FFA0CE"/>
    <w:rsid w:val="74AFF107"/>
    <w:rsid w:val="74E4670C"/>
    <w:rsid w:val="74FD43D9"/>
    <w:rsid w:val="759F0E6C"/>
    <w:rsid w:val="75FFC4A9"/>
    <w:rsid w:val="76FE6CE0"/>
    <w:rsid w:val="77163C9B"/>
    <w:rsid w:val="77347AFC"/>
    <w:rsid w:val="774B86D7"/>
    <w:rsid w:val="776EE7AF"/>
    <w:rsid w:val="7777903A"/>
    <w:rsid w:val="777F3345"/>
    <w:rsid w:val="77B77C22"/>
    <w:rsid w:val="789254BD"/>
    <w:rsid w:val="78AFD28A"/>
    <w:rsid w:val="798D2F98"/>
    <w:rsid w:val="7A353E57"/>
    <w:rsid w:val="7A431165"/>
    <w:rsid w:val="7B770B23"/>
    <w:rsid w:val="7B7F64E7"/>
    <w:rsid w:val="7BB94DD7"/>
    <w:rsid w:val="7BFD4D96"/>
    <w:rsid w:val="7BFFCC8F"/>
    <w:rsid w:val="7C353E88"/>
    <w:rsid w:val="7CD1486A"/>
    <w:rsid w:val="7CDBFA5A"/>
    <w:rsid w:val="7CEF7461"/>
    <w:rsid w:val="7DB8501C"/>
    <w:rsid w:val="7DF1A3E4"/>
    <w:rsid w:val="7DF51211"/>
    <w:rsid w:val="7DF65D9B"/>
    <w:rsid w:val="7DFF43E6"/>
    <w:rsid w:val="7E56A6A4"/>
    <w:rsid w:val="7EEB8E26"/>
    <w:rsid w:val="7F594760"/>
    <w:rsid w:val="7F654D76"/>
    <w:rsid w:val="7F772E35"/>
    <w:rsid w:val="7F7FCCD3"/>
    <w:rsid w:val="7FB77FCA"/>
    <w:rsid w:val="7FDF2C41"/>
    <w:rsid w:val="7FE7810F"/>
    <w:rsid w:val="7FEE3F8B"/>
    <w:rsid w:val="7FEF954E"/>
    <w:rsid w:val="7FFB5477"/>
    <w:rsid w:val="7FFD7A61"/>
    <w:rsid w:val="7FFF9862"/>
    <w:rsid w:val="7FFFC78E"/>
    <w:rsid w:val="7FFFDE26"/>
    <w:rsid w:val="87EF087C"/>
    <w:rsid w:val="8EBBB0C5"/>
    <w:rsid w:val="8FBD6623"/>
    <w:rsid w:val="969E448C"/>
    <w:rsid w:val="9C3D6B5E"/>
    <w:rsid w:val="9ECF47FB"/>
    <w:rsid w:val="9FE3AC2B"/>
    <w:rsid w:val="9FE98079"/>
    <w:rsid w:val="9FEF5A2E"/>
    <w:rsid w:val="A4BA94ED"/>
    <w:rsid w:val="ABFF34D6"/>
    <w:rsid w:val="ACDFC943"/>
    <w:rsid w:val="AD9F045C"/>
    <w:rsid w:val="AF3F4C49"/>
    <w:rsid w:val="B73C8EFA"/>
    <w:rsid w:val="B791F936"/>
    <w:rsid w:val="B7FE2506"/>
    <w:rsid w:val="B7FF85CC"/>
    <w:rsid w:val="B95F26E8"/>
    <w:rsid w:val="BC6F5EE6"/>
    <w:rsid w:val="BD16872C"/>
    <w:rsid w:val="BDDE5D52"/>
    <w:rsid w:val="BDFDD621"/>
    <w:rsid w:val="BE6A199B"/>
    <w:rsid w:val="BEE15B42"/>
    <w:rsid w:val="BFB63317"/>
    <w:rsid w:val="BFEF32F7"/>
    <w:rsid w:val="CBCF39C9"/>
    <w:rsid w:val="CBFB7F94"/>
    <w:rsid w:val="CFFD0877"/>
    <w:rsid w:val="D5CF4E44"/>
    <w:rsid w:val="D5F51EF5"/>
    <w:rsid w:val="D6C14EB5"/>
    <w:rsid w:val="D6FF7551"/>
    <w:rsid w:val="D7277C00"/>
    <w:rsid w:val="DB97B0D2"/>
    <w:rsid w:val="DBBE7B7E"/>
    <w:rsid w:val="DBD554E7"/>
    <w:rsid w:val="DBFF1756"/>
    <w:rsid w:val="DC779D8B"/>
    <w:rsid w:val="DCB79CF6"/>
    <w:rsid w:val="DCDF9206"/>
    <w:rsid w:val="DD6FEE9E"/>
    <w:rsid w:val="DDADE1EB"/>
    <w:rsid w:val="DEAFCFFD"/>
    <w:rsid w:val="DEEF47CF"/>
    <w:rsid w:val="DEF58371"/>
    <w:rsid w:val="DEFF3524"/>
    <w:rsid w:val="DEFF42CB"/>
    <w:rsid w:val="E3F25E33"/>
    <w:rsid w:val="E3FF97BE"/>
    <w:rsid w:val="E7F325F9"/>
    <w:rsid w:val="E93D8415"/>
    <w:rsid w:val="EBDFFAD8"/>
    <w:rsid w:val="EBF2D7EC"/>
    <w:rsid w:val="EBFF15FC"/>
    <w:rsid w:val="EFB6BFDD"/>
    <w:rsid w:val="EFDD2BDA"/>
    <w:rsid w:val="EFF75846"/>
    <w:rsid w:val="EFFDBC42"/>
    <w:rsid w:val="EFFF12DE"/>
    <w:rsid w:val="F0CBA95B"/>
    <w:rsid w:val="F17EC439"/>
    <w:rsid w:val="F32F2489"/>
    <w:rsid w:val="F33F85ED"/>
    <w:rsid w:val="F39EBFD8"/>
    <w:rsid w:val="F3CB359C"/>
    <w:rsid w:val="F4FFCD4F"/>
    <w:rsid w:val="F5B70BC7"/>
    <w:rsid w:val="F5EB8E91"/>
    <w:rsid w:val="F6ED92D4"/>
    <w:rsid w:val="F7BFAD77"/>
    <w:rsid w:val="F7F82504"/>
    <w:rsid w:val="F7FBFBAC"/>
    <w:rsid w:val="F7FC35A0"/>
    <w:rsid w:val="F7FD1603"/>
    <w:rsid w:val="F96DF6B7"/>
    <w:rsid w:val="F97FB761"/>
    <w:rsid w:val="F9E34C1E"/>
    <w:rsid w:val="FABF3C19"/>
    <w:rsid w:val="FAEB4E77"/>
    <w:rsid w:val="FAFFAC44"/>
    <w:rsid w:val="FB3FCE84"/>
    <w:rsid w:val="FBD4C901"/>
    <w:rsid w:val="FBF51F70"/>
    <w:rsid w:val="FBF67349"/>
    <w:rsid w:val="FDFED7AA"/>
    <w:rsid w:val="FE71F530"/>
    <w:rsid w:val="FE7F2911"/>
    <w:rsid w:val="FEA13512"/>
    <w:rsid w:val="FEDC9221"/>
    <w:rsid w:val="FEFF85E4"/>
    <w:rsid w:val="FF1330CF"/>
    <w:rsid w:val="FF3F73FA"/>
    <w:rsid w:val="FF762BD5"/>
    <w:rsid w:val="FF9F3920"/>
    <w:rsid w:val="FFAF8B2C"/>
    <w:rsid w:val="FFC603C6"/>
    <w:rsid w:val="FFCF0C48"/>
    <w:rsid w:val="FFCF8414"/>
    <w:rsid w:val="FFD0DB88"/>
    <w:rsid w:val="FFD2A992"/>
    <w:rsid w:val="FFD6B8D0"/>
    <w:rsid w:val="FFDD0470"/>
    <w:rsid w:val="FFDF71A7"/>
    <w:rsid w:val="FFE96399"/>
    <w:rsid w:val="FFF7C0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20"/>
    <w:semiHidden/>
    <w:unhideWhenUsed/>
    <w:qFormat/>
    <w:uiPriority w:val="9"/>
    <w:pPr>
      <w:keepNext/>
      <w:keepLines/>
      <w:spacing w:before="260" w:after="260" w:line="416" w:lineRule="auto"/>
      <w:outlineLvl w:val="2"/>
    </w:pPr>
    <w:rPr>
      <w:rFonts w:ascii="Calibri" w:hAnsi="Calibri" w:eastAsia="宋体" w:cs="Times New Roman"/>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Document Map"/>
    <w:basedOn w:val="1"/>
    <w:link w:val="27"/>
    <w:semiHidden/>
    <w:unhideWhenUsed/>
    <w:qFormat/>
    <w:uiPriority w:val="99"/>
    <w:rPr>
      <w:rFonts w:ascii="宋体" w:hAnsi="Calibri" w:eastAsia="宋体" w:cs="Times New Roman"/>
      <w:sz w:val="18"/>
      <w:szCs w:val="18"/>
    </w:rPr>
  </w:style>
  <w:style w:type="paragraph" w:styleId="4">
    <w:name w:val="annotation text"/>
    <w:basedOn w:val="1"/>
    <w:link w:val="28"/>
    <w:semiHidden/>
    <w:unhideWhenUsed/>
    <w:qFormat/>
    <w:uiPriority w:val="99"/>
    <w:pPr>
      <w:jc w:val="left"/>
    </w:pPr>
    <w:rPr>
      <w:rFonts w:ascii="Calibri" w:hAnsi="Calibri" w:eastAsia="宋体" w:cs="Times New Roman"/>
      <w:szCs w:val="24"/>
    </w:rPr>
  </w:style>
  <w:style w:type="paragraph" w:styleId="5">
    <w:name w:val="Body Text Indent"/>
    <w:basedOn w:val="1"/>
    <w:qFormat/>
    <w:uiPriority w:val="0"/>
    <w:pPr>
      <w:spacing w:line="360" w:lineRule="auto"/>
      <w:ind w:firstLine="480" w:firstLineChars="200"/>
    </w:pPr>
    <w:rPr>
      <w:sz w:val="24"/>
    </w:rPr>
  </w:style>
  <w:style w:type="paragraph" w:styleId="6">
    <w:name w:val="toc 3"/>
    <w:next w:val="1"/>
    <w:qFormat/>
    <w:uiPriority w:val="0"/>
    <w:pPr>
      <w:spacing w:line="360" w:lineRule="auto"/>
      <w:ind w:left="480"/>
    </w:pPr>
    <w:rPr>
      <w:rFonts w:ascii="宋体" w:hAnsi="宋体" w:eastAsia="宋体" w:cs="宋体"/>
      <w:sz w:val="24"/>
      <w:szCs w:val="24"/>
      <w:lang w:val="en-US" w:eastAsia="en-US" w:bidi="ar-SA"/>
    </w:rPr>
  </w:style>
  <w:style w:type="paragraph" w:styleId="7">
    <w:name w:val="Balloon Text"/>
    <w:basedOn w:val="1"/>
    <w:link w:val="23"/>
    <w:semiHidden/>
    <w:unhideWhenUsed/>
    <w:qFormat/>
    <w:uiPriority w:val="99"/>
    <w:rPr>
      <w:rFonts w:ascii="Calibri" w:hAnsi="Calibri" w:eastAsia="宋体" w:cs="Times New Roman"/>
      <w:sz w:val="18"/>
      <w:szCs w:val="18"/>
    </w:rPr>
  </w:style>
  <w:style w:type="paragraph" w:styleId="8">
    <w:name w:val="footer"/>
    <w:basedOn w:val="1"/>
    <w:link w:val="22"/>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9">
    <w:name w:val="header"/>
    <w:basedOn w:val="1"/>
    <w:link w:val="2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10">
    <w:name w:val="toc 1"/>
    <w:next w:val="1"/>
    <w:qFormat/>
    <w:uiPriority w:val="0"/>
    <w:pPr>
      <w:spacing w:line="360" w:lineRule="auto"/>
    </w:pPr>
    <w:rPr>
      <w:rFonts w:ascii="宋体" w:hAnsi="宋体" w:eastAsia="宋体" w:cs="宋体"/>
      <w:sz w:val="28"/>
      <w:szCs w:val="24"/>
      <w:lang w:val="en-US" w:eastAsia="en-US" w:bidi="ar-SA"/>
    </w:rPr>
  </w:style>
  <w:style w:type="paragraph" w:styleId="11">
    <w:name w:val="toc 2"/>
    <w:next w:val="1"/>
    <w:qFormat/>
    <w:uiPriority w:val="0"/>
    <w:pPr>
      <w:spacing w:line="360" w:lineRule="auto"/>
      <w:ind w:left="240"/>
    </w:pPr>
    <w:rPr>
      <w:rFonts w:ascii="黑体" w:hAnsi="黑体" w:eastAsia="黑体" w:cs="黑体"/>
      <w:sz w:val="24"/>
      <w:szCs w:val="24"/>
      <w:lang w:val="en-US" w:eastAsia="en-US" w:bidi="ar-SA"/>
    </w:rPr>
  </w:style>
  <w:style w:type="paragraph" w:styleId="12">
    <w:name w:val="Normal (Web)"/>
    <w:basedOn w:val="1"/>
    <w:semiHidden/>
    <w:unhideWhenUsed/>
    <w:qFormat/>
    <w:uiPriority w:val="99"/>
    <w:rPr>
      <w:sz w:val="24"/>
    </w:rPr>
  </w:style>
  <w:style w:type="paragraph" w:styleId="13">
    <w:name w:val="annotation subject"/>
    <w:basedOn w:val="4"/>
    <w:next w:val="4"/>
    <w:link w:val="29"/>
    <w:semiHidden/>
    <w:unhideWhenUsed/>
    <w:qFormat/>
    <w:uiPriority w:val="99"/>
    <w:rPr>
      <w:b/>
      <w:bCs/>
    </w:rPr>
  </w:style>
  <w:style w:type="paragraph" w:styleId="14">
    <w:name w:val="Body Text First Indent 2"/>
    <w:basedOn w:val="5"/>
    <w:qFormat/>
    <w:uiPriority w:val="0"/>
    <w:pPr>
      <w:spacing w:after="120" w:line="240" w:lineRule="auto"/>
      <w:ind w:left="420" w:leftChars="200" w:firstLine="420"/>
    </w:pPr>
    <w:rPr>
      <w:sz w:val="21"/>
    </w:rPr>
  </w:style>
  <w:style w:type="table" w:styleId="16">
    <w:name w:val="Table Grid"/>
    <w:basedOn w:val="1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qFormat/>
    <w:uiPriority w:val="0"/>
    <w:rPr>
      <w:color w:val="0000FF"/>
      <w:u w:val="single"/>
    </w:rPr>
  </w:style>
  <w:style w:type="character" w:styleId="19">
    <w:name w:val="annotation reference"/>
    <w:basedOn w:val="17"/>
    <w:semiHidden/>
    <w:unhideWhenUsed/>
    <w:qFormat/>
    <w:uiPriority w:val="99"/>
    <w:rPr>
      <w:sz w:val="21"/>
      <w:szCs w:val="21"/>
    </w:rPr>
  </w:style>
  <w:style w:type="character" w:customStyle="1" w:styleId="20">
    <w:name w:val="标题 3 Char"/>
    <w:basedOn w:val="17"/>
    <w:link w:val="2"/>
    <w:semiHidden/>
    <w:qFormat/>
    <w:uiPriority w:val="9"/>
    <w:rPr>
      <w:rFonts w:ascii="Calibri" w:hAnsi="Calibri" w:eastAsia="宋体" w:cs="Times New Roman"/>
      <w:b/>
      <w:bCs/>
      <w:sz w:val="32"/>
      <w:szCs w:val="32"/>
    </w:rPr>
  </w:style>
  <w:style w:type="character" w:customStyle="1" w:styleId="21">
    <w:name w:val="页眉 Char"/>
    <w:basedOn w:val="17"/>
    <w:link w:val="9"/>
    <w:qFormat/>
    <w:uiPriority w:val="99"/>
    <w:rPr>
      <w:rFonts w:ascii="Calibri" w:hAnsi="Calibri" w:eastAsia="宋体" w:cs="Times New Roman"/>
      <w:sz w:val="18"/>
      <w:szCs w:val="18"/>
    </w:rPr>
  </w:style>
  <w:style w:type="character" w:customStyle="1" w:styleId="22">
    <w:name w:val="页脚 Char"/>
    <w:basedOn w:val="17"/>
    <w:link w:val="8"/>
    <w:qFormat/>
    <w:uiPriority w:val="99"/>
    <w:rPr>
      <w:rFonts w:ascii="Calibri" w:hAnsi="Calibri" w:eastAsia="宋体" w:cs="Times New Roman"/>
      <w:sz w:val="18"/>
      <w:szCs w:val="18"/>
    </w:rPr>
  </w:style>
  <w:style w:type="character" w:customStyle="1" w:styleId="23">
    <w:name w:val="批注框文本 Char"/>
    <w:basedOn w:val="17"/>
    <w:link w:val="7"/>
    <w:semiHidden/>
    <w:qFormat/>
    <w:uiPriority w:val="99"/>
    <w:rPr>
      <w:rFonts w:ascii="Calibri" w:hAnsi="Calibri" w:eastAsia="宋体" w:cs="Times New Roman"/>
      <w:sz w:val="18"/>
      <w:szCs w:val="18"/>
    </w:rPr>
  </w:style>
  <w:style w:type="character" w:customStyle="1" w:styleId="24">
    <w:name w:val="样式 粉红"/>
    <w:qFormat/>
    <w:uiPriority w:val="99"/>
    <w:rPr>
      <w:color w:val="auto"/>
      <w:u w:val="none"/>
    </w:rPr>
  </w:style>
  <w:style w:type="character" w:customStyle="1" w:styleId="25">
    <w:name w:val="样式 标题 3 + (中文) 黑体 小四 非加粗 段前: 7.8 磅 段后: 0 磅 行距: 固定值 20 磅 Char"/>
    <w:link w:val="26"/>
    <w:qFormat/>
    <w:uiPriority w:val="0"/>
    <w:rPr>
      <w:rFonts w:ascii="宋体" w:hAnsi="宋体"/>
      <w:sz w:val="24"/>
    </w:rPr>
  </w:style>
  <w:style w:type="paragraph" w:customStyle="1" w:styleId="26">
    <w:name w:val="样式 标题 3 + (中文) 黑体 小四 非加粗 段前: 7.8 磅 段后: 0 磅 行距: 固定值 20 磅"/>
    <w:basedOn w:val="2"/>
    <w:link w:val="25"/>
    <w:qFormat/>
    <w:uiPriority w:val="0"/>
    <w:pPr>
      <w:spacing w:beforeLines="50" w:afterLines="50" w:line="360" w:lineRule="auto"/>
    </w:pPr>
    <w:rPr>
      <w:rFonts w:ascii="宋体" w:hAnsi="宋体" w:eastAsiaTheme="minorEastAsia" w:cstheme="minorBidi"/>
      <w:b w:val="0"/>
      <w:bCs w:val="0"/>
      <w:sz w:val="24"/>
      <w:szCs w:val="22"/>
    </w:rPr>
  </w:style>
  <w:style w:type="character" w:customStyle="1" w:styleId="27">
    <w:name w:val="文档结构图 Char"/>
    <w:basedOn w:val="17"/>
    <w:link w:val="3"/>
    <w:semiHidden/>
    <w:qFormat/>
    <w:uiPriority w:val="99"/>
    <w:rPr>
      <w:rFonts w:ascii="宋体" w:hAnsi="Calibri" w:eastAsia="宋体" w:cs="Times New Roman"/>
      <w:sz w:val="18"/>
      <w:szCs w:val="18"/>
    </w:rPr>
  </w:style>
  <w:style w:type="character" w:customStyle="1" w:styleId="28">
    <w:name w:val="批注文字 Char"/>
    <w:basedOn w:val="17"/>
    <w:link w:val="4"/>
    <w:semiHidden/>
    <w:qFormat/>
    <w:uiPriority w:val="99"/>
    <w:rPr>
      <w:rFonts w:ascii="Calibri" w:hAnsi="Calibri" w:eastAsia="宋体" w:cs="Times New Roman"/>
      <w:szCs w:val="24"/>
    </w:rPr>
  </w:style>
  <w:style w:type="character" w:customStyle="1" w:styleId="29">
    <w:name w:val="批注主题 Char"/>
    <w:basedOn w:val="28"/>
    <w:link w:val="13"/>
    <w:semiHidden/>
    <w:qFormat/>
    <w:uiPriority w:val="99"/>
    <w:rPr>
      <w:rFonts w:ascii="Calibri" w:hAnsi="Calibri" w:eastAsia="宋体" w:cs="Times New Roman"/>
      <w:b/>
      <w:bCs/>
      <w:szCs w:val="24"/>
    </w:rPr>
  </w:style>
  <w:style w:type="table" w:customStyle="1" w:styleId="30">
    <w:name w:val="Table Normal"/>
    <w:semiHidden/>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34</Pages>
  <Words>21035</Words>
  <Characters>22204</Characters>
  <Lines>1</Lines>
  <Paragraphs>1</Paragraphs>
  <TotalTime>201</TotalTime>
  <ScaleCrop>false</ScaleCrop>
  <LinksUpToDate>false</LinksUpToDate>
  <CharactersWithSpaces>22945</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2025-11-05T18:54:00Z</dcterms:created>
  <dc:creator>Apache POI</dc:creator>
  <cp:lastModifiedBy>thtf</cp:lastModifiedBy>
  <dcterms:modified xsi:type="dcterms:W3CDTF">2026-10-09T15:44:47Z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eyJoZGlkIjoiM2UwZGEyNmU2ZjQzMTdiMzAyMjI0MmFiMTI3NTk1NDAiLCJ1c2VySWQiOiIzNjk3NTMyNzEifQ==</vt:lpwstr>
  </property>
  <property fmtid="{D5CDD505-2E9C-101B-9397-08002B2CF9AE}" pid="3" name="KSOProductBuildVer">
    <vt:lpwstr>2052-12.8.2.21176</vt:lpwstr>
  </property>
  <property fmtid="{D5CDD505-2E9C-101B-9397-08002B2CF9AE}" pid="4" name="ICV">
    <vt:lpwstr>B7BF4B856C944684BD5EFBA284CAF03C_12</vt:lpwstr>
  </property>
</Properties>
</file>